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4A4348">
      <w:pPr>
        <w:tabs>
          <w:tab w:val="left" w:pos="315"/>
          <w:tab w:val="left" w:pos="8820"/>
        </w:tabs>
        <w:spacing w:before="240" w:beforeLines="100" w:after="120" w:afterLines="50" w:line="500" w:lineRule="exact"/>
        <w:ind w:right="267" w:rightChars="127"/>
        <w:jc w:val="both"/>
        <w:rPr>
          <w:rFonts w:ascii="宋体" w:hAnsi="宋体" w:eastAsia="宋体"/>
          <w:b/>
          <w:bCs/>
          <w:color w:val="auto"/>
          <w:sz w:val="52"/>
          <w:szCs w:val="52"/>
          <w:highlight w:val="none"/>
        </w:rPr>
      </w:pPr>
    </w:p>
    <w:p w14:paraId="18ABFCC9">
      <w:pPr>
        <w:keepNext w:val="0"/>
        <w:keepLines w:val="0"/>
        <w:pageBreakBefore w:val="0"/>
        <w:widowControl w:val="0"/>
        <w:tabs>
          <w:tab w:val="left" w:pos="315"/>
          <w:tab w:val="left" w:pos="8820"/>
        </w:tabs>
        <w:kinsoku/>
        <w:wordWrap/>
        <w:overflowPunct/>
        <w:topLinePunct w:val="0"/>
        <w:autoSpaceDE/>
        <w:autoSpaceDN/>
        <w:bidi w:val="0"/>
        <w:adjustRightInd/>
        <w:snapToGrid/>
        <w:spacing w:before="312" w:beforeLines="100" w:after="156" w:afterLines="50" w:line="700" w:lineRule="exact"/>
        <w:ind w:right="267" w:rightChars="127"/>
        <w:jc w:val="center"/>
        <w:textAlignment w:val="auto"/>
        <w:rPr>
          <w:rFonts w:hint="eastAsia" w:ascii="宋体" w:hAnsi="宋体" w:eastAsia="宋体"/>
          <w:b/>
          <w:bCs/>
          <w:color w:val="auto"/>
          <w:sz w:val="52"/>
          <w:szCs w:val="52"/>
          <w:highlight w:val="none"/>
        </w:rPr>
      </w:pPr>
      <w:bookmarkStart w:id="0" w:name="_Hlk9544796"/>
      <w:r>
        <w:rPr>
          <w:rFonts w:hint="eastAsia" w:ascii="宋体" w:hAnsi="宋体" w:eastAsia="宋体"/>
          <w:b/>
          <w:bCs/>
          <w:color w:val="auto"/>
          <w:sz w:val="52"/>
          <w:szCs w:val="52"/>
          <w:highlight w:val="none"/>
        </w:rPr>
        <w:t>政府采购</w:t>
      </w:r>
      <w:r>
        <w:rPr>
          <w:rFonts w:hint="eastAsia" w:ascii="宋体" w:hAnsi="宋体" w:eastAsia="宋体"/>
          <w:b/>
          <w:bCs/>
          <w:color w:val="auto"/>
          <w:sz w:val="52"/>
          <w:szCs w:val="52"/>
          <w:highlight w:val="none"/>
          <w:lang w:eastAsia="zh-CN"/>
        </w:rPr>
        <w:t>项目</w:t>
      </w:r>
      <w:r>
        <w:rPr>
          <w:rFonts w:hint="eastAsia" w:ascii="宋体" w:hAnsi="宋体" w:eastAsia="宋体"/>
          <w:b/>
          <w:bCs/>
          <w:color w:val="auto"/>
          <w:sz w:val="52"/>
          <w:szCs w:val="52"/>
          <w:highlight w:val="none"/>
          <w:lang w:val="en-US" w:eastAsia="zh-CN"/>
        </w:rPr>
        <w:t>竞争性磋商</w:t>
      </w:r>
      <w:r>
        <w:rPr>
          <w:rFonts w:hint="eastAsia" w:ascii="宋体" w:hAnsi="宋体" w:eastAsia="宋体"/>
          <w:b/>
          <w:bCs/>
          <w:color w:val="auto"/>
          <w:sz w:val="52"/>
          <w:szCs w:val="52"/>
          <w:highlight w:val="none"/>
        </w:rPr>
        <w:t>文件</w:t>
      </w:r>
    </w:p>
    <w:bookmarkEnd w:id="0"/>
    <w:p w14:paraId="659450DE">
      <w:pPr>
        <w:tabs>
          <w:tab w:val="left" w:pos="315"/>
          <w:tab w:val="left" w:pos="8820"/>
        </w:tabs>
        <w:spacing w:before="312" w:beforeLines="100" w:after="156" w:afterLines="50" w:line="500" w:lineRule="exact"/>
        <w:ind w:right="267" w:rightChars="127"/>
        <w:jc w:val="center"/>
        <w:rPr>
          <w:rFonts w:hint="eastAsia" w:ascii="宋体" w:hAnsi="宋体" w:eastAsia="宋体" w:cs="宋体"/>
          <w:b/>
          <w:bCs/>
          <w:color w:val="auto"/>
          <w:sz w:val="40"/>
          <w:szCs w:val="40"/>
          <w:highlight w:val="none"/>
          <w:lang w:eastAsia="zh-CN"/>
        </w:rPr>
      </w:pPr>
    </w:p>
    <w:p w14:paraId="194EB8F3">
      <w:pPr>
        <w:tabs>
          <w:tab w:val="left" w:pos="315"/>
          <w:tab w:val="left" w:pos="8820"/>
        </w:tabs>
        <w:spacing w:before="312" w:beforeLines="100" w:after="156" w:afterLines="50" w:line="500" w:lineRule="exact"/>
        <w:ind w:right="267" w:rightChars="127"/>
        <w:jc w:val="center"/>
        <w:rPr>
          <w:rFonts w:hint="eastAsia" w:ascii="宋体" w:hAnsi="宋体" w:eastAsia="宋体" w:cs="宋体"/>
          <w:b/>
          <w:bCs/>
          <w:color w:val="auto"/>
          <w:sz w:val="36"/>
          <w:szCs w:val="36"/>
          <w:highlight w:val="none"/>
          <w:lang w:eastAsia="zh-CN"/>
        </w:rPr>
      </w:pPr>
      <w:r>
        <w:rPr>
          <w:rFonts w:hint="eastAsia" w:ascii="宋体" w:hAnsi="宋体" w:eastAsia="宋体" w:cs="宋体"/>
          <w:b/>
          <w:bCs/>
          <w:color w:val="auto"/>
          <w:sz w:val="36"/>
          <w:szCs w:val="36"/>
          <w:highlight w:val="none"/>
          <w:lang w:eastAsia="zh-CN"/>
        </w:rPr>
        <w:t>（</w:t>
      </w:r>
      <w:r>
        <w:rPr>
          <w:rFonts w:hint="eastAsia" w:ascii="宋体" w:hAnsi="宋体" w:eastAsia="宋体" w:cs="宋体"/>
          <w:b/>
          <w:bCs/>
          <w:color w:val="auto"/>
          <w:sz w:val="36"/>
          <w:szCs w:val="36"/>
          <w:highlight w:val="none"/>
          <w:lang w:val="en-US" w:eastAsia="zh-CN"/>
        </w:rPr>
        <w:t>服务</w:t>
      </w:r>
      <w:r>
        <w:rPr>
          <w:rFonts w:hint="eastAsia" w:ascii="宋体" w:hAnsi="宋体" w:eastAsia="宋体" w:cs="宋体"/>
          <w:b/>
          <w:bCs/>
          <w:color w:val="auto"/>
          <w:sz w:val="36"/>
          <w:szCs w:val="36"/>
          <w:highlight w:val="none"/>
          <w:lang w:eastAsia="zh-CN"/>
        </w:rPr>
        <w:t>类）</w:t>
      </w:r>
    </w:p>
    <w:p w14:paraId="2E934ADA">
      <w:pPr>
        <w:tabs>
          <w:tab w:val="left" w:pos="315"/>
          <w:tab w:val="left" w:pos="8820"/>
        </w:tabs>
        <w:spacing w:before="240" w:beforeLines="100" w:after="120" w:afterLines="50" w:line="500" w:lineRule="exact"/>
        <w:ind w:right="267" w:rightChars="127"/>
        <w:jc w:val="center"/>
        <w:rPr>
          <w:rFonts w:ascii="宋体" w:hAnsi="宋体" w:eastAsia="宋体"/>
          <w:b/>
          <w:bCs/>
          <w:color w:val="auto"/>
          <w:sz w:val="44"/>
          <w:szCs w:val="44"/>
          <w:highlight w:val="none"/>
        </w:rPr>
      </w:pPr>
    </w:p>
    <w:p w14:paraId="3129ED15">
      <w:pPr>
        <w:tabs>
          <w:tab w:val="left" w:pos="315"/>
          <w:tab w:val="left" w:pos="8820"/>
        </w:tabs>
        <w:spacing w:before="240" w:beforeLines="100" w:after="120" w:afterLines="50" w:line="500" w:lineRule="exact"/>
        <w:ind w:right="267" w:rightChars="127"/>
        <w:jc w:val="center"/>
        <w:rPr>
          <w:rFonts w:ascii="宋体" w:hAnsi="宋体" w:eastAsia="宋体"/>
          <w:b/>
          <w:bCs/>
          <w:color w:val="auto"/>
          <w:sz w:val="44"/>
          <w:szCs w:val="44"/>
          <w:highlight w:val="none"/>
        </w:rPr>
      </w:pPr>
    </w:p>
    <w:p w14:paraId="481FC586">
      <w:pPr>
        <w:tabs>
          <w:tab w:val="left" w:pos="315"/>
          <w:tab w:val="left" w:pos="8820"/>
        </w:tabs>
        <w:spacing w:before="240" w:beforeLines="100" w:after="120" w:afterLines="50" w:line="500" w:lineRule="exact"/>
        <w:ind w:right="267" w:rightChars="127"/>
        <w:jc w:val="center"/>
        <w:rPr>
          <w:rFonts w:ascii="宋体" w:hAnsi="宋体" w:eastAsia="宋体"/>
          <w:b/>
          <w:bCs/>
          <w:color w:val="auto"/>
          <w:sz w:val="44"/>
          <w:szCs w:val="44"/>
          <w:highlight w:val="none"/>
        </w:rPr>
      </w:pPr>
    </w:p>
    <w:p w14:paraId="7E9B0FD2">
      <w:pPr>
        <w:tabs>
          <w:tab w:val="left" w:pos="315"/>
          <w:tab w:val="left" w:pos="8820"/>
        </w:tabs>
        <w:spacing w:before="240" w:beforeLines="100" w:after="120" w:afterLines="50" w:line="500" w:lineRule="exact"/>
        <w:ind w:right="267" w:rightChars="127"/>
        <w:jc w:val="center"/>
        <w:rPr>
          <w:rFonts w:ascii="宋体" w:hAnsi="宋体" w:eastAsia="宋体"/>
          <w:b/>
          <w:bCs/>
          <w:color w:val="auto"/>
          <w:sz w:val="44"/>
          <w:szCs w:val="44"/>
          <w:highlight w:val="none"/>
        </w:rPr>
      </w:pPr>
    </w:p>
    <w:p w14:paraId="6F557F03">
      <w:pPr>
        <w:tabs>
          <w:tab w:val="left" w:pos="315"/>
          <w:tab w:val="left" w:pos="8820"/>
        </w:tabs>
        <w:spacing w:before="240" w:beforeLines="100" w:after="120" w:afterLines="50" w:line="500" w:lineRule="exact"/>
        <w:ind w:right="267" w:rightChars="127"/>
        <w:jc w:val="center"/>
        <w:rPr>
          <w:rFonts w:ascii="宋体" w:hAnsi="宋体" w:eastAsia="宋体"/>
          <w:b/>
          <w:bCs/>
          <w:color w:val="auto"/>
          <w:sz w:val="44"/>
          <w:szCs w:val="44"/>
          <w:highlight w:val="none"/>
        </w:rPr>
      </w:pPr>
    </w:p>
    <w:p w14:paraId="5F07ACE5">
      <w:pPr>
        <w:tabs>
          <w:tab w:val="left" w:pos="2410"/>
        </w:tabs>
        <w:autoSpaceDE w:val="0"/>
        <w:autoSpaceDN w:val="0"/>
        <w:adjustRightInd w:val="0"/>
        <w:snapToGrid w:val="0"/>
        <w:spacing w:line="360" w:lineRule="auto"/>
        <w:ind w:firstLine="682" w:firstLineChars="200"/>
        <w:rPr>
          <w:rFonts w:hint="eastAsia" w:ascii="宋体" w:hAnsi="宋体" w:eastAsia="宋体"/>
          <w:b/>
          <w:color w:val="auto"/>
          <w:spacing w:val="20"/>
          <w:kern w:val="0"/>
          <w:sz w:val="30"/>
          <w:szCs w:val="30"/>
          <w:highlight w:val="none"/>
        </w:rPr>
      </w:pPr>
      <w:r>
        <w:rPr>
          <w:rFonts w:hint="eastAsia" w:ascii="宋体" w:hAnsi="宋体" w:eastAsia="宋体"/>
          <w:b/>
          <w:color w:val="auto"/>
          <w:spacing w:val="20"/>
          <w:kern w:val="0"/>
          <w:sz w:val="30"/>
          <w:szCs w:val="30"/>
          <w:highlight w:val="none"/>
        </w:rPr>
        <w:t>项目名称：</w:t>
      </w:r>
      <w:r>
        <w:rPr>
          <w:rFonts w:hint="eastAsia" w:ascii="宋体" w:hAnsi="宋体" w:eastAsia="宋体"/>
          <w:b/>
          <w:color w:val="auto"/>
          <w:spacing w:val="20"/>
          <w:kern w:val="0"/>
          <w:sz w:val="30"/>
          <w:szCs w:val="30"/>
          <w:highlight w:val="none"/>
          <w:lang w:eastAsia="zh-CN"/>
        </w:rPr>
        <w:t>苏大堰排涝站水泵故障维修</w:t>
      </w:r>
    </w:p>
    <w:p w14:paraId="49FB877A">
      <w:pPr>
        <w:tabs>
          <w:tab w:val="left" w:pos="2410"/>
        </w:tabs>
        <w:autoSpaceDE w:val="0"/>
        <w:autoSpaceDN w:val="0"/>
        <w:adjustRightInd w:val="0"/>
        <w:snapToGrid w:val="0"/>
        <w:spacing w:line="360" w:lineRule="auto"/>
        <w:ind w:firstLine="682" w:firstLineChars="200"/>
        <w:rPr>
          <w:rFonts w:hint="eastAsia" w:ascii="宋体" w:hAnsi="宋体" w:eastAsia="宋体"/>
          <w:b/>
          <w:color w:val="auto"/>
          <w:spacing w:val="20"/>
          <w:kern w:val="0"/>
          <w:sz w:val="30"/>
          <w:szCs w:val="30"/>
          <w:highlight w:val="none"/>
        </w:rPr>
      </w:pPr>
      <w:r>
        <w:rPr>
          <w:rFonts w:hint="eastAsia" w:ascii="宋体" w:hAnsi="宋体" w:eastAsia="宋体"/>
          <w:b/>
          <w:color w:val="auto"/>
          <w:spacing w:val="20"/>
          <w:kern w:val="0"/>
          <w:sz w:val="30"/>
          <w:szCs w:val="30"/>
          <w:highlight w:val="none"/>
        </w:rPr>
        <w:t>项目编号：</w:t>
      </w:r>
      <w:r>
        <w:rPr>
          <w:rFonts w:hint="eastAsia" w:ascii="宋体" w:hAnsi="宋体" w:eastAsia="宋体"/>
          <w:b/>
          <w:color w:val="auto"/>
          <w:spacing w:val="20"/>
          <w:kern w:val="0"/>
          <w:sz w:val="30"/>
          <w:szCs w:val="30"/>
          <w:highlight w:val="none"/>
          <w:lang w:val="en-US" w:eastAsia="zh-CN"/>
        </w:rPr>
        <w:t>LAHL20261002</w:t>
      </w:r>
    </w:p>
    <w:p w14:paraId="7DAC8AC1">
      <w:pPr>
        <w:tabs>
          <w:tab w:val="left" w:pos="2410"/>
        </w:tabs>
        <w:autoSpaceDE w:val="0"/>
        <w:autoSpaceDN w:val="0"/>
        <w:adjustRightInd w:val="0"/>
        <w:snapToGrid w:val="0"/>
        <w:spacing w:line="360" w:lineRule="auto"/>
        <w:ind w:firstLine="682" w:firstLineChars="200"/>
        <w:rPr>
          <w:rFonts w:hint="eastAsia" w:ascii="宋体" w:hAnsi="宋体" w:eastAsia="宋体"/>
          <w:b/>
          <w:color w:val="auto"/>
          <w:spacing w:val="20"/>
          <w:kern w:val="0"/>
          <w:sz w:val="30"/>
          <w:szCs w:val="30"/>
          <w:highlight w:val="none"/>
        </w:rPr>
      </w:pPr>
      <w:r>
        <w:rPr>
          <w:rFonts w:hint="eastAsia" w:ascii="宋体" w:hAnsi="宋体" w:eastAsia="宋体"/>
          <w:b/>
          <w:color w:val="auto"/>
          <w:spacing w:val="20"/>
          <w:kern w:val="0"/>
          <w:sz w:val="30"/>
          <w:szCs w:val="30"/>
          <w:highlight w:val="none"/>
        </w:rPr>
        <w:t>采 购 人：六安市水利局</w:t>
      </w:r>
    </w:p>
    <w:p w14:paraId="76440F38">
      <w:pPr>
        <w:tabs>
          <w:tab w:val="left" w:pos="2410"/>
        </w:tabs>
        <w:autoSpaceDE w:val="0"/>
        <w:autoSpaceDN w:val="0"/>
        <w:adjustRightInd w:val="0"/>
        <w:snapToGrid w:val="0"/>
        <w:spacing w:line="360" w:lineRule="auto"/>
        <w:ind w:firstLine="682" w:firstLineChars="200"/>
        <w:rPr>
          <w:rFonts w:ascii="宋体" w:hAnsi="宋体" w:eastAsia="宋体"/>
          <w:b/>
          <w:color w:val="auto"/>
          <w:spacing w:val="20"/>
          <w:kern w:val="0"/>
          <w:sz w:val="30"/>
          <w:szCs w:val="30"/>
          <w:highlight w:val="none"/>
        </w:rPr>
      </w:pPr>
      <w:r>
        <w:rPr>
          <w:rFonts w:hint="eastAsia" w:ascii="宋体" w:hAnsi="宋体" w:eastAsia="宋体"/>
          <w:b/>
          <w:color w:val="auto"/>
          <w:spacing w:val="20"/>
          <w:kern w:val="0"/>
          <w:sz w:val="30"/>
          <w:szCs w:val="30"/>
          <w:highlight w:val="none"/>
        </w:rPr>
        <w:t>采购代理机构：六安市厚灵工程咨询服务有限公司</w:t>
      </w:r>
    </w:p>
    <w:p w14:paraId="19CED98A">
      <w:pPr>
        <w:tabs>
          <w:tab w:val="left" w:pos="315"/>
          <w:tab w:val="left" w:pos="8820"/>
        </w:tabs>
        <w:spacing w:before="240" w:beforeLines="100" w:after="120" w:afterLines="50" w:line="500" w:lineRule="exact"/>
        <w:ind w:right="267" w:rightChars="127"/>
        <w:jc w:val="center"/>
        <w:rPr>
          <w:rFonts w:ascii="宋体" w:hAnsi="宋体" w:eastAsia="宋体"/>
          <w:b/>
          <w:bCs/>
          <w:color w:val="auto"/>
          <w:sz w:val="44"/>
          <w:szCs w:val="44"/>
          <w:highlight w:val="none"/>
        </w:rPr>
      </w:pPr>
    </w:p>
    <w:p w14:paraId="2E0A95E0">
      <w:pPr>
        <w:tabs>
          <w:tab w:val="left" w:pos="2410"/>
        </w:tabs>
        <w:autoSpaceDE w:val="0"/>
        <w:autoSpaceDN w:val="0"/>
        <w:adjustRightInd w:val="0"/>
        <w:snapToGrid w:val="0"/>
        <w:spacing w:line="360" w:lineRule="auto"/>
        <w:jc w:val="center"/>
        <w:rPr>
          <w:rFonts w:ascii="宋体" w:hAnsi="宋体" w:eastAsia="宋体"/>
          <w:b/>
          <w:color w:val="auto"/>
          <w:sz w:val="30"/>
          <w:szCs w:val="30"/>
          <w:highlight w:val="none"/>
        </w:rPr>
      </w:pPr>
      <w:r>
        <w:rPr>
          <w:rFonts w:hint="eastAsia" w:ascii="宋体" w:hAnsi="宋体" w:eastAsia="宋体"/>
          <w:b/>
          <w:color w:val="auto"/>
          <w:sz w:val="30"/>
          <w:szCs w:val="30"/>
          <w:highlight w:val="none"/>
          <w:u w:val="single"/>
        </w:rPr>
        <w:t xml:space="preserve">  </w:t>
      </w:r>
      <w:r>
        <w:rPr>
          <w:rFonts w:hint="eastAsia" w:ascii="宋体" w:hAnsi="宋体" w:eastAsia="宋体"/>
          <w:b/>
          <w:color w:val="auto"/>
          <w:sz w:val="30"/>
          <w:szCs w:val="30"/>
          <w:highlight w:val="none"/>
          <w:u w:val="single"/>
          <w:lang w:val="en-US" w:eastAsia="zh-CN"/>
        </w:rPr>
        <w:t>2026</w:t>
      </w:r>
      <w:r>
        <w:rPr>
          <w:rFonts w:hint="eastAsia" w:ascii="宋体" w:hAnsi="宋体" w:eastAsia="宋体"/>
          <w:b/>
          <w:color w:val="auto"/>
          <w:sz w:val="30"/>
          <w:szCs w:val="30"/>
          <w:highlight w:val="none"/>
          <w:u w:val="single"/>
        </w:rPr>
        <w:t xml:space="preserve">  </w:t>
      </w:r>
      <w:r>
        <w:rPr>
          <w:rFonts w:hint="eastAsia" w:ascii="宋体" w:hAnsi="宋体" w:eastAsia="宋体"/>
          <w:b/>
          <w:color w:val="auto"/>
          <w:sz w:val="30"/>
          <w:szCs w:val="30"/>
          <w:highlight w:val="none"/>
        </w:rPr>
        <w:t>年</w:t>
      </w:r>
      <w:r>
        <w:rPr>
          <w:rFonts w:hint="eastAsia" w:ascii="宋体" w:hAnsi="宋体" w:eastAsia="宋体"/>
          <w:b/>
          <w:color w:val="auto"/>
          <w:sz w:val="30"/>
          <w:szCs w:val="30"/>
          <w:highlight w:val="none"/>
          <w:u w:val="single"/>
        </w:rPr>
        <w:t xml:space="preserve"> </w:t>
      </w:r>
      <w:r>
        <w:rPr>
          <w:rFonts w:hint="eastAsia" w:ascii="宋体" w:hAnsi="宋体" w:eastAsia="宋体"/>
          <w:b/>
          <w:color w:val="auto"/>
          <w:sz w:val="30"/>
          <w:szCs w:val="30"/>
          <w:highlight w:val="none"/>
          <w:u w:val="single"/>
          <w:lang w:val="en-US" w:eastAsia="zh-CN"/>
        </w:rPr>
        <w:t xml:space="preserve"> 10</w:t>
      </w:r>
      <w:r>
        <w:rPr>
          <w:rFonts w:hint="eastAsia" w:ascii="宋体" w:hAnsi="宋体" w:eastAsia="宋体"/>
          <w:b/>
          <w:color w:val="auto"/>
          <w:sz w:val="30"/>
          <w:szCs w:val="30"/>
          <w:highlight w:val="none"/>
          <w:u w:val="single"/>
        </w:rPr>
        <w:t xml:space="preserve">  </w:t>
      </w:r>
      <w:r>
        <w:rPr>
          <w:rFonts w:hint="eastAsia" w:ascii="宋体" w:hAnsi="宋体" w:eastAsia="宋体"/>
          <w:b/>
          <w:color w:val="auto"/>
          <w:sz w:val="30"/>
          <w:szCs w:val="30"/>
          <w:highlight w:val="none"/>
        </w:rPr>
        <w:t>月</w:t>
      </w:r>
    </w:p>
    <w:p w14:paraId="687006E0">
      <w:pPr>
        <w:tabs>
          <w:tab w:val="left" w:pos="2410"/>
        </w:tabs>
        <w:autoSpaceDE w:val="0"/>
        <w:autoSpaceDN w:val="0"/>
        <w:adjustRightInd w:val="0"/>
        <w:snapToGrid w:val="0"/>
        <w:spacing w:line="360" w:lineRule="auto"/>
        <w:jc w:val="center"/>
        <w:rPr>
          <w:rFonts w:ascii="宋体" w:hAnsi="宋体" w:eastAsia="宋体"/>
          <w:b/>
          <w:color w:val="auto"/>
          <w:sz w:val="36"/>
          <w:highlight w:val="none"/>
        </w:rPr>
      </w:pPr>
      <w:r>
        <w:rPr>
          <w:rFonts w:ascii="宋体" w:hAnsi="宋体" w:eastAsia="宋体"/>
          <w:b/>
          <w:color w:val="auto"/>
          <w:sz w:val="36"/>
          <w:highlight w:val="none"/>
        </w:rPr>
        <w:br w:type="page"/>
      </w:r>
    </w:p>
    <w:p w14:paraId="5485792F">
      <w:pPr>
        <w:tabs>
          <w:tab w:val="left" w:pos="2410"/>
        </w:tabs>
        <w:autoSpaceDE w:val="0"/>
        <w:autoSpaceDN w:val="0"/>
        <w:adjustRightInd w:val="0"/>
        <w:snapToGrid w:val="0"/>
        <w:spacing w:line="360" w:lineRule="auto"/>
        <w:jc w:val="center"/>
        <w:rPr>
          <w:rFonts w:hint="eastAsia" w:ascii="宋体" w:hAnsi="宋体" w:eastAsia="宋体"/>
          <w:b/>
          <w:color w:val="auto"/>
          <w:sz w:val="28"/>
          <w:highlight w:val="none"/>
        </w:rPr>
      </w:pPr>
    </w:p>
    <w:p w14:paraId="0D3DB6EA">
      <w:pPr>
        <w:tabs>
          <w:tab w:val="left" w:pos="2410"/>
        </w:tabs>
        <w:autoSpaceDE w:val="0"/>
        <w:autoSpaceDN w:val="0"/>
        <w:adjustRightInd w:val="0"/>
        <w:snapToGrid w:val="0"/>
        <w:spacing w:line="360" w:lineRule="auto"/>
        <w:jc w:val="center"/>
        <w:rPr>
          <w:rFonts w:ascii="宋体" w:hAnsi="宋体" w:eastAsia="宋体"/>
          <w:b/>
          <w:color w:val="auto"/>
          <w:sz w:val="40"/>
          <w:szCs w:val="24"/>
          <w:highlight w:val="none"/>
        </w:rPr>
      </w:pPr>
      <w:r>
        <w:rPr>
          <w:rFonts w:hint="eastAsia" w:ascii="宋体" w:hAnsi="宋体" w:eastAsia="宋体"/>
          <w:b/>
          <w:color w:val="auto"/>
          <w:sz w:val="40"/>
          <w:szCs w:val="24"/>
          <w:highlight w:val="none"/>
        </w:rPr>
        <w:t>目  录</w:t>
      </w:r>
    </w:p>
    <w:p w14:paraId="68F05788">
      <w:pPr>
        <w:tabs>
          <w:tab w:val="left" w:pos="2410"/>
        </w:tabs>
        <w:autoSpaceDE w:val="0"/>
        <w:autoSpaceDN w:val="0"/>
        <w:adjustRightInd w:val="0"/>
        <w:snapToGrid w:val="0"/>
        <w:spacing w:line="360" w:lineRule="auto"/>
        <w:jc w:val="center"/>
        <w:rPr>
          <w:rFonts w:ascii="宋体" w:hAnsi="宋体" w:eastAsia="宋体"/>
          <w:b/>
          <w:color w:val="auto"/>
          <w:sz w:val="28"/>
          <w:highlight w:val="none"/>
        </w:rPr>
      </w:pPr>
    </w:p>
    <w:p w14:paraId="31A0E40C">
      <w:pPr>
        <w:pStyle w:val="19"/>
        <w:tabs>
          <w:tab w:val="right" w:leader="dot" w:pos="8279"/>
        </w:tabs>
        <w:spacing w:line="360" w:lineRule="auto"/>
        <w:rPr>
          <w:color w:val="auto"/>
          <w:sz w:val="28"/>
          <w:szCs w:val="28"/>
          <w:highlight w:val="none"/>
        </w:rPr>
      </w:pPr>
      <w:r>
        <w:rPr>
          <w:rFonts w:asciiTheme="minorEastAsia" w:hAnsiTheme="minorEastAsia"/>
          <w:b/>
          <w:bCs/>
          <w:color w:val="auto"/>
          <w:sz w:val="28"/>
          <w:szCs w:val="28"/>
          <w:highlight w:val="none"/>
        </w:rPr>
        <w:fldChar w:fldCharType="begin"/>
      </w:r>
      <w:r>
        <w:rPr>
          <w:rFonts w:asciiTheme="minorEastAsia" w:hAnsiTheme="minorEastAsia"/>
          <w:b/>
          <w:bCs/>
          <w:color w:val="auto"/>
          <w:sz w:val="28"/>
          <w:szCs w:val="28"/>
          <w:highlight w:val="none"/>
        </w:rPr>
        <w:instrText xml:space="preserve"> </w:instrText>
      </w:r>
      <w:r>
        <w:rPr>
          <w:rFonts w:hint="eastAsia" w:asciiTheme="minorEastAsia" w:hAnsiTheme="minorEastAsia"/>
          <w:b/>
          <w:bCs/>
          <w:color w:val="auto"/>
          <w:sz w:val="28"/>
          <w:szCs w:val="28"/>
          <w:highlight w:val="none"/>
        </w:rPr>
        <w:instrText xml:space="preserve">TOC \o "1-2" \h \z \u</w:instrText>
      </w:r>
      <w:r>
        <w:rPr>
          <w:rFonts w:asciiTheme="minorEastAsia" w:hAnsiTheme="minorEastAsia"/>
          <w:b/>
          <w:bCs/>
          <w:color w:val="auto"/>
          <w:sz w:val="28"/>
          <w:szCs w:val="28"/>
          <w:highlight w:val="none"/>
        </w:rPr>
        <w:instrText xml:space="preserve"> </w:instrText>
      </w:r>
      <w:r>
        <w:rPr>
          <w:rFonts w:asciiTheme="minorEastAsia" w:hAnsiTheme="minorEastAsia"/>
          <w:b/>
          <w:bCs/>
          <w:color w:val="auto"/>
          <w:sz w:val="28"/>
          <w:szCs w:val="28"/>
          <w:highlight w:val="none"/>
        </w:rPr>
        <w:fldChar w:fldCharType="separate"/>
      </w:r>
      <w:r>
        <w:rPr>
          <w:rFonts w:asciiTheme="minorEastAsia" w:hAnsiTheme="minorEastAsia"/>
          <w:bCs/>
          <w:color w:val="auto"/>
          <w:sz w:val="28"/>
          <w:szCs w:val="28"/>
          <w:highlight w:val="none"/>
        </w:rPr>
        <w:fldChar w:fldCharType="begin"/>
      </w:r>
      <w:r>
        <w:rPr>
          <w:rFonts w:asciiTheme="minorEastAsia" w:hAnsiTheme="minorEastAsia"/>
          <w:bCs/>
          <w:color w:val="auto"/>
          <w:sz w:val="28"/>
          <w:szCs w:val="28"/>
          <w:highlight w:val="none"/>
        </w:rPr>
        <w:instrText xml:space="preserve"> HYPERLINK \l _Toc30910 </w:instrText>
      </w:r>
      <w:r>
        <w:rPr>
          <w:rFonts w:asciiTheme="minorEastAsia" w:hAnsiTheme="minorEastAsia"/>
          <w:bCs/>
          <w:color w:val="auto"/>
          <w:sz w:val="28"/>
          <w:szCs w:val="28"/>
          <w:highlight w:val="none"/>
        </w:rPr>
        <w:fldChar w:fldCharType="separate"/>
      </w:r>
      <w:r>
        <w:rPr>
          <w:rFonts w:hint="eastAsia" w:asciiTheme="minorEastAsia" w:hAnsiTheme="minorEastAsia" w:eastAsiaTheme="minorEastAsia"/>
          <w:color w:val="auto"/>
          <w:sz w:val="28"/>
          <w:szCs w:val="28"/>
          <w:highlight w:val="none"/>
        </w:rPr>
        <w:t xml:space="preserve">第一章 </w:t>
      </w:r>
      <w:r>
        <w:rPr>
          <w:rFonts w:asciiTheme="minorEastAsia" w:hAnsiTheme="minorEastAsia" w:eastAsiaTheme="minorEastAsia"/>
          <w:color w:val="auto"/>
          <w:sz w:val="28"/>
          <w:szCs w:val="28"/>
          <w:highlight w:val="none"/>
        </w:rPr>
        <w:t xml:space="preserve"> </w:t>
      </w:r>
      <w:r>
        <w:rPr>
          <w:rFonts w:hint="eastAsia" w:asciiTheme="minorEastAsia" w:hAnsiTheme="minorEastAsia"/>
          <w:color w:val="auto"/>
          <w:sz w:val="28"/>
          <w:szCs w:val="28"/>
          <w:highlight w:val="none"/>
          <w:lang w:eastAsia="zh-CN"/>
        </w:rPr>
        <w:t>采购邀请</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_Toc30910 \h </w:instrText>
      </w:r>
      <w:r>
        <w:rPr>
          <w:color w:val="auto"/>
          <w:sz w:val="28"/>
          <w:szCs w:val="28"/>
          <w:highlight w:val="none"/>
        </w:rPr>
        <w:fldChar w:fldCharType="separate"/>
      </w:r>
      <w:r>
        <w:rPr>
          <w:color w:val="auto"/>
          <w:sz w:val="28"/>
          <w:szCs w:val="28"/>
          <w:highlight w:val="none"/>
        </w:rPr>
        <w:t>3</w:t>
      </w:r>
      <w:r>
        <w:rPr>
          <w:color w:val="auto"/>
          <w:sz w:val="28"/>
          <w:szCs w:val="28"/>
          <w:highlight w:val="none"/>
        </w:rPr>
        <w:fldChar w:fldCharType="end"/>
      </w:r>
      <w:r>
        <w:rPr>
          <w:rFonts w:asciiTheme="minorEastAsia" w:hAnsiTheme="minorEastAsia"/>
          <w:bCs/>
          <w:color w:val="auto"/>
          <w:sz w:val="28"/>
          <w:szCs w:val="28"/>
          <w:highlight w:val="none"/>
        </w:rPr>
        <w:fldChar w:fldCharType="end"/>
      </w:r>
    </w:p>
    <w:p w14:paraId="2976F8C9">
      <w:pPr>
        <w:pStyle w:val="19"/>
        <w:tabs>
          <w:tab w:val="right" w:leader="dot" w:pos="8279"/>
        </w:tabs>
        <w:spacing w:line="360" w:lineRule="auto"/>
        <w:rPr>
          <w:color w:val="auto"/>
          <w:sz w:val="28"/>
          <w:szCs w:val="28"/>
          <w:highlight w:val="none"/>
        </w:rPr>
      </w:pPr>
      <w:r>
        <w:rPr>
          <w:rFonts w:asciiTheme="minorEastAsia" w:hAnsiTheme="minorEastAsia"/>
          <w:bCs/>
          <w:color w:val="auto"/>
          <w:sz w:val="28"/>
          <w:szCs w:val="28"/>
          <w:highlight w:val="none"/>
        </w:rPr>
        <w:fldChar w:fldCharType="begin"/>
      </w:r>
      <w:r>
        <w:rPr>
          <w:rFonts w:asciiTheme="minorEastAsia" w:hAnsiTheme="minorEastAsia"/>
          <w:bCs/>
          <w:color w:val="auto"/>
          <w:sz w:val="28"/>
          <w:szCs w:val="28"/>
          <w:highlight w:val="none"/>
        </w:rPr>
        <w:instrText xml:space="preserve"> HYPERLINK \l _Toc14251 </w:instrText>
      </w:r>
      <w:r>
        <w:rPr>
          <w:rFonts w:asciiTheme="minorEastAsia" w:hAnsiTheme="minorEastAsia"/>
          <w:bCs/>
          <w:color w:val="auto"/>
          <w:sz w:val="28"/>
          <w:szCs w:val="28"/>
          <w:highlight w:val="none"/>
        </w:rPr>
        <w:fldChar w:fldCharType="separate"/>
      </w:r>
      <w:r>
        <w:rPr>
          <w:rFonts w:hint="eastAsia" w:asciiTheme="minorEastAsia" w:hAnsiTheme="minorEastAsia" w:eastAsiaTheme="minorEastAsia"/>
          <w:color w:val="auto"/>
          <w:sz w:val="28"/>
          <w:szCs w:val="28"/>
          <w:highlight w:val="none"/>
        </w:rPr>
        <w:t>第二章</w:t>
      </w:r>
      <w:r>
        <w:rPr>
          <w:rFonts w:asciiTheme="minorEastAsia" w:hAnsiTheme="minorEastAsia" w:eastAsiaTheme="minorEastAsia"/>
          <w:color w:val="auto"/>
          <w:sz w:val="28"/>
          <w:szCs w:val="28"/>
          <w:highlight w:val="none"/>
        </w:rPr>
        <w:t xml:space="preserve"> </w:t>
      </w:r>
      <w:r>
        <w:rPr>
          <w:rFonts w:hint="eastAsia" w:asciiTheme="minorEastAsia" w:hAnsiTheme="minorEastAsia" w:eastAsiaTheme="minorEastAsia"/>
          <w:color w:val="auto"/>
          <w:sz w:val="28"/>
          <w:szCs w:val="28"/>
          <w:highlight w:val="none"/>
        </w:rPr>
        <w:t xml:space="preserve"> 供应商</w:t>
      </w:r>
      <w:r>
        <w:rPr>
          <w:rFonts w:asciiTheme="minorEastAsia" w:hAnsiTheme="minorEastAsia" w:eastAsiaTheme="minorEastAsia"/>
          <w:color w:val="auto"/>
          <w:sz w:val="28"/>
          <w:szCs w:val="28"/>
          <w:highlight w:val="none"/>
        </w:rPr>
        <w:t>须知</w:t>
      </w:r>
      <w:r>
        <w:rPr>
          <w:color w:val="auto"/>
          <w:sz w:val="28"/>
          <w:szCs w:val="28"/>
          <w:highlight w:val="none"/>
        </w:rPr>
        <w:tab/>
      </w:r>
      <w:r>
        <w:rPr>
          <w:rFonts w:hint="eastAsia"/>
          <w:color w:val="auto"/>
          <w:sz w:val="28"/>
          <w:szCs w:val="28"/>
          <w:highlight w:val="none"/>
          <w:lang w:val="en-US" w:eastAsia="zh-CN"/>
        </w:rPr>
        <w:t>6</w:t>
      </w:r>
      <w:r>
        <w:rPr>
          <w:rFonts w:asciiTheme="minorEastAsia" w:hAnsiTheme="minorEastAsia"/>
          <w:bCs/>
          <w:color w:val="auto"/>
          <w:sz w:val="28"/>
          <w:szCs w:val="28"/>
          <w:highlight w:val="none"/>
        </w:rPr>
        <w:fldChar w:fldCharType="end"/>
      </w:r>
    </w:p>
    <w:p w14:paraId="4BAB7E2E">
      <w:pPr>
        <w:pStyle w:val="19"/>
        <w:tabs>
          <w:tab w:val="right" w:leader="dot" w:pos="8279"/>
        </w:tabs>
        <w:spacing w:line="360" w:lineRule="auto"/>
        <w:rPr>
          <w:rFonts w:hint="eastAsia" w:eastAsiaTheme="minorEastAsia"/>
          <w:color w:val="auto"/>
          <w:sz w:val="28"/>
          <w:szCs w:val="28"/>
          <w:highlight w:val="none"/>
          <w:lang w:val="en-US" w:eastAsia="zh-CN"/>
        </w:rPr>
      </w:pPr>
      <w:r>
        <w:rPr>
          <w:rFonts w:asciiTheme="minorEastAsia" w:hAnsiTheme="minorEastAsia"/>
          <w:bCs/>
          <w:color w:val="auto"/>
          <w:sz w:val="28"/>
          <w:szCs w:val="28"/>
          <w:highlight w:val="none"/>
        </w:rPr>
        <w:fldChar w:fldCharType="begin"/>
      </w:r>
      <w:r>
        <w:rPr>
          <w:rFonts w:asciiTheme="minorEastAsia" w:hAnsiTheme="minorEastAsia"/>
          <w:bCs/>
          <w:color w:val="auto"/>
          <w:sz w:val="28"/>
          <w:szCs w:val="28"/>
          <w:highlight w:val="none"/>
        </w:rPr>
        <w:instrText xml:space="preserve"> HYPERLINK \l _Toc19656 </w:instrText>
      </w:r>
      <w:r>
        <w:rPr>
          <w:rFonts w:asciiTheme="minorEastAsia" w:hAnsiTheme="minorEastAsia"/>
          <w:bCs/>
          <w:color w:val="auto"/>
          <w:sz w:val="28"/>
          <w:szCs w:val="28"/>
          <w:highlight w:val="none"/>
        </w:rPr>
        <w:fldChar w:fldCharType="separate"/>
      </w:r>
      <w:r>
        <w:rPr>
          <w:rFonts w:hint="eastAsia" w:asciiTheme="minorEastAsia" w:hAnsiTheme="minorEastAsia" w:eastAsiaTheme="minorEastAsia"/>
          <w:color w:val="auto"/>
          <w:sz w:val="28"/>
          <w:szCs w:val="28"/>
          <w:highlight w:val="none"/>
        </w:rPr>
        <w:t>第三章  采购需求</w:t>
      </w:r>
      <w:r>
        <w:rPr>
          <w:color w:val="auto"/>
          <w:sz w:val="28"/>
          <w:szCs w:val="28"/>
          <w:highlight w:val="none"/>
        </w:rPr>
        <w:tab/>
      </w:r>
      <w:r>
        <w:rPr>
          <w:rFonts w:hint="eastAsia"/>
          <w:color w:val="auto"/>
          <w:sz w:val="28"/>
          <w:szCs w:val="28"/>
          <w:highlight w:val="none"/>
          <w:lang w:val="en-US" w:eastAsia="zh-CN"/>
        </w:rPr>
        <w:t>2</w:t>
      </w:r>
      <w:r>
        <w:rPr>
          <w:rFonts w:asciiTheme="minorEastAsia" w:hAnsiTheme="minorEastAsia"/>
          <w:bCs/>
          <w:color w:val="auto"/>
          <w:sz w:val="28"/>
          <w:szCs w:val="28"/>
          <w:highlight w:val="none"/>
        </w:rPr>
        <w:fldChar w:fldCharType="end"/>
      </w:r>
      <w:r>
        <w:rPr>
          <w:rFonts w:hint="eastAsia" w:asciiTheme="minorEastAsia" w:hAnsiTheme="minorEastAsia"/>
          <w:bCs/>
          <w:color w:val="auto"/>
          <w:sz w:val="28"/>
          <w:szCs w:val="28"/>
          <w:highlight w:val="none"/>
          <w:lang w:val="en-US" w:eastAsia="zh-CN"/>
        </w:rPr>
        <w:t>1</w:t>
      </w:r>
    </w:p>
    <w:p w14:paraId="66D712F2">
      <w:pPr>
        <w:pStyle w:val="19"/>
        <w:tabs>
          <w:tab w:val="right" w:leader="dot" w:pos="8279"/>
        </w:tabs>
        <w:spacing w:line="360" w:lineRule="auto"/>
        <w:rPr>
          <w:rFonts w:hint="eastAsia" w:eastAsiaTheme="minorEastAsia"/>
          <w:color w:val="auto"/>
          <w:sz w:val="28"/>
          <w:szCs w:val="28"/>
          <w:highlight w:val="none"/>
          <w:lang w:val="en-US" w:eastAsia="zh-CN"/>
        </w:rPr>
      </w:pPr>
      <w:r>
        <w:rPr>
          <w:rFonts w:asciiTheme="minorEastAsia" w:hAnsiTheme="minorEastAsia"/>
          <w:bCs/>
          <w:color w:val="auto"/>
          <w:sz w:val="28"/>
          <w:szCs w:val="28"/>
          <w:highlight w:val="none"/>
        </w:rPr>
        <w:fldChar w:fldCharType="begin"/>
      </w:r>
      <w:r>
        <w:rPr>
          <w:rFonts w:asciiTheme="minorEastAsia" w:hAnsiTheme="minorEastAsia"/>
          <w:bCs/>
          <w:color w:val="auto"/>
          <w:sz w:val="28"/>
          <w:szCs w:val="28"/>
          <w:highlight w:val="none"/>
        </w:rPr>
        <w:instrText xml:space="preserve"> HYPERLINK \l _Toc9944 </w:instrText>
      </w:r>
      <w:r>
        <w:rPr>
          <w:rFonts w:asciiTheme="minorEastAsia" w:hAnsiTheme="minorEastAsia"/>
          <w:bCs/>
          <w:color w:val="auto"/>
          <w:sz w:val="28"/>
          <w:szCs w:val="28"/>
          <w:highlight w:val="none"/>
        </w:rPr>
        <w:fldChar w:fldCharType="separate"/>
      </w:r>
      <w:r>
        <w:rPr>
          <w:rFonts w:hint="eastAsia" w:asciiTheme="minorEastAsia" w:hAnsiTheme="minorEastAsia" w:eastAsiaTheme="minorEastAsia"/>
          <w:color w:val="auto"/>
          <w:sz w:val="28"/>
          <w:szCs w:val="28"/>
          <w:highlight w:val="none"/>
        </w:rPr>
        <w:t>第四章  评审方法和标准</w:t>
      </w:r>
      <w:r>
        <w:rPr>
          <w:color w:val="auto"/>
          <w:sz w:val="28"/>
          <w:szCs w:val="28"/>
          <w:highlight w:val="none"/>
        </w:rPr>
        <w:tab/>
      </w:r>
      <w:r>
        <w:rPr>
          <w:rFonts w:hint="eastAsia"/>
          <w:color w:val="auto"/>
          <w:sz w:val="28"/>
          <w:szCs w:val="28"/>
          <w:highlight w:val="none"/>
          <w:lang w:val="en-US" w:eastAsia="zh-CN"/>
        </w:rPr>
        <w:t>2</w:t>
      </w:r>
      <w:r>
        <w:rPr>
          <w:rFonts w:asciiTheme="minorEastAsia" w:hAnsiTheme="minorEastAsia"/>
          <w:bCs/>
          <w:color w:val="auto"/>
          <w:sz w:val="28"/>
          <w:szCs w:val="28"/>
          <w:highlight w:val="none"/>
        </w:rPr>
        <w:fldChar w:fldCharType="end"/>
      </w:r>
      <w:r>
        <w:rPr>
          <w:rFonts w:hint="eastAsia" w:asciiTheme="minorEastAsia" w:hAnsiTheme="minorEastAsia"/>
          <w:bCs/>
          <w:color w:val="auto"/>
          <w:sz w:val="28"/>
          <w:szCs w:val="28"/>
          <w:highlight w:val="none"/>
          <w:lang w:val="en-US" w:eastAsia="zh-CN"/>
        </w:rPr>
        <w:t>5</w:t>
      </w:r>
    </w:p>
    <w:p w14:paraId="56CEEC51">
      <w:pPr>
        <w:pStyle w:val="19"/>
        <w:tabs>
          <w:tab w:val="right" w:leader="dot" w:pos="8279"/>
        </w:tabs>
        <w:spacing w:line="360" w:lineRule="auto"/>
        <w:rPr>
          <w:rFonts w:hint="eastAsia" w:eastAsiaTheme="minorEastAsia"/>
          <w:color w:val="auto"/>
          <w:sz w:val="28"/>
          <w:szCs w:val="28"/>
          <w:highlight w:val="none"/>
          <w:lang w:val="en-US" w:eastAsia="zh-CN"/>
        </w:rPr>
      </w:pPr>
      <w:r>
        <w:rPr>
          <w:rFonts w:asciiTheme="minorEastAsia" w:hAnsiTheme="minorEastAsia"/>
          <w:bCs/>
          <w:color w:val="auto"/>
          <w:sz w:val="28"/>
          <w:szCs w:val="28"/>
          <w:highlight w:val="none"/>
        </w:rPr>
        <w:fldChar w:fldCharType="begin"/>
      </w:r>
      <w:r>
        <w:rPr>
          <w:rFonts w:asciiTheme="minorEastAsia" w:hAnsiTheme="minorEastAsia"/>
          <w:bCs/>
          <w:color w:val="auto"/>
          <w:sz w:val="28"/>
          <w:szCs w:val="28"/>
          <w:highlight w:val="none"/>
        </w:rPr>
        <w:instrText xml:space="preserve"> HYPERLINK \l _Toc29923 </w:instrText>
      </w:r>
      <w:r>
        <w:rPr>
          <w:rFonts w:asciiTheme="minorEastAsia" w:hAnsiTheme="minorEastAsia"/>
          <w:bCs/>
          <w:color w:val="auto"/>
          <w:sz w:val="28"/>
          <w:szCs w:val="28"/>
          <w:highlight w:val="none"/>
        </w:rPr>
        <w:fldChar w:fldCharType="separate"/>
      </w:r>
      <w:r>
        <w:rPr>
          <w:rFonts w:hint="eastAsia" w:ascii="宋体" w:hAnsi="宋体" w:eastAsia="宋体"/>
          <w:color w:val="auto"/>
          <w:sz w:val="28"/>
          <w:szCs w:val="28"/>
          <w:highlight w:val="none"/>
        </w:rPr>
        <w:t xml:space="preserve">第五章  </w:t>
      </w:r>
      <w:r>
        <w:rPr>
          <w:rFonts w:ascii="宋体" w:hAnsi="宋体" w:eastAsia="宋体"/>
          <w:color w:val="auto"/>
          <w:sz w:val="28"/>
          <w:szCs w:val="28"/>
          <w:highlight w:val="none"/>
        </w:rPr>
        <w:t>政府采购合同</w:t>
      </w:r>
      <w:r>
        <w:rPr>
          <w:color w:val="auto"/>
          <w:sz w:val="28"/>
          <w:szCs w:val="28"/>
          <w:highlight w:val="none"/>
        </w:rPr>
        <w:tab/>
      </w:r>
      <w:r>
        <w:rPr>
          <w:rFonts w:hint="eastAsia"/>
          <w:color w:val="auto"/>
          <w:sz w:val="28"/>
          <w:szCs w:val="28"/>
          <w:highlight w:val="none"/>
          <w:lang w:val="en-US" w:eastAsia="zh-CN"/>
        </w:rPr>
        <w:t>3</w:t>
      </w:r>
      <w:r>
        <w:rPr>
          <w:rFonts w:asciiTheme="minorEastAsia" w:hAnsiTheme="minorEastAsia"/>
          <w:bCs/>
          <w:color w:val="auto"/>
          <w:sz w:val="28"/>
          <w:szCs w:val="28"/>
          <w:highlight w:val="none"/>
        </w:rPr>
        <w:fldChar w:fldCharType="end"/>
      </w:r>
      <w:r>
        <w:rPr>
          <w:rFonts w:hint="eastAsia" w:asciiTheme="minorEastAsia" w:hAnsiTheme="minorEastAsia"/>
          <w:bCs/>
          <w:color w:val="auto"/>
          <w:sz w:val="28"/>
          <w:szCs w:val="28"/>
          <w:highlight w:val="none"/>
          <w:lang w:val="en-US" w:eastAsia="zh-CN"/>
        </w:rPr>
        <w:t>1</w:t>
      </w:r>
    </w:p>
    <w:p w14:paraId="3D9D1BA1">
      <w:pPr>
        <w:pStyle w:val="19"/>
        <w:tabs>
          <w:tab w:val="right" w:leader="dot" w:pos="8279"/>
        </w:tabs>
        <w:spacing w:line="360" w:lineRule="auto"/>
        <w:rPr>
          <w:rFonts w:hint="eastAsia" w:eastAsiaTheme="minorEastAsia"/>
          <w:color w:val="auto"/>
          <w:sz w:val="28"/>
          <w:szCs w:val="28"/>
          <w:highlight w:val="none"/>
          <w:lang w:val="en-US" w:eastAsia="zh-CN"/>
        </w:rPr>
      </w:pPr>
      <w:r>
        <w:rPr>
          <w:rFonts w:asciiTheme="minorEastAsia" w:hAnsiTheme="minorEastAsia"/>
          <w:bCs/>
          <w:color w:val="auto"/>
          <w:sz w:val="28"/>
          <w:szCs w:val="28"/>
          <w:highlight w:val="none"/>
        </w:rPr>
        <w:fldChar w:fldCharType="begin"/>
      </w:r>
      <w:r>
        <w:rPr>
          <w:rFonts w:asciiTheme="minorEastAsia" w:hAnsiTheme="minorEastAsia"/>
          <w:bCs/>
          <w:color w:val="auto"/>
          <w:sz w:val="28"/>
          <w:szCs w:val="28"/>
          <w:highlight w:val="none"/>
        </w:rPr>
        <w:instrText xml:space="preserve"> HYPERLINK \l _Toc10214 </w:instrText>
      </w:r>
      <w:r>
        <w:rPr>
          <w:rFonts w:asciiTheme="minorEastAsia" w:hAnsiTheme="minorEastAsia"/>
          <w:bCs/>
          <w:color w:val="auto"/>
          <w:sz w:val="28"/>
          <w:szCs w:val="28"/>
          <w:highlight w:val="none"/>
        </w:rPr>
        <w:fldChar w:fldCharType="separate"/>
      </w:r>
      <w:r>
        <w:rPr>
          <w:rFonts w:hint="eastAsia" w:asciiTheme="minorEastAsia" w:hAnsiTheme="minorEastAsia" w:eastAsiaTheme="minorEastAsia"/>
          <w:color w:val="auto"/>
          <w:sz w:val="28"/>
          <w:szCs w:val="28"/>
          <w:highlight w:val="none"/>
        </w:rPr>
        <w:t>第六章  响应文件格式</w:t>
      </w:r>
      <w:r>
        <w:rPr>
          <w:color w:val="auto"/>
          <w:sz w:val="28"/>
          <w:szCs w:val="28"/>
          <w:highlight w:val="none"/>
        </w:rPr>
        <w:tab/>
      </w:r>
      <w:r>
        <w:rPr>
          <w:rFonts w:asciiTheme="minorEastAsia" w:hAnsiTheme="minorEastAsia"/>
          <w:bCs/>
          <w:color w:val="auto"/>
          <w:sz w:val="28"/>
          <w:szCs w:val="28"/>
          <w:highlight w:val="none"/>
        </w:rPr>
        <w:fldChar w:fldCharType="end"/>
      </w:r>
      <w:r>
        <w:rPr>
          <w:rFonts w:hint="eastAsia" w:asciiTheme="minorEastAsia" w:hAnsiTheme="minorEastAsia"/>
          <w:bCs/>
          <w:color w:val="auto"/>
          <w:sz w:val="28"/>
          <w:szCs w:val="28"/>
          <w:highlight w:val="none"/>
          <w:lang w:val="en-US" w:eastAsia="zh-CN"/>
        </w:rPr>
        <w:t>41</w:t>
      </w:r>
    </w:p>
    <w:p w14:paraId="197B4CA4">
      <w:pPr>
        <w:pStyle w:val="19"/>
        <w:tabs>
          <w:tab w:val="right" w:leader="dot" w:pos="8279"/>
        </w:tabs>
        <w:spacing w:line="360" w:lineRule="auto"/>
        <w:rPr>
          <w:rFonts w:hint="default" w:eastAsiaTheme="minorEastAsia"/>
          <w:color w:val="auto"/>
          <w:sz w:val="28"/>
          <w:szCs w:val="28"/>
          <w:highlight w:val="none"/>
          <w:lang w:val="en-US" w:eastAsia="zh-CN"/>
        </w:rPr>
      </w:pPr>
      <w:r>
        <w:rPr>
          <w:rFonts w:asciiTheme="minorEastAsia" w:hAnsiTheme="minorEastAsia"/>
          <w:bCs/>
          <w:color w:val="auto"/>
          <w:sz w:val="28"/>
          <w:szCs w:val="28"/>
          <w:highlight w:val="none"/>
        </w:rPr>
        <w:fldChar w:fldCharType="begin"/>
      </w:r>
      <w:r>
        <w:rPr>
          <w:rFonts w:asciiTheme="minorEastAsia" w:hAnsiTheme="minorEastAsia"/>
          <w:bCs/>
          <w:color w:val="auto"/>
          <w:sz w:val="28"/>
          <w:szCs w:val="28"/>
          <w:highlight w:val="none"/>
        </w:rPr>
        <w:instrText xml:space="preserve"> HYPERLINK \l _Toc2714 </w:instrText>
      </w:r>
      <w:r>
        <w:rPr>
          <w:rFonts w:asciiTheme="minorEastAsia" w:hAnsiTheme="minorEastAsia"/>
          <w:bCs/>
          <w:color w:val="auto"/>
          <w:sz w:val="28"/>
          <w:szCs w:val="28"/>
          <w:highlight w:val="none"/>
        </w:rPr>
        <w:fldChar w:fldCharType="separate"/>
      </w:r>
      <w:r>
        <w:rPr>
          <w:rFonts w:hint="eastAsia" w:ascii="宋体" w:hAnsi="宋体" w:eastAsia="宋体"/>
          <w:bCs/>
          <w:color w:val="auto"/>
          <w:sz w:val="28"/>
          <w:szCs w:val="28"/>
          <w:highlight w:val="none"/>
        </w:rPr>
        <w:t>第七章  政府采购</w:t>
      </w:r>
      <w:r>
        <w:rPr>
          <w:rFonts w:hint="eastAsia" w:asciiTheme="minorEastAsia" w:hAnsiTheme="minorEastAsia" w:eastAsiaTheme="minorEastAsia"/>
          <w:color w:val="auto"/>
          <w:sz w:val="28"/>
          <w:szCs w:val="28"/>
          <w:highlight w:val="none"/>
        </w:rPr>
        <w:t>供应</w:t>
      </w:r>
      <w:r>
        <w:rPr>
          <w:rFonts w:hint="eastAsia" w:ascii="宋体" w:hAnsi="宋体" w:eastAsia="宋体"/>
          <w:bCs/>
          <w:color w:val="auto"/>
          <w:sz w:val="28"/>
          <w:szCs w:val="28"/>
          <w:highlight w:val="none"/>
        </w:rPr>
        <w:t>商询问函和质疑函范本</w:t>
      </w:r>
      <w:r>
        <w:rPr>
          <w:color w:val="auto"/>
          <w:sz w:val="28"/>
          <w:szCs w:val="28"/>
          <w:highlight w:val="none"/>
        </w:rPr>
        <w:tab/>
      </w:r>
      <w:r>
        <w:rPr>
          <w:rFonts w:hint="eastAsia"/>
          <w:color w:val="auto"/>
          <w:sz w:val="28"/>
          <w:szCs w:val="28"/>
          <w:highlight w:val="none"/>
          <w:lang w:val="en-US" w:eastAsia="zh-CN"/>
        </w:rPr>
        <w:t>6</w:t>
      </w:r>
      <w:r>
        <w:rPr>
          <w:rFonts w:asciiTheme="minorEastAsia" w:hAnsiTheme="minorEastAsia"/>
          <w:bCs/>
          <w:color w:val="auto"/>
          <w:sz w:val="28"/>
          <w:szCs w:val="28"/>
          <w:highlight w:val="none"/>
        </w:rPr>
        <w:fldChar w:fldCharType="end"/>
      </w:r>
      <w:r>
        <w:rPr>
          <w:rFonts w:hint="eastAsia" w:asciiTheme="minorEastAsia" w:hAnsiTheme="minorEastAsia"/>
          <w:bCs/>
          <w:color w:val="auto"/>
          <w:sz w:val="28"/>
          <w:szCs w:val="28"/>
          <w:highlight w:val="none"/>
          <w:lang w:val="en-US" w:eastAsia="zh-CN"/>
        </w:rPr>
        <w:t>1</w:t>
      </w:r>
    </w:p>
    <w:p w14:paraId="28506B3A">
      <w:pPr>
        <w:pStyle w:val="20"/>
        <w:tabs>
          <w:tab w:val="right" w:leader="dot" w:pos="8296"/>
        </w:tabs>
        <w:spacing w:line="360" w:lineRule="auto"/>
        <w:rPr>
          <w:rFonts w:asciiTheme="minorEastAsia" w:hAnsiTheme="minorEastAsia"/>
          <w:b/>
          <w:color w:val="auto"/>
          <w:sz w:val="32"/>
          <w:highlight w:val="none"/>
        </w:rPr>
      </w:pPr>
      <w:r>
        <w:rPr>
          <w:rFonts w:asciiTheme="minorEastAsia" w:hAnsiTheme="minorEastAsia"/>
          <w:bCs/>
          <w:color w:val="auto"/>
          <w:sz w:val="28"/>
          <w:szCs w:val="28"/>
          <w:highlight w:val="none"/>
        </w:rPr>
        <w:fldChar w:fldCharType="end"/>
      </w:r>
    </w:p>
    <w:p w14:paraId="5E2293F8">
      <w:pPr>
        <w:spacing w:line="360" w:lineRule="auto"/>
        <w:jc w:val="center"/>
        <w:outlineLvl w:val="1"/>
        <w:rPr>
          <w:rFonts w:asciiTheme="minorEastAsia" w:hAnsiTheme="minorEastAsia" w:eastAsiaTheme="minorEastAsia"/>
          <w:b/>
          <w:color w:val="auto"/>
          <w:sz w:val="28"/>
          <w:highlight w:val="none"/>
        </w:rPr>
        <w:sectPr>
          <w:footerReference r:id="rId3" w:type="default"/>
          <w:pgSz w:w="11907" w:h="16840"/>
          <w:pgMar w:top="1474" w:right="1814" w:bottom="1474" w:left="1814" w:header="851" w:footer="992" w:gutter="0"/>
          <w:pgNumType w:fmt="decimal"/>
          <w:cols w:space="720" w:num="1"/>
          <w:docGrid w:linePitch="462" w:charSpace="0"/>
        </w:sectPr>
      </w:pPr>
      <w:bookmarkStart w:id="340" w:name="_GoBack"/>
      <w:bookmarkEnd w:id="340"/>
    </w:p>
    <w:p w14:paraId="49546EBC">
      <w:pPr>
        <w:spacing w:line="360" w:lineRule="auto"/>
        <w:jc w:val="center"/>
        <w:outlineLvl w:val="0"/>
        <w:rPr>
          <w:rFonts w:hint="eastAsia" w:asciiTheme="minorEastAsia" w:hAnsiTheme="minorEastAsia" w:eastAsiaTheme="minorEastAsia"/>
          <w:b/>
          <w:color w:val="auto"/>
          <w:sz w:val="28"/>
          <w:highlight w:val="none"/>
          <w:lang w:eastAsia="zh-CN"/>
        </w:rPr>
      </w:pPr>
      <w:bookmarkStart w:id="1" w:name="_Toc501"/>
      <w:bookmarkStart w:id="2" w:name="_Toc30910"/>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w:t>
      </w:r>
      <w:bookmarkEnd w:id="1"/>
      <w:bookmarkEnd w:id="2"/>
      <w:r>
        <w:rPr>
          <w:rFonts w:hint="eastAsia" w:asciiTheme="minorEastAsia" w:hAnsiTheme="minorEastAsia" w:eastAsiaTheme="minorEastAsia"/>
          <w:b/>
          <w:color w:val="auto"/>
          <w:sz w:val="28"/>
          <w:highlight w:val="none"/>
          <w:lang w:eastAsia="zh-CN"/>
        </w:rPr>
        <w:t>采购邀请</w:t>
      </w:r>
    </w:p>
    <w:p w14:paraId="569E2B0F">
      <w:pPr>
        <w:pageBreakBefore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560" w:lineRule="exact"/>
        <w:ind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项目概况：</w:t>
      </w:r>
      <w:r>
        <w:rPr>
          <w:rFonts w:hint="eastAsia" w:ascii="仿宋" w:hAnsi="仿宋" w:eastAsia="仿宋" w:cs="仿宋"/>
          <w:color w:val="auto"/>
          <w:sz w:val="28"/>
          <w:szCs w:val="28"/>
          <w:highlight w:val="none"/>
          <w:u w:val="single"/>
          <w:lang w:eastAsia="zh-CN"/>
        </w:rPr>
        <w:t>苏大堰排涝站水泵故障维修</w:t>
      </w:r>
      <w:r>
        <w:rPr>
          <w:rFonts w:hint="eastAsia" w:ascii="仿宋" w:hAnsi="仿宋" w:eastAsia="仿宋" w:cs="仿宋"/>
          <w:color w:val="auto"/>
          <w:sz w:val="28"/>
          <w:szCs w:val="28"/>
          <w:highlight w:val="none"/>
          <w:u w:val="single"/>
        </w:rPr>
        <w:t>项目（项目编号：</w:t>
      </w:r>
      <w:r>
        <w:rPr>
          <w:rFonts w:hint="eastAsia" w:ascii="仿宋" w:hAnsi="仿宋" w:eastAsia="仿宋" w:cs="仿宋"/>
          <w:color w:val="auto"/>
          <w:sz w:val="28"/>
          <w:szCs w:val="28"/>
          <w:highlight w:val="none"/>
          <w:u w:val="single"/>
          <w:lang w:val="en-US" w:eastAsia="zh-CN"/>
        </w:rPr>
        <w:t>LAHL20261002</w:t>
      </w:r>
      <w:r>
        <w:rPr>
          <w:rFonts w:hint="eastAsia"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rPr>
        <w:t>的潜在供应商应在六安市水利局（https://slj.luan.gov.cn/）获取采购文件，</w:t>
      </w:r>
      <w:r>
        <w:rPr>
          <w:rFonts w:hint="eastAsia" w:ascii="仿宋" w:hAnsi="仿宋" w:eastAsia="仿宋" w:cs="仿宋"/>
          <w:color w:val="auto"/>
          <w:sz w:val="28"/>
          <w:szCs w:val="28"/>
          <w:highlight w:val="none"/>
          <w:lang w:val="en-US" w:eastAsia="zh-CN"/>
        </w:rPr>
        <w:t>并</w:t>
      </w:r>
      <w:r>
        <w:rPr>
          <w:rFonts w:hint="eastAsia" w:ascii="仿宋" w:hAnsi="仿宋" w:eastAsia="仿宋" w:cs="仿宋"/>
          <w:color w:val="auto"/>
          <w:sz w:val="28"/>
          <w:szCs w:val="28"/>
          <w:highlight w:val="none"/>
        </w:rPr>
        <w:t>于</w:t>
      </w:r>
      <w:r>
        <w:rPr>
          <w:rFonts w:hint="eastAsia" w:ascii="仿宋" w:hAnsi="仿宋" w:eastAsia="仿宋" w:cs="仿宋"/>
          <w:color w:val="auto"/>
          <w:sz w:val="28"/>
          <w:szCs w:val="28"/>
          <w:highlight w:val="none"/>
          <w:u w:val="single"/>
        </w:rPr>
        <w:t>202</w:t>
      </w:r>
      <w:r>
        <w:rPr>
          <w:rFonts w:hint="eastAsia" w:ascii="仿宋" w:hAnsi="仿宋" w:eastAsia="仿宋" w:cs="仿宋"/>
          <w:color w:val="auto"/>
          <w:sz w:val="28"/>
          <w:szCs w:val="28"/>
          <w:highlight w:val="none"/>
          <w:u w:val="singl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lang w:val="en-US" w:eastAsia="zh-CN"/>
        </w:rPr>
        <w:t xml:space="preserve"> 11</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2</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9</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点</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00</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分（北京时间）前提交响应文件。</w:t>
      </w:r>
    </w:p>
    <w:p w14:paraId="5F0D980E">
      <w:pPr>
        <w:pStyle w:val="6"/>
        <w:pageBreakBefore w:val="0"/>
        <w:kinsoku/>
        <w:wordWrap/>
        <w:overflowPunct/>
        <w:topLinePunct w:val="0"/>
        <w:autoSpaceDE/>
        <w:autoSpaceDN/>
        <w:bidi w:val="0"/>
        <w:adjustRightInd/>
        <w:snapToGrid/>
        <w:spacing w:before="0" w:after="0" w:line="560" w:lineRule="exact"/>
        <w:ind w:left="0"/>
        <w:jc w:val="both"/>
        <w:textAlignment w:val="auto"/>
        <w:rPr>
          <w:rFonts w:ascii="黑体" w:hAnsi="黑体" w:cs="黑体"/>
          <w:b w:val="0"/>
          <w:bCs/>
          <w:color w:val="auto"/>
          <w:sz w:val="28"/>
          <w:szCs w:val="28"/>
          <w:highlight w:val="none"/>
        </w:rPr>
      </w:pPr>
      <w:bookmarkStart w:id="3" w:name="_Toc35393798"/>
      <w:bookmarkStart w:id="4" w:name="_Toc20658"/>
      <w:bookmarkStart w:id="5" w:name="_Toc28359089"/>
      <w:bookmarkStart w:id="6" w:name="_Toc28359012"/>
      <w:bookmarkStart w:id="7" w:name="_Toc13970"/>
      <w:bookmarkStart w:id="8" w:name="_Toc9864"/>
      <w:bookmarkStart w:id="9" w:name="_Toc35393629"/>
      <w:bookmarkStart w:id="10" w:name="_Toc31720"/>
      <w:r>
        <w:rPr>
          <w:rFonts w:hint="eastAsia" w:ascii="黑体" w:hAnsi="黑体" w:cs="黑体"/>
          <w:b w:val="0"/>
          <w:bCs/>
          <w:color w:val="auto"/>
          <w:sz w:val="28"/>
          <w:szCs w:val="28"/>
          <w:highlight w:val="none"/>
        </w:rPr>
        <w:t>一、项目基本情况</w:t>
      </w:r>
      <w:bookmarkEnd w:id="3"/>
      <w:bookmarkEnd w:id="4"/>
      <w:bookmarkEnd w:id="5"/>
      <w:bookmarkEnd w:id="6"/>
      <w:bookmarkEnd w:id="7"/>
      <w:bookmarkEnd w:id="8"/>
      <w:bookmarkEnd w:id="9"/>
      <w:bookmarkEnd w:id="10"/>
    </w:p>
    <w:p w14:paraId="3F840EB5">
      <w:pPr>
        <w:pageBreakBefore w:val="0"/>
        <w:kinsoku/>
        <w:wordWrap/>
        <w:overflowPunct/>
        <w:topLinePunct w:val="0"/>
        <w:autoSpaceDE/>
        <w:autoSpaceDN/>
        <w:bidi w:val="0"/>
        <w:adjustRightInd/>
        <w:snapToGrid/>
        <w:spacing w:line="56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1、项目编号：</w:t>
      </w:r>
      <w:r>
        <w:rPr>
          <w:rFonts w:hint="eastAsia" w:ascii="仿宋" w:hAnsi="仿宋" w:eastAsia="仿宋" w:cs="仿宋"/>
          <w:color w:val="auto"/>
          <w:sz w:val="28"/>
          <w:szCs w:val="28"/>
          <w:highlight w:val="none"/>
          <w:u w:val="none"/>
          <w:lang w:val="en-US" w:eastAsia="zh-CN"/>
        </w:rPr>
        <w:t>LAHL20261002</w:t>
      </w:r>
    </w:p>
    <w:p w14:paraId="56E52175">
      <w:pPr>
        <w:spacing w:line="560" w:lineRule="exact"/>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2、项目名称：</w:t>
      </w:r>
      <w:r>
        <w:rPr>
          <w:rFonts w:hint="eastAsia" w:ascii="仿宋" w:hAnsi="仿宋" w:eastAsia="仿宋" w:cs="仿宋"/>
          <w:color w:val="auto"/>
          <w:sz w:val="28"/>
          <w:szCs w:val="28"/>
          <w:highlight w:val="none"/>
          <w:lang w:eastAsia="zh-CN"/>
        </w:rPr>
        <w:t>苏大堰排涝站水泵故障维修</w:t>
      </w:r>
    </w:p>
    <w:p w14:paraId="6700574C">
      <w:pPr>
        <w:spacing w:line="560" w:lineRule="exact"/>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3、项目类型：</w:t>
      </w:r>
      <w:r>
        <w:rPr>
          <w:rFonts w:hint="eastAsia" w:ascii="仿宋" w:hAnsi="仿宋" w:eastAsia="仿宋" w:cs="仿宋"/>
          <w:color w:val="auto"/>
          <w:sz w:val="28"/>
          <w:szCs w:val="28"/>
          <w:highlight w:val="none"/>
          <w:lang w:val="en-US" w:eastAsia="zh-CN"/>
        </w:rPr>
        <w:t>服务类</w:t>
      </w:r>
    </w:p>
    <w:p w14:paraId="7F583876">
      <w:pPr>
        <w:pageBreakBefore w:val="0"/>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4、采购方式：竞争性磋商 </w:t>
      </w:r>
    </w:p>
    <w:p w14:paraId="147FD52C">
      <w:pPr>
        <w:pageBreakBefore w:val="0"/>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5、预算金额：</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20</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万元</w:t>
      </w:r>
    </w:p>
    <w:p w14:paraId="2E8BAC7B">
      <w:pPr>
        <w:pageBreakBefore w:val="0"/>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6、最高限价：</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20</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万元</w:t>
      </w:r>
    </w:p>
    <w:p w14:paraId="5860E34C">
      <w:pPr>
        <w:pStyle w:val="23"/>
        <w:keepNext w:val="0"/>
        <w:keepLines w:val="0"/>
        <w:pageBreakBefore w:val="0"/>
        <w:widowControl w:val="0"/>
        <w:kinsoku/>
        <w:wordWrap/>
        <w:overflowPunct/>
        <w:topLinePunct w:val="0"/>
        <w:autoSpaceDE/>
        <w:autoSpaceDN/>
        <w:bidi w:val="0"/>
        <w:adjustRightInd/>
        <w:snapToGrid/>
        <w:spacing w:line="620" w:lineRule="exact"/>
        <w:ind w:left="0" w:leftChars="0"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color w:val="auto"/>
          <w:sz w:val="28"/>
          <w:szCs w:val="28"/>
          <w:highlight w:val="none"/>
        </w:rPr>
        <w:t>7、采购需求：</w:t>
      </w:r>
      <w:r>
        <w:rPr>
          <w:rFonts w:hint="eastAsia" w:ascii="仿宋" w:hAnsi="仿宋" w:eastAsia="仿宋" w:cs="仿宋"/>
          <w:color w:val="auto"/>
          <w:sz w:val="28"/>
          <w:szCs w:val="28"/>
          <w:highlight w:val="none"/>
          <w:lang w:val="en-US" w:eastAsia="zh-CN"/>
        </w:rPr>
        <w:t>苏大堰排涝站6号、7号水泵机组故障，水泵监测控制器报警提示水泵内腔漏水、线盒漏水。为保障水泵运行安全，对苏大堰排涝站2台500KW/10KV潜水轴流泵返厂维修，彻底消除水泵运行隐患。</w:t>
      </w:r>
    </w:p>
    <w:p w14:paraId="6CF9F2AF">
      <w:pPr>
        <w:pageBreakBefore w:val="0"/>
        <w:widowControl/>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8、合同履行期限：</w:t>
      </w:r>
      <w:r>
        <w:rPr>
          <w:rFonts w:hint="eastAsia" w:ascii="仿宋" w:hAnsi="仿宋" w:eastAsia="仿宋" w:cs="仿宋"/>
          <w:color w:val="auto"/>
          <w:sz w:val="28"/>
          <w:szCs w:val="28"/>
          <w:highlight w:val="none"/>
          <w:lang w:val="en-US" w:eastAsia="zh-CN"/>
        </w:rPr>
        <w:t>自合同签订之日起45日历天内完成完成返厂维修服务。</w:t>
      </w:r>
    </w:p>
    <w:p w14:paraId="7CEB6FCD">
      <w:pPr>
        <w:pageBreakBefore w:val="0"/>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9、是否接受联合体：本项目不接受联合体。</w:t>
      </w:r>
    </w:p>
    <w:p w14:paraId="55F43B44">
      <w:pPr>
        <w:pStyle w:val="6"/>
        <w:pageBreakBefore w:val="0"/>
        <w:kinsoku/>
        <w:wordWrap/>
        <w:overflowPunct/>
        <w:topLinePunct w:val="0"/>
        <w:autoSpaceDE/>
        <w:autoSpaceDN/>
        <w:bidi w:val="0"/>
        <w:adjustRightInd/>
        <w:snapToGrid/>
        <w:spacing w:before="0" w:after="0" w:line="560" w:lineRule="exact"/>
        <w:ind w:left="0"/>
        <w:jc w:val="both"/>
        <w:textAlignment w:val="auto"/>
        <w:rPr>
          <w:rFonts w:ascii="黑体" w:hAnsi="黑体" w:cs="黑体"/>
          <w:b w:val="0"/>
          <w:bCs/>
          <w:color w:val="auto"/>
          <w:sz w:val="28"/>
          <w:szCs w:val="28"/>
          <w:highlight w:val="none"/>
        </w:rPr>
      </w:pPr>
      <w:bookmarkStart w:id="11" w:name="_Toc24573"/>
      <w:bookmarkStart w:id="12" w:name="_Toc8072"/>
      <w:bookmarkStart w:id="13" w:name="_Toc18558"/>
      <w:bookmarkStart w:id="14" w:name="_Toc28359013"/>
      <w:bookmarkStart w:id="15" w:name="_Toc35393799"/>
      <w:bookmarkStart w:id="16" w:name="_Toc31029"/>
      <w:bookmarkStart w:id="17" w:name="_Toc35393630"/>
      <w:bookmarkStart w:id="18" w:name="_Toc28359090"/>
      <w:bookmarkStart w:id="19" w:name="_Toc28359014"/>
      <w:bookmarkStart w:id="20" w:name="_Toc28359091"/>
      <w:r>
        <w:rPr>
          <w:rFonts w:hint="eastAsia" w:ascii="黑体" w:hAnsi="黑体" w:cs="黑体"/>
          <w:b w:val="0"/>
          <w:bCs/>
          <w:color w:val="auto"/>
          <w:sz w:val="28"/>
          <w:szCs w:val="28"/>
          <w:highlight w:val="none"/>
        </w:rPr>
        <w:t>二、申请人的资格要求</w:t>
      </w:r>
      <w:bookmarkEnd w:id="11"/>
      <w:bookmarkEnd w:id="12"/>
      <w:bookmarkEnd w:id="13"/>
      <w:bookmarkEnd w:id="14"/>
      <w:bookmarkEnd w:id="15"/>
      <w:bookmarkEnd w:id="16"/>
      <w:bookmarkEnd w:id="17"/>
      <w:bookmarkEnd w:id="18"/>
    </w:p>
    <w:p w14:paraId="3586D5C6">
      <w:pPr>
        <w:pageBreakBefore w:val="0"/>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1、满足《中华人民共和国政府采购法》第二十二条规定；</w:t>
      </w:r>
    </w:p>
    <w:p w14:paraId="0D4AD939">
      <w:pPr>
        <w:pageBreakBefore w:val="0"/>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2、落实政府采购政策需满足的资格要求：本项目为非专门面向中小企业采购的项目，但落实中小微企业、监狱企业、残疾人福利性单位扶持政策；</w:t>
      </w:r>
    </w:p>
    <w:p w14:paraId="4AACD6E7">
      <w:pPr>
        <w:pageBreakBefore w:val="0"/>
        <w:kinsoku/>
        <w:wordWrap/>
        <w:overflowPunct/>
        <w:topLinePunct w:val="0"/>
        <w:autoSpaceDE/>
        <w:autoSpaceDN/>
        <w:bidi w:val="0"/>
        <w:adjustRightInd/>
        <w:snapToGrid/>
        <w:spacing w:line="56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3、本项目的特定资格要求：</w:t>
      </w:r>
    </w:p>
    <w:p w14:paraId="20737AB6">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1、供应商资质要求：须为潜水电泵设备的生产制造商。</w:t>
      </w:r>
    </w:p>
    <w:p w14:paraId="23B33E71">
      <w:pPr>
        <w:spacing w:line="520" w:lineRule="exact"/>
        <w:ind w:firstLine="560" w:firstLineChars="200"/>
        <w:jc w:val="left"/>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供应商业绩要求：近5年内（自2021年1月1日以来，至开标截止日止），供应商具有维修（维保）或生产制造类似高压潜水电泵的业绩。注：①响应文件中须提供维修（维保）或生产制造相关合同及验收证明材料扫描件，时间以合同签订时间为准；②如上述材料不能明确反映出关键信息，应另附合同甲方出具的证明材料（须加盖合同甲单位公章）予以明确说明，否则不予认可。）</w:t>
      </w:r>
    </w:p>
    <w:p w14:paraId="2A5B3399">
      <w:pPr>
        <w:pStyle w:val="6"/>
        <w:pageBreakBefore w:val="0"/>
        <w:kinsoku/>
        <w:wordWrap/>
        <w:overflowPunct/>
        <w:topLinePunct w:val="0"/>
        <w:autoSpaceDE/>
        <w:autoSpaceDN/>
        <w:bidi w:val="0"/>
        <w:adjustRightInd/>
        <w:snapToGrid/>
        <w:spacing w:before="0" w:after="0" w:line="360" w:lineRule="auto"/>
        <w:ind w:left="0"/>
        <w:jc w:val="both"/>
        <w:textAlignment w:val="auto"/>
        <w:rPr>
          <w:rFonts w:ascii="黑体" w:hAnsi="黑体" w:cs="黑体"/>
          <w:b w:val="0"/>
          <w:bCs/>
          <w:color w:val="auto"/>
          <w:sz w:val="28"/>
          <w:szCs w:val="28"/>
          <w:highlight w:val="none"/>
        </w:rPr>
      </w:pPr>
      <w:bookmarkStart w:id="21" w:name="_Toc35393800"/>
      <w:bookmarkStart w:id="22" w:name="_Toc23310"/>
      <w:bookmarkStart w:id="23" w:name="_Toc32583"/>
      <w:bookmarkStart w:id="24" w:name="_Toc35393631"/>
      <w:bookmarkStart w:id="25" w:name="_Toc26634"/>
      <w:bookmarkStart w:id="26" w:name="_Toc575"/>
      <w:r>
        <w:rPr>
          <w:rFonts w:hint="eastAsia" w:ascii="黑体" w:hAnsi="黑体" w:cs="黑体"/>
          <w:b w:val="0"/>
          <w:bCs/>
          <w:color w:val="auto"/>
          <w:sz w:val="28"/>
          <w:szCs w:val="28"/>
          <w:highlight w:val="none"/>
        </w:rPr>
        <w:t>三、获取采购文件</w:t>
      </w:r>
      <w:bookmarkEnd w:id="19"/>
      <w:bookmarkEnd w:id="20"/>
      <w:bookmarkEnd w:id="21"/>
      <w:bookmarkEnd w:id="22"/>
      <w:bookmarkEnd w:id="23"/>
      <w:bookmarkEnd w:id="24"/>
      <w:bookmarkEnd w:id="25"/>
      <w:bookmarkEnd w:id="26"/>
    </w:p>
    <w:p w14:paraId="648610E8">
      <w:pPr>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color w:val="FF0000"/>
          <w:kern w:val="0"/>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kern w:val="0"/>
          <w:sz w:val="28"/>
          <w:szCs w:val="28"/>
          <w:highlight w:val="none"/>
        </w:rPr>
        <w:t>时间：</w:t>
      </w:r>
      <w:r>
        <w:rPr>
          <w:rFonts w:hint="eastAsia" w:ascii="仿宋" w:hAnsi="仿宋" w:eastAsia="仿宋" w:cs="仿宋"/>
          <w:color w:val="auto"/>
          <w:kern w:val="0"/>
          <w:sz w:val="28"/>
          <w:szCs w:val="28"/>
          <w:highlight w:val="none"/>
          <w:lang w:val="en-US" w:eastAsia="zh-CN"/>
        </w:rPr>
        <w:t>2026</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10</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22</w:t>
      </w:r>
      <w:r>
        <w:rPr>
          <w:rFonts w:hint="eastAsia" w:ascii="仿宋" w:hAnsi="仿宋" w:eastAsia="仿宋" w:cs="仿宋"/>
          <w:color w:val="auto"/>
          <w:kern w:val="0"/>
          <w:sz w:val="28"/>
          <w:szCs w:val="28"/>
          <w:highlight w:val="none"/>
        </w:rPr>
        <w:t>日至2026年</w:t>
      </w:r>
      <w:r>
        <w:rPr>
          <w:rFonts w:hint="eastAsia" w:ascii="仿宋" w:hAnsi="仿宋" w:eastAsia="仿宋" w:cs="仿宋"/>
          <w:color w:val="auto"/>
          <w:kern w:val="0"/>
          <w:sz w:val="28"/>
          <w:szCs w:val="28"/>
          <w:highlight w:val="none"/>
          <w:lang w:val="en-US" w:eastAsia="zh-CN"/>
        </w:rPr>
        <w:t>11</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2</w:t>
      </w: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9</w:t>
      </w:r>
      <w:r>
        <w:rPr>
          <w:rFonts w:hint="eastAsia" w:ascii="仿宋" w:hAnsi="仿宋" w:eastAsia="仿宋" w:cs="仿宋"/>
          <w:color w:val="auto"/>
          <w:kern w:val="0"/>
          <w:sz w:val="28"/>
          <w:szCs w:val="28"/>
          <w:highlight w:val="none"/>
        </w:rPr>
        <w:t>点00分（北京时间）</w:t>
      </w:r>
    </w:p>
    <w:p w14:paraId="0C2911A3">
      <w:pPr>
        <w:pageBreakBefore w:val="0"/>
        <w:widowControl/>
        <w:kinsoku/>
        <w:wordWrap/>
        <w:overflowPunct/>
        <w:topLinePunct w:val="0"/>
        <w:autoSpaceDE/>
        <w:autoSpaceDN/>
        <w:bidi w:val="0"/>
        <w:adjustRightInd/>
        <w:snapToGrid/>
        <w:spacing w:line="360" w:lineRule="auto"/>
        <w:ind w:left="559" w:leftChars="266" w:firstLine="0" w:firstLineChars="0"/>
        <w:jc w:val="both"/>
        <w:textAlignment w:val="auto"/>
        <w:rPr>
          <w:rFonts w:hint="default" w:ascii="仿宋" w:hAnsi="仿宋" w:eastAsia="仿宋" w:cs="仿宋"/>
          <w:color w:val="000000"/>
          <w:kern w:val="0"/>
          <w:sz w:val="28"/>
          <w:szCs w:val="28"/>
          <w:highlight w:val="none"/>
          <w:lang w:val="en-US" w:eastAsia="zh-CN"/>
        </w:rPr>
      </w:pPr>
      <w:r>
        <w:rPr>
          <w:rFonts w:hint="eastAsia" w:ascii="仿宋" w:hAnsi="仿宋" w:eastAsia="仿宋" w:cs="仿宋"/>
          <w:color w:val="000000"/>
          <w:kern w:val="0"/>
          <w:sz w:val="28"/>
          <w:szCs w:val="28"/>
          <w:highlight w:val="none"/>
        </w:rPr>
        <w:t>2、地点：</w:t>
      </w:r>
      <w:r>
        <w:rPr>
          <w:rFonts w:hint="eastAsia" w:ascii="仿宋" w:hAnsi="仿宋" w:eastAsia="仿宋" w:cs="仿宋"/>
          <w:color w:val="000000"/>
          <w:kern w:val="0"/>
          <w:sz w:val="28"/>
          <w:szCs w:val="28"/>
          <w:highlight w:val="none"/>
          <w:lang w:val="en-US" w:eastAsia="zh-CN"/>
        </w:rPr>
        <w:t>六安市水利局</w:t>
      </w:r>
      <w:r>
        <w:rPr>
          <w:rFonts w:hint="eastAsia" w:ascii="仿宋" w:hAnsi="仿宋" w:eastAsia="仿宋" w:cs="仿宋"/>
          <w:color w:val="000000"/>
          <w:kern w:val="0"/>
          <w:sz w:val="28"/>
          <w:szCs w:val="28"/>
          <w:highlight w:val="none"/>
        </w:rPr>
        <w:t>（https://slj.luan.gov.cn/）</w:t>
      </w:r>
    </w:p>
    <w:p w14:paraId="63A83DEE">
      <w:pPr>
        <w:pageBreakBefore w:val="0"/>
        <w:kinsoku/>
        <w:wordWrap/>
        <w:overflowPunct/>
        <w:topLinePunct w:val="0"/>
        <w:autoSpaceDE/>
        <w:autoSpaceDN/>
        <w:bidi w:val="0"/>
        <w:adjustRightInd/>
        <w:snapToGrid/>
        <w:spacing w:line="360" w:lineRule="auto"/>
        <w:ind w:left="0"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000000"/>
          <w:kern w:val="0"/>
          <w:sz w:val="28"/>
          <w:szCs w:val="28"/>
          <w:highlight w:val="none"/>
        </w:rPr>
        <w:t>3、获取方式：</w:t>
      </w:r>
      <w:r>
        <w:rPr>
          <w:rFonts w:hint="eastAsia" w:ascii="仿宋" w:hAnsi="仿宋" w:eastAsia="仿宋" w:cs="仿宋"/>
          <w:color w:val="000000"/>
          <w:kern w:val="0"/>
          <w:sz w:val="28"/>
          <w:szCs w:val="28"/>
          <w:highlight w:val="none"/>
          <w:lang w:val="en-US" w:eastAsia="zh-CN"/>
        </w:rPr>
        <w:t>自行在公示公告栏目中下载。</w:t>
      </w:r>
    </w:p>
    <w:p w14:paraId="71DBEA73">
      <w:pPr>
        <w:pStyle w:val="6"/>
        <w:pageBreakBefore w:val="0"/>
        <w:kinsoku/>
        <w:wordWrap/>
        <w:overflowPunct/>
        <w:topLinePunct w:val="0"/>
        <w:autoSpaceDE/>
        <w:autoSpaceDN/>
        <w:bidi w:val="0"/>
        <w:adjustRightInd/>
        <w:snapToGrid/>
        <w:spacing w:before="0" w:after="0" w:line="560" w:lineRule="exact"/>
        <w:ind w:left="0"/>
        <w:jc w:val="both"/>
        <w:textAlignment w:val="auto"/>
        <w:rPr>
          <w:rFonts w:ascii="黑体" w:hAnsi="黑体" w:cs="黑体"/>
          <w:b w:val="0"/>
          <w:bCs/>
          <w:color w:val="auto"/>
          <w:sz w:val="28"/>
          <w:szCs w:val="28"/>
          <w:highlight w:val="none"/>
        </w:rPr>
      </w:pPr>
      <w:bookmarkStart w:id="27" w:name="_Toc35393801"/>
      <w:bookmarkStart w:id="28" w:name="_Toc28359015"/>
      <w:bookmarkStart w:id="29" w:name="_Toc35393632"/>
      <w:bookmarkStart w:id="30" w:name="_Toc28359092"/>
      <w:bookmarkStart w:id="31" w:name="_Toc7401"/>
      <w:bookmarkStart w:id="32" w:name="_Toc26077"/>
      <w:bookmarkStart w:id="33" w:name="_Toc30719"/>
      <w:bookmarkStart w:id="34" w:name="_Toc2740"/>
      <w:r>
        <w:rPr>
          <w:rFonts w:hint="eastAsia" w:ascii="黑体" w:hAnsi="黑体" w:cs="黑体"/>
          <w:b w:val="0"/>
          <w:bCs/>
          <w:color w:val="auto"/>
          <w:sz w:val="28"/>
          <w:szCs w:val="28"/>
          <w:highlight w:val="none"/>
        </w:rPr>
        <w:t>四、响应文件</w:t>
      </w:r>
      <w:bookmarkEnd w:id="27"/>
      <w:bookmarkEnd w:id="28"/>
      <w:bookmarkEnd w:id="29"/>
      <w:bookmarkEnd w:id="30"/>
      <w:r>
        <w:rPr>
          <w:rFonts w:hint="eastAsia" w:ascii="黑体" w:hAnsi="黑体" w:cs="黑体"/>
          <w:b w:val="0"/>
          <w:bCs/>
          <w:color w:val="auto"/>
          <w:sz w:val="28"/>
          <w:szCs w:val="28"/>
          <w:highlight w:val="none"/>
        </w:rPr>
        <w:t>提交</w:t>
      </w:r>
      <w:bookmarkEnd w:id="31"/>
      <w:bookmarkEnd w:id="32"/>
      <w:bookmarkEnd w:id="33"/>
      <w:bookmarkEnd w:id="34"/>
    </w:p>
    <w:p w14:paraId="507CDB07">
      <w:pPr>
        <w:spacing w:line="560" w:lineRule="exact"/>
        <w:ind w:firstLine="560" w:firstLineChars="200"/>
        <w:rPr>
          <w:rFonts w:hint="eastAsia" w:ascii="仿宋" w:hAnsi="仿宋" w:eastAsia="仿宋" w:cs="仿宋"/>
          <w:bCs/>
          <w:color w:val="auto"/>
          <w:sz w:val="28"/>
          <w:szCs w:val="28"/>
          <w:highlight w:val="none"/>
        </w:rPr>
      </w:pPr>
      <w:bookmarkStart w:id="35" w:name="_Toc35393633"/>
      <w:bookmarkStart w:id="36" w:name="_Toc28359016"/>
      <w:bookmarkStart w:id="37" w:name="_Toc28359093"/>
      <w:bookmarkStart w:id="38" w:name="_Toc35393802"/>
      <w:bookmarkStart w:id="39" w:name="_Toc1586"/>
      <w:bookmarkStart w:id="40" w:name="_Toc11900"/>
      <w:bookmarkStart w:id="41" w:name="_Toc18791"/>
      <w:bookmarkStart w:id="42" w:name="_Toc26903"/>
      <w:r>
        <w:rPr>
          <w:rFonts w:hint="eastAsia" w:ascii="仿宋" w:hAnsi="仿宋" w:eastAsia="仿宋" w:cs="仿宋"/>
          <w:color w:val="auto"/>
          <w:sz w:val="28"/>
          <w:szCs w:val="28"/>
          <w:highlight w:val="none"/>
        </w:rPr>
        <w:t>1、截止时间：</w:t>
      </w:r>
      <w:r>
        <w:rPr>
          <w:rFonts w:hint="eastAsia" w:ascii="仿宋" w:hAnsi="仿宋" w:eastAsia="仿宋" w:cs="仿宋"/>
          <w:bCs/>
          <w:color w:val="auto"/>
          <w:sz w:val="28"/>
          <w:szCs w:val="28"/>
          <w:highlight w:val="none"/>
          <w:u w:val="single"/>
        </w:rPr>
        <w:t>202</w:t>
      </w:r>
      <w:r>
        <w:rPr>
          <w:rFonts w:hint="eastAsia" w:ascii="仿宋" w:hAnsi="仿宋" w:eastAsia="仿宋" w:cs="仿宋"/>
          <w:bCs/>
          <w:color w:val="auto"/>
          <w:sz w:val="28"/>
          <w:szCs w:val="28"/>
          <w:highlight w:val="none"/>
          <w:u w:val="single"/>
          <w:lang w:val="en-US" w:eastAsia="zh-CN"/>
        </w:rPr>
        <w:t>6</w:t>
      </w:r>
      <w:r>
        <w:rPr>
          <w:rFonts w:hint="eastAsia" w:ascii="仿宋" w:hAnsi="仿宋" w:eastAsia="仿宋" w:cs="仿宋"/>
          <w:bCs/>
          <w:color w:val="auto"/>
          <w:sz w:val="28"/>
          <w:szCs w:val="28"/>
          <w:highlight w:val="none"/>
        </w:rPr>
        <w:t>年</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u w:val="single"/>
          <w:lang w:val="en-US" w:eastAsia="zh-CN"/>
        </w:rPr>
        <w:t xml:space="preserve">11 </w:t>
      </w:r>
      <w:r>
        <w:rPr>
          <w:rFonts w:hint="eastAsia" w:ascii="仿宋" w:hAnsi="仿宋" w:eastAsia="仿宋" w:cs="仿宋"/>
          <w:bCs/>
          <w:color w:val="auto"/>
          <w:sz w:val="28"/>
          <w:szCs w:val="28"/>
          <w:highlight w:val="none"/>
        </w:rPr>
        <w:t>月</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u w:val="single"/>
          <w:lang w:val="en-US" w:eastAsia="zh-CN"/>
        </w:rPr>
        <w:t xml:space="preserve">2 </w:t>
      </w:r>
      <w:r>
        <w:rPr>
          <w:rFonts w:hint="eastAsia" w:ascii="仿宋" w:hAnsi="仿宋" w:eastAsia="仿宋" w:cs="仿宋"/>
          <w:bCs/>
          <w:color w:val="auto"/>
          <w:sz w:val="28"/>
          <w:szCs w:val="28"/>
          <w:highlight w:val="none"/>
        </w:rPr>
        <w:t>日</w:t>
      </w:r>
      <w:r>
        <w:rPr>
          <w:rFonts w:hint="eastAsia" w:ascii="仿宋" w:hAnsi="仿宋" w:eastAsia="仿宋" w:cs="仿宋"/>
          <w:bCs/>
          <w:color w:val="auto"/>
          <w:sz w:val="28"/>
          <w:szCs w:val="28"/>
          <w:highlight w:val="none"/>
          <w:u w:val="single"/>
          <w:lang w:val="en-US" w:eastAsia="zh-CN"/>
        </w:rPr>
        <w:t xml:space="preserve"> 9</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rPr>
        <w:t>点</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u w:val="single"/>
          <w:lang w:val="en-US" w:eastAsia="zh-CN"/>
        </w:rPr>
        <w:t>00</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rPr>
        <w:t>分（北京时间）</w:t>
      </w:r>
    </w:p>
    <w:p w14:paraId="37174A4E">
      <w:pPr>
        <w:widowControl/>
        <w:spacing w:line="560" w:lineRule="exact"/>
        <w:ind w:firstLine="560" w:firstLineChars="200"/>
        <w:rPr>
          <w:rFonts w:hint="eastAsia" w:ascii="仿宋" w:hAnsi="仿宋" w:eastAsia="仿宋" w:cs="仿宋"/>
          <w:bCs/>
          <w:color w:val="auto"/>
          <w:kern w:val="0"/>
          <w:sz w:val="28"/>
          <w:szCs w:val="28"/>
          <w:highlight w:val="none"/>
          <w:shd w:val="clear" w:color="auto" w:fill="FFFFFF"/>
          <w:lang w:bidi="ar"/>
        </w:rPr>
      </w:pPr>
      <w:r>
        <w:rPr>
          <w:rFonts w:hint="eastAsia" w:ascii="仿宋" w:hAnsi="仿宋" w:eastAsia="仿宋" w:cs="仿宋"/>
          <w:color w:val="auto"/>
          <w:kern w:val="0"/>
          <w:sz w:val="28"/>
          <w:szCs w:val="28"/>
          <w:highlight w:val="none"/>
        </w:rPr>
        <w:t>2、</w:t>
      </w:r>
      <w:r>
        <w:rPr>
          <w:rFonts w:hint="eastAsia" w:ascii="仿宋" w:hAnsi="仿宋" w:eastAsia="仿宋" w:cs="仿宋"/>
          <w:color w:val="auto"/>
          <w:kern w:val="0"/>
          <w:sz w:val="28"/>
          <w:szCs w:val="28"/>
          <w:highlight w:val="none"/>
          <w:lang w:val="en-US" w:eastAsia="zh-CN"/>
        </w:rPr>
        <w:t>地点</w:t>
      </w:r>
      <w:r>
        <w:rPr>
          <w:rFonts w:hint="eastAsia" w:ascii="仿宋" w:hAnsi="仿宋" w:eastAsia="仿宋" w:cs="仿宋"/>
          <w:color w:val="auto"/>
          <w:kern w:val="0"/>
          <w:sz w:val="28"/>
          <w:szCs w:val="28"/>
          <w:highlight w:val="none"/>
        </w:rPr>
        <w:t>：</w:t>
      </w:r>
      <w:r>
        <w:rPr>
          <w:rFonts w:hint="eastAsia" w:ascii="仿宋" w:hAnsi="仿宋" w:eastAsia="仿宋" w:cs="仿宋"/>
          <w:bCs/>
          <w:color w:val="auto"/>
          <w:kern w:val="0"/>
          <w:sz w:val="28"/>
          <w:szCs w:val="28"/>
          <w:highlight w:val="none"/>
          <w:shd w:val="clear" w:color="auto" w:fill="FFFFFF"/>
          <w:lang w:val="en-US" w:eastAsia="zh-CN" w:bidi="ar"/>
        </w:rPr>
        <w:t>六安市水利局六楼606会议室</w:t>
      </w:r>
      <w:r>
        <w:rPr>
          <w:rFonts w:hint="eastAsia" w:ascii="仿宋" w:hAnsi="仿宋" w:eastAsia="仿宋" w:cs="仿宋"/>
          <w:bCs/>
          <w:color w:val="auto"/>
          <w:kern w:val="0"/>
          <w:sz w:val="28"/>
          <w:szCs w:val="28"/>
          <w:highlight w:val="none"/>
          <w:shd w:val="clear" w:color="auto" w:fill="FFFFFF"/>
          <w:lang w:bidi="ar"/>
        </w:rPr>
        <w:t>（六安市金安区皖西大道 1513 号）</w:t>
      </w:r>
    </w:p>
    <w:p w14:paraId="4F77F242">
      <w:pPr>
        <w:widowControl/>
        <w:spacing w:line="560" w:lineRule="exact"/>
        <w:ind w:firstLine="560" w:firstLineChars="200"/>
        <w:rPr>
          <w:rFonts w:hint="eastAsia" w:ascii="仿宋" w:hAnsi="仿宋" w:eastAsia="仿宋" w:cs="仿宋"/>
          <w:bCs/>
          <w:color w:val="auto"/>
          <w:kern w:val="0"/>
          <w:sz w:val="28"/>
          <w:szCs w:val="28"/>
          <w:highlight w:val="none"/>
          <w:shd w:val="clear" w:color="auto" w:fill="FFFFFF"/>
          <w:lang w:bidi="ar"/>
        </w:rPr>
      </w:pPr>
      <w:r>
        <w:rPr>
          <w:rFonts w:hint="eastAsia" w:ascii="仿宋" w:hAnsi="仿宋" w:eastAsia="仿宋" w:cs="仿宋"/>
          <w:color w:val="auto"/>
          <w:sz w:val="28"/>
          <w:szCs w:val="28"/>
          <w:highlight w:val="none"/>
          <w:lang w:bidi="ar"/>
        </w:rPr>
        <w:t>3、响应文件提交方式：</w:t>
      </w:r>
      <w:r>
        <w:rPr>
          <w:rFonts w:hint="eastAsia" w:ascii="仿宋" w:hAnsi="仿宋" w:eastAsia="仿宋" w:cs="仿宋"/>
          <w:bCs/>
          <w:color w:val="auto"/>
          <w:kern w:val="0"/>
          <w:sz w:val="28"/>
          <w:szCs w:val="28"/>
          <w:highlight w:val="none"/>
          <w:shd w:val="clear" w:color="auto" w:fill="FFFFFF"/>
          <w:lang w:bidi="ar"/>
        </w:rPr>
        <w:t>各供应商应在提交及开启截止时间前现场递交纸质响应文件。逾期送达的或者未送达指定地点的响应文件，采购人不予受理。</w:t>
      </w:r>
    </w:p>
    <w:p w14:paraId="42829225">
      <w:pPr>
        <w:pStyle w:val="6"/>
        <w:pageBreakBefore w:val="0"/>
        <w:kinsoku/>
        <w:wordWrap/>
        <w:overflowPunct/>
        <w:topLinePunct w:val="0"/>
        <w:autoSpaceDE/>
        <w:autoSpaceDN/>
        <w:bidi w:val="0"/>
        <w:adjustRightInd/>
        <w:snapToGrid/>
        <w:spacing w:before="0" w:after="0" w:line="560" w:lineRule="exact"/>
        <w:ind w:left="0"/>
        <w:jc w:val="both"/>
        <w:textAlignment w:val="auto"/>
        <w:rPr>
          <w:rFonts w:ascii="黑体" w:hAnsi="黑体" w:cs="黑体"/>
          <w:b w:val="0"/>
          <w:bCs/>
          <w:color w:val="auto"/>
          <w:sz w:val="28"/>
          <w:szCs w:val="28"/>
          <w:highlight w:val="none"/>
        </w:rPr>
      </w:pPr>
      <w:r>
        <w:rPr>
          <w:rFonts w:hint="eastAsia" w:ascii="黑体" w:hAnsi="黑体" w:cs="黑体"/>
          <w:b w:val="0"/>
          <w:bCs/>
          <w:color w:val="auto"/>
          <w:sz w:val="28"/>
          <w:szCs w:val="28"/>
          <w:highlight w:val="none"/>
        </w:rPr>
        <w:t>五、</w:t>
      </w:r>
      <w:bookmarkEnd w:id="35"/>
      <w:bookmarkEnd w:id="36"/>
      <w:bookmarkEnd w:id="37"/>
      <w:bookmarkEnd w:id="38"/>
      <w:r>
        <w:rPr>
          <w:rFonts w:hint="eastAsia" w:ascii="黑体" w:hAnsi="黑体" w:cs="黑体"/>
          <w:b w:val="0"/>
          <w:bCs/>
          <w:color w:val="auto"/>
          <w:sz w:val="28"/>
          <w:szCs w:val="28"/>
          <w:highlight w:val="none"/>
        </w:rPr>
        <w:t>响应文件开启</w:t>
      </w:r>
      <w:bookmarkEnd w:id="39"/>
      <w:bookmarkEnd w:id="40"/>
      <w:bookmarkEnd w:id="41"/>
      <w:bookmarkEnd w:id="42"/>
    </w:p>
    <w:p w14:paraId="39332A47">
      <w:pPr>
        <w:pageBreakBefore w:val="0"/>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1、时间：</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u w:val="single"/>
          <w:lang w:val="en-US" w:eastAsia="zh-CN"/>
        </w:rPr>
        <w:t>2026</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rPr>
        <w:t>年</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u w:val="single"/>
          <w:lang w:val="en-US" w:eastAsia="zh-CN"/>
        </w:rPr>
        <w:t>11</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rPr>
        <w:t>月</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u w:val="single"/>
          <w:lang w:val="en-US" w:eastAsia="zh-CN"/>
        </w:rPr>
        <w:t>2</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rPr>
        <w:t>日</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u w:val="single"/>
          <w:lang w:val="en-US" w:eastAsia="zh-CN"/>
        </w:rPr>
        <w:t>9</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rPr>
        <w:t>点</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u w:val="single"/>
          <w:lang w:val="en-US" w:eastAsia="zh-CN"/>
        </w:rPr>
        <w:t>00</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rPr>
        <w:t>分</w:t>
      </w:r>
      <w:r>
        <w:rPr>
          <w:rFonts w:hint="eastAsia" w:ascii="仿宋" w:hAnsi="仿宋" w:eastAsia="仿宋" w:cs="仿宋"/>
          <w:color w:val="auto"/>
          <w:sz w:val="28"/>
          <w:szCs w:val="28"/>
          <w:highlight w:val="none"/>
        </w:rPr>
        <w:t>（北京时间）</w:t>
      </w:r>
    </w:p>
    <w:p w14:paraId="38102A50">
      <w:pPr>
        <w:widowControl/>
        <w:spacing w:line="560" w:lineRule="exact"/>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2、地点：</w:t>
      </w:r>
      <w:r>
        <w:rPr>
          <w:rFonts w:hint="eastAsia" w:ascii="仿宋" w:hAnsi="仿宋" w:eastAsia="仿宋" w:cs="仿宋"/>
          <w:bCs/>
          <w:color w:val="auto"/>
          <w:kern w:val="0"/>
          <w:sz w:val="28"/>
          <w:szCs w:val="28"/>
          <w:highlight w:val="none"/>
          <w:shd w:val="clear" w:color="auto" w:fill="FFFFFF"/>
          <w:lang w:val="en-US" w:eastAsia="zh-CN" w:bidi="ar"/>
        </w:rPr>
        <w:t>六安市水利局六楼606会议室</w:t>
      </w:r>
      <w:r>
        <w:rPr>
          <w:rFonts w:hint="eastAsia" w:ascii="仿宋" w:hAnsi="仿宋" w:eastAsia="仿宋" w:cs="仿宋"/>
          <w:bCs/>
          <w:color w:val="auto"/>
          <w:kern w:val="0"/>
          <w:sz w:val="28"/>
          <w:szCs w:val="28"/>
          <w:highlight w:val="none"/>
          <w:shd w:val="clear" w:color="auto" w:fill="FFFFFF"/>
          <w:lang w:bidi="ar"/>
        </w:rPr>
        <w:t>（六安市金安区皖西大道 1513 号）</w:t>
      </w:r>
    </w:p>
    <w:p w14:paraId="0756F85C">
      <w:pPr>
        <w:pStyle w:val="6"/>
        <w:pageBreakBefore w:val="0"/>
        <w:kinsoku/>
        <w:wordWrap/>
        <w:overflowPunct/>
        <w:topLinePunct w:val="0"/>
        <w:autoSpaceDE/>
        <w:autoSpaceDN/>
        <w:bidi w:val="0"/>
        <w:adjustRightInd/>
        <w:snapToGrid/>
        <w:spacing w:before="0" w:after="0" w:line="560" w:lineRule="exact"/>
        <w:ind w:left="0"/>
        <w:jc w:val="both"/>
        <w:textAlignment w:val="auto"/>
        <w:rPr>
          <w:rFonts w:ascii="黑体" w:hAnsi="黑体" w:cs="黑体"/>
          <w:b w:val="0"/>
          <w:bCs/>
          <w:color w:val="auto"/>
          <w:sz w:val="28"/>
          <w:szCs w:val="28"/>
          <w:highlight w:val="none"/>
        </w:rPr>
      </w:pPr>
      <w:bookmarkStart w:id="43" w:name="_Toc20464"/>
      <w:bookmarkStart w:id="44" w:name="_Toc35393803"/>
      <w:bookmarkStart w:id="45" w:name="_Toc6439"/>
      <w:bookmarkStart w:id="46" w:name="_Toc35393634"/>
      <w:bookmarkStart w:id="47" w:name="_Toc28359094"/>
      <w:bookmarkStart w:id="48" w:name="_Toc3084"/>
      <w:bookmarkStart w:id="49" w:name="_Toc29465"/>
      <w:bookmarkStart w:id="50" w:name="_Toc28359017"/>
      <w:r>
        <w:rPr>
          <w:rFonts w:hint="eastAsia" w:ascii="黑体" w:hAnsi="黑体" w:cs="黑体"/>
          <w:b w:val="0"/>
          <w:bCs/>
          <w:color w:val="auto"/>
          <w:sz w:val="28"/>
          <w:szCs w:val="28"/>
          <w:highlight w:val="none"/>
        </w:rPr>
        <w:t>六、公告期限</w:t>
      </w:r>
      <w:bookmarkEnd w:id="43"/>
      <w:bookmarkEnd w:id="44"/>
      <w:bookmarkEnd w:id="45"/>
      <w:bookmarkEnd w:id="46"/>
      <w:bookmarkEnd w:id="47"/>
      <w:bookmarkEnd w:id="48"/>
      <w:bookmarkEnd w:id="49"/>
      <w:bookmarkEnd w:id="50"/>
    </w:p>
    <w:p w14:paraId="24EC5296">
      <w:pPr>
        <w:pageBreakBefore w:val="0"/>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自本公告发布之日起3个工作日。</w:t>
      </w:r>
    </w:p>
    <w:p w14:paraId="0D319563">
      <w:pPr>
        <w:pageBreakBefore w:val="0"/>
        <w:kinsoku/>
        <w:wordWrap/>
        <w:overflowPunct/>
        <w:topLinePunct w:val="0"/>
        <w:autoSpaceDE/>
        <w:autoSpaceDN/>
        <w:bidi w:val="0"/>
        <w:adjustRightInd/>
        <w:snapToGrid/>
        <w:spacing w:line="560" w:lineRule="exact"/>
        <w:ind w:left="0"/>
        <w:jc w:val="both"/>
        <w:textAlignment w:val="auto"/>
        <w:rPr>
          <w:rFonts w:ascii="黑体" w:hAnsi="黑体" w:eastAsia="黑体" w:cs="黑体"/>
          <w:color w:val="auto"/>
          <w:sz w:val="28"/>
          <w:szCs w:val="28"/>
          <w:highlight w:val="none"/>
        </w:rPr>
      </w:pPr>
      <w:r>
        <w:rPr>
          <w:rFonts w:hint="eastAsia" w:ascii="黑体" w:hAnsi="黑体" w:eastAsia="黑体" w:cs="黑体"/>
          <w:color w:val="auto"/>
          <w:sz w:val="28"/>
          <w:szCs w:val="28"/>
          <w:highlight w:val="none"/>
        </w:rPr>
        <w:t>七、</w:t>
      </w:r>
      <w:bookmarkStart w:id="51" w:name="_Toc35393635"/>
      <w:bookmarkStart w:id="52" w:name="_Toc35393804"/>
      <w:r>
        <w:rPr>
          <w:rFonts w:hint="eastAsia" w:ascii="黑体" w:hAnsi="黑体" w:eastAsia="黑体" w:cs="黑体"/>
          <w:color w:val="auto"/>
          <w:sz w:val="28"/>
          <w:szCs w:val="28"/>
          <w:highlight w:val="none"/>
        </w:rPr>
        <w:t>其他事宜</w:t>
      </w:r>
      <w:bookmarkEnd w:id="51"/>
      <w:bookmarkEnd w:id="52"/>
      <w:bookmarkStart w:id="53" w:name="_Toc28359018"/>
      <w:bookmarkStart w:id="54" w:name="_Toc35393636"/>
      <w:bookmarkStart w:id="55" w:name="_Toc35393805"/>
      <w:bookmarkStart w:id="56" w:name="_Toc28359095"/>
    </w:p>
    <w:bookmarkEnd w:id="53"/>
    <w:bookmarkEnd w:id="54"/>
    <w:bookmarkEnd w:id="55"/>
    <w:bookmarkEnd w:id="56"/>
    <w:p w14:paraId="6221AD4B">
      <w:pPr>
        <w:pageBreakBefore w:val="0"/>
        <w:kinsoku/>
        <w:wordWrap/>
        <w:overflowPunct/>
        <w:topLinePunct w:val="0"/>
        <w:autoSpaceDE/>
        <w:autoSpaceDN/>
        <w:bidi w:val="0"/>
        <w:adjustRightInd/>
        <w:snapToGrid/>
        <w:spacing w:line="560" w:lineRule="exact"/>
        <w:ind w:left="0" w:firstLine="56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sz w:val="28"/>
          <w:szCs w:val="28"/>
          <w:highlight w:val="none"/>
        </w:rPr>
        <w:t>（</w:t>
      </w:r>
      <w:r>
        <w:rPr>
          <w:rFonts w:hint="eastAsia" w:ascii="仿宋" w:hAnsi="仿宋" w:eastAsia="仿宋" w:cs="仿宋"/>
          <w:color w:val="auto"/>
          <w:kern w:val="0"/>
          <w:sz w:val="28"/>
          <w:szCs w:val="28"/>
          <w:highlight w:val="none"/>
        </w:rPr>
        <w:t>1）</w:t>
      </w:r>
      <w:r>
        <w:rPr>
          <w:rFonts w:hint="eastAsia" w:ascii="仿宋" w:hAnsi="仿宋" w:eastAsia="仿宋" w:cs="仿宋"/>
          <w:color w:val="auto"/>
          <w:kern w:val="0"/>
          <w:sz w:val="28"/>
          <w:szCs w:val="28"/>
          <w:highlight w:val="none"/>
          <w:lang w:val="en-US" w:eastAsia="zh-CN"/>
        </w:rPr>
        <w:t>本项目符合财政部、工业和信息化部制定的《政府采购促进中小企业发展管理办法》第六条第三款之规定，为非适宜由中小企业提供。具体原因如下：本项目要求</w:t>
      </w:r>
      <w:r>
        <w:rPr>
          <w:rFonts w:hint="eastAsia" w:ascii="仿宋" w:hAnsi="仿宋" w:eastAsia="仿宋" w:cs="仿宋"/>
          <w:color w:val="auto"/>
          <w:sz w:val="28"/>
          <w:szCs w:val="28"/>
          <w:highlight w:val="none"/>
          <w:lang w:val="en-US" w:eastAsia="zh-CN"/>
        </w:rPr>
        <w:t>对苏大堰排涝站2台500KW/10KV潜水轴流泵返厂维修</w:t>
      </w:r>
      <w:r>
        <w:rPr>
          <w:rFonts w:hint="eastAsia" w:ascii="仿宋" w:hAnsi="仿宋" w:eastAsia="仿宋" w:cs="仿宋"/>
          <w:color w:val="auto"/>
          <w:kern w:val="0"/>
          <w:sz w:val="28"/>
          <w:szCs w:val="28"/>
          <w:highlight w:val="none"/>
          <w:lang w:val="en-US" w:eastAsia="zh-CN"/>
        </w:rPr>
        <w:t>，专业性强，时间紧，若只面向中小企业可能会影响本次项目采购目标的实现。专门面向中小企业采购无法完全匹配需求，无法充分竞争，故不专门面向中小企业采购。</w:t>
      </w:r>
    </w:p>
    <w:p w14:paraId="174E288C">
      <w:pPr>
        <w:pageBreakBefore w:val="0"/>
        <w:kinsoku/>
        <w:wordWrap/>
        <w:overflowPunct/>
        <w:topLinePunct w:val="0"/>
        <w:autoSpaceDE/>
        <w:autoSpaceDN/>
        <w:bidi w:val="0"/>
        <w:adjustRightInd/>
        <w:snapToGrid/>
        <w:spacing w:line="560" w:lineRule="exact"/>
        <w:ind w:left="0" w:firstLine="560" w:firstLineChars="200"/>
        <w:jc w:val="both"/>
        <w:textAlignment w:val="auto"/>
        <w:rPr>
          <w:rFonts w:hint="eastAsia" w:ascii="宋体" w:hAnsi="宋体" w:eastAsia="宋体" w:cs="宋体"/>
          <w:bCs/>
          <w:color w:val="auto"/>
          <w:sz w:val="28"/>
          <w:szCs w:val="28"/>
          <w:highlight w:val="none"/>
          <w:lang w:val="en-US" w:eastAsia="zh-CN"/>
        </w:rPr>
      </w:pPr>
      <w:r>
        <w:rPr>
          <w:rFonts w:hint="eastAsia" w:ascii="仿宋" w:hAnsi="仿宋" w:eastAsia="仿宋" w:cs="仿宋"/>
          <w:color w:val="auto"/>
          <w:kern w:val="0"/>
          <w:sz w:val="28"/>
          <w:szCs w:val="28"/>
          <w:highlight w:val="none"/>
          <w:lang w:val="en-US" w:eastAsia="zh-CN"/>
        </w:rPr>
        <w:t>如对此项内容有疑问，可向采购人/代理机构提出质疑。</w:t>
      </w:r>
    </w:p>
    <w:p w14:paraId="7F595C52">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Cs/>
          <w:color w:val="auto"/>
          <w:kern w:val="0"/>
          <w:sz w:val="28"/>
          <w:szCs w:val="28"/>
          <w:highlight w:val="none"/>
        </w:rPr>
      </w:pPr>
      <w:r>
        <w:rPr>
          <w:rFonts w:hint="eastAsia" w:ascii="仿宋" w:hAnsi="仿宋" w:eastAsia="仿宋" w:cs="仿宋"/>
          <w:bCs/>
          <w:color w:val="auto"/>
          <w:kern w:val="0"/>
          <w:sz w:val="28"/>
          <w:szCs w:val="28"/>
          <w:highlight w:val="none"/>
          <w:lang w:eastAsia="zh-CN"/>
        </w:rPr>
        <w:t>（</w:t>
      </w:r>
      <w:r>
        <w:rPr>
          <w:rFonts w:hint="eastAsia" w:ascii="仿宋" w:hAnsi="仿宋" w:eastAsia="仿宋" w:cs="仿宋"/>
          <w:bCs/>
          <w:color w:val="auto"/>
          <w:kern w:val="0"/>
          <w:sz w:val="28"/>
          <w:szCs w:val="28"/>
          <w:highlight w:val="none"/>
          <w:lang w:val="en-US" w:eastAsia="zh-CN"/>
        </w:rPr>
        <w:t>2</w:t>
      </w:r>
      <w:r>
        <w:rPr>
          <w:rFonts w:hint="eastAsia" w:ascii="仿宋" w:hAnsi="仿宋" w:eastAsia="仿宋" w:cs="仿宋"/>
          <w:bCs/>
          <w:color w:val="auto"/>
          <w:kern w:val="0"/>
          <w:sz w:val="28"/>
          <w:szCs w:val="28"/>
          <w:highlight w:val="none"/>
          <w:lang w:eastAsia="zh-CN"/>
        </w:rPr>
        <w:t>）</w:t>
      </w:r>
      <w:r>
        <w:rPr>
          <w:rFonts w:hint="eastAsia" w:ascii="仿宋" w:hAnsi="仿宋" w:eastAsia="仿宋" w:cs="仿宋"/>
          <w:color w:val="auto"/>
          <w:sz w:val="28"/>
          <w:szCs w:val="28"/>
          <w:highlight w:val="none"/>
          <w:lang w:bidi="ar"/>
        </w:rPr>
        <w:t>响应保证金：本项目无需提供。</w:t>
      </w:r>
    </w:p>
    <w:p w14:paraId="217E6746">
      <w:pPr>
        <w:pStyle w:val="6"/>
        <w:pageBreakBefore w:val="0"/>
        <w:widowControl/>
        <w:kinsoku/>
        <w:wordWrap/>
        <w:overflowPunct/>
        <w:topLinePunct w:val="0"/>
        <w:autoSpaceDE/>
        <w:autoSpaceDN/>
        <w:bidi w:val="0"/>
        <w:adjustRightInd/>
        <w:snapToGrid/>
        <w:spacing w:before="0" w:after="0" w:line="560" w:lineRule="exact"/>
        <w:ind w:left="0" w:firstLine="0"/>
        <w:jc w:val="both"/>
        <w:textAlignment w:val="auto"/>
        <w:rPr>
          <w:rFonts w:hint="eastAsia" w:ascii="黑体" w:hAnsi="黑体" w:cs="黑体"/>
          <w:b w:val="0"/>
          <w:bCs w:val="0"/>
          <w:color w:val="auto"/>
          <w:kern w:val="0"/>
          <w:sz w:val="28"/>
          <w:szCs w:val="28"/>
          <w:highlight w:val="none"/>
        </w:rPr>
      </w:pPr>
      <w:bookmarkStart w:id="57" w:name="_Toc19777"/>
      <w:bookmarkStart w:id="58" w:name="_Toc26145"/>
      <w:bookmarkStart w:id="59" w:name="_Toc22370"/>
      <w:bookmarkStart w:id="60" w:name="_Toc21041"/>
      <w:r>
        <w:rPr>
          <w:rFonts w:hint="eastAsia" w:ascii="黑体" w:hAnsi="黑体" w:cs="黑体"/>
          <w:b w:val="0"/>
          <w:bCs w:val="0"/>
          <w:color w:val="auto"/>
          <w:kern w:val="0"/>
          <w:sz w:val="28"/>
          <w:szCs w:val="28"/>
          <w:highlight w:val="none"/>
          <w:lang w:val="en-US" w:eastAsia="zh-CN"/>
        </w:rPr>
        <w:t>八</w:t>
      </w:r>
      <w:r>
        <w:rPr>
          <w:rFonts w:hint="eastAsia" w:ascii="黑体" w:hAnsi="黑体" w:cs="黑体"/>
          <w:b w:val="0"/>
          <w:bCs w:val="0"/>
          <w:color w:val="auto"/>
          <w:kern w:val="0"/>
          <w:sz w:val="28"/>
          <w:szCs w:val="28"/>
          <w:highlight w:val="none"/>
        </w:rPr>
        <w:t>、对本次招标提出询问，请按以下方式联系。</w:t>
      </w:r>
      <w:bookmarkEnd w:id="57"/>
      <w:bookmarkEnd w:id="58"/>
      <w:bookmarkEnd w:id="59"/>
      <w:bookmarkEnd w:id="60"/>
    </w:p>
    <w:p w14:paraId="7BE73E93">
      <w:pPr>
        <w:pStyle w:val="6"/>
        <w:pageBreakBefore w:val="0"/>
        <w:kinsoku/>
        <w:wordWrap/>
        <w:overflowPunct/>
        <w:topLinePunct w:val="0"/>
        <w:autoSpaceDE/>
        <w:autoSpaceDN/>
        <w:bidi w:val="0"/>
        <w:adjustRightInd/>
        <w:snapToGrid/>
        <w:spacing w:before="0" w:after="0" w:line="500" w:lineRule="exact"/>
        <w:ind w:firstLine="560" w:firstLineChars="200"/>
        <w:jc w:val="both"/>
        <w:textAlignment w:val="auto"/>
        <w:rPr>
          <w:rFonts w:hint="eastAsia" w:ascii="仿宋" w:hAnsi="仿宋" w:eastAsia="仿宋" w:cs="仿宋"/>
          <w:b w:val="0"/>
          <w:bCs/>
          <w:color w:val="auto"/>
          <w:sz w:val="28"/>
          <w:szCs w:val="28"/>
          <w:highlight w:val="none"/>
        </w:rPr>
      </w:pPr>
      <w:bookmarkStart w:id="61" w:name="_Toc35393806"/>
      <w:bookmarkStart w:id="62" w:name="_Toc32104"/>
      <w:bookmarkStart w:id="63" w:name="_Toc28359096"/>
      <w:bookmarkStart w:id="64" w:name="_Toc30756"/>
      <w:bookmarkStart w:id="65" w:name="_Toc17822"/>
      <w:bookmarkStart w:id="66" w:name="_Toc35393637"/>
      <w:bookmarkStart w:id="67" w:name="_Toc28359019"/>
      <w:bookmarkStart w:id="68" w:name="_Toc12167"/>
      <w:r>
        <w:rPr>
          <w:rFonts w:hint="eastAsia" w:ascii="仿宋" w:hAnsi="仿宋" w:eastAsia="仿宋" w:cs="仿宋"/>
          <w:b w:val="0"/>
          <w:bCs/>
          <w:color w:val="auto"/>
          <w:sz w:val="28"/>
          <w:szCs w:val="28"/>
          <w:highlight w:val="none"/>
        </w:rPr>
        <w:t>1、采购人信息</w:t>
      </w:r>
      <w:bookmarkEnd w:id="61"/>
      <w:bookmarkEnd w:id="62"/>
      <w:bookmarkEnd w:id="63"/>
      <w:bookmarkEnd w:id="64"/>
      <w:bookmarkEnd w:id="65"/>
      <w:bookmarkEnd w:id="66"/>
      <w:bookmarkEnd w:id="67"/>
      <w:bookmarkEnd w:id="68"/>
    </w:p>
    <w:p w14:paraId="5BD8E23B">
      <w:pPr>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名    称：六安市水利局</w:t>
      </w:r>
    </w:p>
    <w:p w14:paraId="38B6A8B5">
      <w:pPr>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地    址：六安市金安区皖西大道1513号</w:t>
      </w:r>
    </w:p>
    <w:p w14:paraId="05AFF2E2">
      <w:pPr>
        <w:pageBreakBefore w:val="0"/>
        <w:kinsoku/>
        <w:wordWrap/>
        <w:overflowPunct/>
        <w:topLinePunct w:val="0"/>
        <w:autoSpaceDE/>
        <w:autoSpaceDN/>
        <w:bidi w:val="0"/>
        <w:adjustRightInd/>
        <w:snapToGrid/>
        <w:spacing w:line="500" w:lineRule="exact"/>
        <w:ind w:firstLine="560" w:firstLineChars="200"/>
        <w:textAlignment w:val="auto"/>
        <w:rPr>
          <w:rFonts w:hint="default"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rPr>
        <w:t>联系方式：</w:t>
      </w:r>
      <w:bookmarkStart w:id="69" w:name="_Toc35393638"/>
      <w:bookmarkStart w:id="70" w:name="_Toc35393807"/>
      <w:bookmarkStart w:id="71" w:name="_Toc28359097"/>
      <w:bookmarkStart w:id="72" w:name="_Toc28359020"/>
      <w:r>
        <w:rPr>
          <w:rFonts w:hint="eastAsia" w:ascii="仿宋" w:hAnsi="仿宋" w:eastAsia="仿宋" w:cs="仿宋"/>
          <w:bCs/>
          <w:color w:val="auto"/>
          <w:sz w:val="28"/>
          <w:szCs w:val="28"/>
          <w:highlight w:val="none"/>
        </w:rPr>
        <w:t>0564-</w:t>
      </w:r>
      <w:r>
        <w:rPr>
          <w:rFonts w:hint="eastAsia" w:ascii="仿宋" w:hAnsi="仿宋" w:eastAsia="仿宋" w:cs="仿宋"/>
          <w:bCs/>
          <w:color w:val="auto"/>
          <w:sz w:val="28"/>
          <w:szCs w:val="28"/>
          <w:highlight w:val="none"/>
          <w:lang w:val="en-US" w:eastAsia="zh-CN"/>
        </w:rPr>
        <w:t>3371611</w:t>
      </w:r>
    </w:p>
    <w:p w14:paraId="0AA5D4C9">
      <w:pPr>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2、采购代理机构信息</w:t>
      </w:r>
      <w:bookmarkEnd w:id="69"/>
      <w:bookmarkEnd w:id="70"/>
      <w:bookmarkEnd w:id="71"/>
      <w:bookmarkEnd w:id="72"/>
      <w:bookmarkStart w:id="73" w:name="_Toc28359098"/>
      <w:bookmarkStart w:id="74" w:name="_Toc35393639"/>
      <w:bookmarkStart w:id="75" w:name="_Toc35393808"/>
      <w:bookmarkStart w:id="76" w:name="_Toc28359021"/>
    </w:p>
    <w:p w14:paraId="675D5FFE">
      <w:pPr>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名 称：</w:t>
      </w:r>
      <w:r>
        <w:rPr>
          <w:rFonts w:hint="default" w:ascii="仿宋" w:hAnsi="仿宋" w:eastAsia="仿宋" w:cs="仿宋"/>
          <w:bCs/>
          <w:color w:val="auto"/>
          <w:sz w:val="28"/>
          <w:szCs w:val="28"/>
          <w:highlight w:val="none"/>
          <w:lang w:val="en-US" w:eastAsia="zh-CN"/>
        </w:rPr>
        <w:t>六安市厚灵工程咨询服务有限公司</w:t>
      </w:r>
    </w:p>
    <w:p w14:paraId="5235E1FA">
      <w:pPr>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rPr>
        <w:t>地　址：</w:t>
      </w:r>
      <w:r>
        <w:rPr>
          <w:rFonts w:hint="eastAsia" w:ascii="仿宋" w:hAnsi="仿宋" w:eastAsia="仿宋" w:cs="仿宋"/>
          <w:bCs/>
          <w:color w:val="auto"/>
          <w:sz w:val="28"/>
          <w:szCs w:val="28"/>
          <w:highlight w:val="none"/>
          <w:lang w:eastAsia="zh-CN"/>
        </w:rPr>
        <w:t>六安市金安区万达华府2号楼1单元3203室</w:t>
      </w:r>
    </w:p>
    <w:p w14:paraId="30007260">
      <w:pPr>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联系方式：0564-3330080</w:t>
      </w:r>
    </w:p>
    <w:p w14:paraId="0FBD401D">
      <w:pPr>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3、项目联系方式</w:t>
      </w:r>
      <w:bookmarkEnd w:id="73"/>
      <w:bookmarkEnd w:id="74"/>
      <w:bookmarkEnd w:id="75"/>
      <w:bookmarkEnd w:id="76"/>
    </w:p>
    <w:p w14:paraId="7928984C">
      <w:pPr>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项目联系人：</w:t>
      </w:r>
      <w:r>
        <w:rPr>
          <w:rFonts w:hint="eastAsia" w:ascii="仿宋" w:hAnsi="仿宋" w:eastAsia="仿宋" w:cs="仿宋"/>
          <w:bCs/>
          <w:color w:val="auto"/>
          <w:sz w:val="28"/>
          <w:szCs w:val="28"/>
          <w:highlight w:val="none"/>
          <w:lang w:val="en-US" w:eastAsia="zh-CN"/>
        </w:rPr>
        <w:t>夏</w:t>
      </w:r>
      <w:r>
        <w:rPr>
          <w:rFonts w:hint="eastAsia" w:ascii="仿宋" w:hAnsi="仿宋" w:eastAsia="仿宋" w:cs="仿宋"/>
          <w:bCs/>
          <w:color w:val="auto"/>
          <w:sz w:val="28"/>
          <w:szCs w:val="28"/>
          <w:highlight w:val="none"/>
        </w:rPr>
        <w:t>工</w:t>
      </w:r>
    </w:p>
    <w:p w14:paraId="7366D6CD">
      <w:pPr>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电　   话：0564-3330080</w:t>
      </w:r>
    </w:p>
    <w:p w14:paraId="388AAA72">
      <w:pPr>
        <w:widowControl/>
        <w:spacing w:line="560" w:lineRule="exact"/>
        <w:ind w:firstLine="560" w:firstLineChars="200"/>
        <w:rPr>
          <w:rFonts w:hint="eastAsia" w:ascii="仿宋" w:hAnsi="仿宋" w:eastAsia="仿宋" w:cs="仿宋"/>
          <w:bCs/>
          <w:color w:val="auto"/>
          <w:sz w:val="28"/>
          <w:szCs w:val="28"/>
          <w:highlight w:val="none"/>
        </w:rPr>
      </w:pPr>
    </w:p>
    <w:p w14:paraId="508DDAAF">
      <w:pPr>
        <w:spacing w:line="520" w:lineRule="exact"/>
        <w:jc w:val="right"/>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202</w:t>
      </w:r>
      <w:r>
        <w:rPr>
          <w:rFonts w:hint="eastAsia" w:ascii="仿宋" w:hAnsi="仿宋" w:eastAsia="仿宋" w:cs="仿宋"/>
          <w:bCs/>
          <w:color w:val="auto"/>
          <w:sz w:val="28"/>
          <w:szCs w:val="28"/>
          <w:highlight w:val="none"/>
          <w:lang w:val="en-US" w:eastAsia="zh-CN"/>
        </w:rPr>
        <w:t>6</w:t>
      </w:r>
      <w:r>
        <w:rPr>
          <w:rFonts w:hint="eastAsia" w:ascii="仿宋" w:hAnsi="仿宋" w:eastAsia="仿宋" w:cs="仿宋"/>
          <w:bCs/>
          <w:color w:val="auto"/>
          <w:sz w:val="28"/>
          <w:szCs w:val="28"/>
          <w:highlight w:val="none"/>
        </w:rPr>
        <w:t>年</w:t>
      </w:r>
      <w:r>
        <w:rPr>
          <w:rFonts w:hint="eastAsia" w:ascii="仿宋" w:hAnsi="仿宋" w:eastAsia="仿宋" w:cs="仿宋"/>
          <w:bCs/>
          <w:color w:val="auto"/>
          <w:sz w:val="28"/>
          <w:szCs w:val="28"/>
          <w:highlight w:val="none"/>
          <w:lang w:val="en-US" w:eastAsia="zh-CN"/>
        </w:rPr>
        <w:t>10</w:t>
      </w:r>
      <w:r>
        <w:rPr>
          <w:rFonts w:hint="eastAsia" w:ascii="仿宋" w:hAnsi="仿宋" w:eastAsia="仿宋" w:cs="仿宋"/>
          <w:bCs/>
          <w:color w:val="auto"/>
          <w:sz w:val="28"/>
          <w:szCs w:val="28"/>
          <w:highlight w:val="none"/>
        </w:rPr>
        <w:t>月</w:t>
      </w:r>
      <w:r>
        <w:rPr>
          <w:rFonts w:hint="eastAsia" w:ascii="仿宋" w:hAnsi="仿宋" w:eastAsia="仿宋" w:cs="仿宋"/>
          <w:bCs/>
          <w:color w:val="auto"/>
          <w:sz w:val="28"/>
          <w:szCs w:val="28"/>
          <w:highlight w:val="none"/>
          <w:lang w:val="en-US" w:eastAsia="zh-CN"/>
        </w:rPr>
        <w:t>22</w:t>
      </w:r>
      <w:r>
        <w:rPr>
          <w:rFonts w:hint="eastAsia" w:ascii="仿宋" w:hAnsi="仿宋" w:eastAsia="仿宋" w:cs="仿宋"/>
          <w:bCs/>
          <w:color w:val="auto"/>
          <w:sz w:val="28"/>
          <w:szCs w:val="28"/>
          <w:highlight w:val="none"/>
        </w:rPr>
        <w:t>日</w:t>
      </w:r>
    </w:p>
    <w:p w14:paraId="69F8B6C3">
      <w:pPr>
        <w:spacing w:line="360" w:lineRule="auto"/>
        <w:jc w:val="both"/>
        <w:rPr>
          <w:rFonts w:ascii="宋体" w:hAnsi="宋体" w:eastAsia="宋体"/>
          <w:color w:val="auto"/>
          <w:sz w:val="24"/>
          <w:szCs w:val="18"/>
          <w:highlight w:val="none"/>
        </w:rPr>
      </w:pPr>
      <w:r>
        <w:rPr>
          <w:rFonts w:ascii="宋体" w:hAnsi="宋体" w:eastAsia="宋体"/>
          <w:color w:val="auto"/>
          <w:sz w:val="24"/>
          <w:szCs w:val="18"/>
          <w:highlight w:val="none"/>
        </w:rPr>
        <w:br w:type="page"/>
      </w:r>
    </w:p>
    <w:p w14:paraId="3ED52938">
      <w:pPr>
        <w:spacing w:line="360" w:lineRule="auto"/>
        <w:jc w:val="center"/>
        <w:outlineLvl w:val="0"/>
        <w:rPr>
          <w:rFonts w:hint="eastAsia" w:ascii="宋体" w:hAnsi="宋体" w:eastAsia="宋体" w:cs="宋体"/>
          <w:b/>
          <w:color w:val="auto"/>
          <w:sz w:val="28"/>
          <w:highlight w:val="none"/>
        </w:rPr>
      </w:pPr>
      <w:bookmarkStart w:id="77" w:name="_Toc14251"/>
      <w:r>
        <w:rPr>
          <w:rFonts w:hint="eastAsia" w:ascii="宋体" w:hAnsi="宋体" w:eastAsia="宋体" w:cs="宋体"/>
          <w:b/>
          <w:color w:val="auto"/>
          <w:sz w:val="28"/>
          <w:highlight w:val="none"/>
        </w:rPr>
        <w:t>第二章  供应商须知</w:t>
      </w:r>
      <w:bookmarkEnd w:id="77"/>
    </w:p>
    <w:p w14:paraId="0505787A">
      <w:pPr>
        <w:spacing w:line="360" w:lineRule="auto"/>
        <w:jc w:val="center"/>
        <w:outlineLvl w:val="1"/>
        <w:rPr>
          <w:rFonts w:hint="eastAsia" w:ascii="宋体" w:hAnsi="宋体" w:eastAsia="宋体" w:cs="宋体"/>
          <w:b/>
          <w:color w:val="auto"/>
          <w:sz w:val="24"/>
          <w:highlight w:val="none"/>
        </w:rPr>
      </w:pPr>
      <w:bookmarkStart w:id="78" w:name="_Toc11709"/>
      <w:bookmarkStart w:id="79" w:name="_Toc27131"/>
      <w:bookmarkStart w:id="80" w:name="_Toc11383"/>
      <w:bookmarkStart w:id="81" w:name="_Toc25192"/>
      <w:r>
        <w:rPr>
          <w:rFonts w:hint="eastAsia" w:ascii="宋体" w:hAnsi="宋体" w:eastAsia="宋体" w:cs="宋体"/>
          <w:b/>
          <w:color w:val="auto"/>
          <w:sz w:val="24"/>
          <w:highlight w:val="none"/>
        </w:rPr>
        <w:t>一、供应商须知前附表</w:t>
      </w:r>
      <w:bookmarkEnd w:id="78"/>
      <w:bookmarkEnd w:id="79"/>
      <w:bookmarkEnd w:id="80"/>
      <w:bookmarkEnd w:id="81"/>
    </w:p>
    <w:p w14:paraId="20B2E335">
      <w:pPr>
        <w:spacing w:line="360" w:lineRule="auto"/>
        <w:ind w:firstLine="435"/>
        <w:rPr>
          <w:rFonts w:hint="eastAsia" w:ascii="宋体" w:hAnsi="宋体" w:eastAsia="宋体" w:cs="宋体"/>
          <w:color w:val="auto"/>
          <w:sz w:val="24"/>
          <w:szCs w:val="18"/>
          <w:highlight w:val="none"/>
        </w:rPr>
      </w:pPr>
      <w:r>
        <w:rPr>
          <w:rFonts w:hint="eastAsia" w:ascii="宋体" w:hAnsi="宋体" w:eastAsia="宋体" w:cs="宋体"/>
          <w:b/>
          <w:bCs/>
          <w:color w:val="auto"/>
          <w:sz w:val="24"/>
          <w:szCs w:val="18"/>
          <w:highlight w:val="none"/>
        </w:rPr>
        <w:t>注：</w:t>
      </w:r>
      <w:r>
        <w:rPr>
          <w:rFonts w:hint="eastAsia" w:ascii="宋体" w:hAnsi="宋体" w:eastAsia="宋体" w:cs="宋体"/>
          <w:color w:val="auto"/>
          <w:sz w:val="24"/>
          <w:szCs w:val="18"/>
          <w:highlight w:val="none"/>
        </w:rPr>
        <w:t>本表是本项目的具体要求，是对供应商须知的具体补充和修改，如有不一致，以本表为准。</w:t>
      </w:r>
    </w:p>
    <w:tbl>
      <w:tblPr>
        <w:tblStyle w:val="24"/>
        <w:tblW w:w="55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9" w:type="dxa"/>
          <w:bottom w:w="0" w:type="dxa"/>
          <w:right w:w="79" w:type="dxa"/>
        </w:tblCellMar>
      </w:tblPr>
      <w:tblGrid>
        <w:gridCol w:w="989"/>
        <w:gridCol w:w="1486"/>
        <w:gridCol w:w="7805"/>
      </w:tblGrid>
      <w:tr w14:paraId="23635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89" w:type="dxa"/>
            <w:vAlign w:val="center"/>
          </w:tcPr>
          <w:p w14:paraId="7F5F2347">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Cs w:val="0"/>
                <w:color w:val="auto"/>
                <w:kern w:val="2"/>
                <w:sz w:val="24"/>
                <w:szCs w:val="20"/>
                <w:highlight w:val="none"/>
              </w:rPr>
            </w:pPr>
            <w:r>
              <w:rPr>
                <w:rFonts w:hint="eastAsia" w:ascii="宋体" w:hAnsi="宋体" w:eastAsia="宋体" w:cs="宋体"/>
                <w:bCs w:val="0"/>
                <w:color w:val="auto"/>
                <w:kern w:val="2"/>
                <w:sz w:val="24"/>
                <w:szCs w:val="20"/>
                <w:highlight w:val="none"/>
              </w:rPr>
              <w:t>条款号</w:t>
            </w:r>
          </w:p>
        </w:tc>
        <w:tc>
          <w:tcPr>
            <w:tcW w:w="1486" w:type="dxa"/>
            <w:vAlign w:val="center"/>
          </w:tcPr>
          <w:p w14:paraId="7343D53D">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Cs w:val="0"/>
                <w:color w:val="auto"/>
                <w:kern w:val="2"/>
                <w:sz w:val="24"/>
                <w:szCs w:val="20"/>
                <w:highlight w:val="none"/>
              </w:rPr>
            </w:pPr>
            <w:r>
              <w:rPr>
                <w:rFonts w:hint="eastAsia" w:ascii="宋体" w:hAnsi="宋体" w:eastAsia="宋体" w:cs="宋体"/>
                <w:bCs w:val="0"/>
                <w:color w:val="auto"/>
                <w:kern w:val="2"/>
                <w:sz w:val="24"/>
                <w:szCs w:val="20"/>
                <w:highlight w:val="none"/>
              </w:rPr>
              <w:t>条款名称</w:t>
            </w:r>
          </w:p>
        </w:tc>
        <w:tc>
          <w:tcPr>
            <w:tcW w:w="7805" w:type="dxa"/>
            <w:vAlign w:val="center"/>
          </w:tcPr>
          <w:p w14:paraId="144C22E0">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rPr>
                <w:rFonts w:hint="eastAsia" w:ascii="宋体" w:hAnsi="宋体" w:eastAsia="宋体" w:cs="宋体"/>
                <w:bCs w:val="0"/>
                <w:color w:val="auto"/>
                <w:kern w:val="2"/>
                <w:sz w:val="24"/>
                <w:szCs w:val="20"/>
                <w:highlight w:val="none"/>
              </w:rPr>
            </w:pPr>
            <w:r>
              <w:rPr>
                <w:rFonts w:hint="eastAsia" w:ascii="宋体" w:hAnsi="宋体" w:eastAsia="宋体" w:cs="宋体"/>
                <w:bCs w:val="0"/>
                <w:color w:val="auto"/>
                <w:kern w:val="2"/>
                <w:sz w:val="24"/>
                <w:szCs w:val="20"/>
                <w:highlight w:val="none"/>
              </w:rPr>
              <w:t>内容、说明与要求</w:t>
            </w:r>
          </w:p>
        </w:tc>
      </w:tr>
      <w:tr w14:paraId="314F5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89" w:type="dxa"/>
            <w:vAlign w:val="center"/>
          </w:tcPr>
          <w:p w14:paraId="4DE08798">
            <w:pPr>
              <w:pStyle w:val="44"/>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5.2</w:t>
            </w:r>
          </w:p>
        </w:tc>
        <w:tc>
          <w:tcPr>
            <w:tcW w:w="1486" w:type="dxa"/>
            <w:vAlign w:val="center"/>
          </w:tcPr>
          <w:p w14:paraId="0EC87576">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kern w:val="2"/>
                <w:sz w:val="24"/>
                <w:szCs w:val="22"/>
                <w:highlight w:val="none"/>
              </w:rPr>
              <w:t>现场考察或标前答疑会</w:t>
            </w:r>
          </w:p>
        </w:tc>
        <w:tc>
          <w:tcPr>
            <w:tcW w:w="7805" w:type="dxa"/>
            <w:vAlign w:val="center"/>
          </w:tcPr>
          <w:p w14:paraId="06B981DC">
            <w:pPr>
              <w:keepNext w:val="0"/>
              <w:keepLines w:val="0"/>
              <w:pageBreakBefore w:val="0"/>
              <w:kinsoku/>
              <w:wordWrap/>
              <w:overflowPunct/>
              <w:topLinePunct w:val="0"/>
              <w:autoSpaceDE/>
              <w:autoSpaceDN/>
              <w:bidi w:val="0"/>
              <w:adjustRightInd/>
              <w:snapToGrid/>
              <w:spacing w:beforeAutospacing="0" w:afterAutospacing="0" w:line="400" w:lineRule="exact"/>
              <w:rPr>
                <w:rFonts w:hint="eastAsia" w:ascii="宋体" w:hAnsi="宋体" w:eastAsia="宋体" w:cs="宋体"/>
                <w:bCs/>
                <w:color w:val="auto"/>
                <w:sz w:val="24"/>
                <w:highlight w:val="none"/>
              </w:rPr>
            </w:pPr>
            <w:r>
              <w:rPr>
                <w:rFonts w:hint="eastAsia" w:ascii="宋体" w:hAnsi="宋体" w:eastAsia="宋体" w:cs="宋体"/>
                <w:bCs/>
                <w:color w:val="auto"/>
                <w:sz w:val="24"/>
                <w:szCs w:val="24"/>
                <w:highlight w:val="none"/>
                <w:lang w:eastAsia="zh-CN"/>
              </w:rPr>
              <w:t>☑</w:t>
            </w:r>
            <w:r>
              <w:rPr>
                <w:rFonts w:hint="eastAsia" w:ascii="宋体" w:hAnsi="宋体" w:eastAsia="宋体" w:cs="宋体"/>
                <w:color w:val="auto"/>
                <w:sz w:val="24"/>
                <w:highlight w:val="none"/>
              </w:rPr>
              <w:t>不组织或不召开</w:t>
            </w:r>
          </w:p>
          <w:p w14:paraId="076E154F">
            <w:pPr>
              <w:keepNext w:val="0"/>
              <w:keepLines w:val="0"/>
              <w:pageBreakBefore w:val="0"/>
              <w:kinsoku/>
              <w:wordWrap/>
              <w:overflowPunct/>
              <w:topLinePunct w:val="0"/>
              <w:autoSpaceDE/>
              <w:autoSpaceDN/>
              <w:bidi w:val="0"/>
              <w:adjustRightInd/>
              <w:snapToGrid/>
              <w:spacing w:beforeAutospacing="0" w:afterAutospacing="0" w:line="400" w:lineRule="exact"/>
              <w:rPr>
                <w:rFonts w:hint="eastAsia" w:ascii="宋体" w:hAnsi="宋体" w:eastAsia="宋体" w:cs="宋体"/>
                <w:bCs/>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bCs/>
                <w:color w:val="auto"/>
                <w:sz w:val="24"/>
                <w:highlight w:val="none"/>
              </w:rPr>
              <w:t>统一组织</w:t>
            </w:r>
          </w:p>
          <w:p w14:paraId="16A193A9">
            <w:pPr>
              <w:keepNext w:val="0"/>
              <w:keepLines w:val="0"/>
              <w:pageBreakBefore w:val="0"/>
              <w:kinsoku/>
              <w:wordWrap/>
              <w:overflowPunct/>
              <w:topLinePunct w:val="0"/>
              <w:autoSpaceDE/>
              <w:autoSpaceDN/>
              <w:bidi w:val="0"/>
              <w:adjustRightInd/>
              <w:snapToGrid/>
              <w:spacing w:beforeAutospacing="0" w:afterAutospacing="0" w:line="400" w:lineRule="exact"/>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rPr>
              <w:t>时间：</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年</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月</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日</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时</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分</w:t>
            </w:r>
          </w:p>
          <w:p w14:paraId="399F5576">
            <w:pPr>
              <w:keepNext w:val="0"/>
              <w:keepLines w:val="0"/>
              <w:pageBreakBefore w:val="0"/>
              <w:kinsoku/>
              <w:wordWrap/>
              <w:overflowPunct/>
              <w:topLinePunct w:val="0"/>
              <w:autoSpaceDE/>
              <w:autoSpaceDN/>
              <w:bidi w:val="0"/>
              <w:adjustRightInd/>
              <w:snapToGrid/>
              <w:spacing w:beforeAutospacing="0" w:afterAutospacing="0" w:line="400" w:lineRule="exact"/>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rPr>
              <w:t>地点：</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cs="宋体"/>
                <w:bCs/>
                <w:color w:val="auto"/>
                <w:sz w:val="24"/>
                <w:highlight w:val="none"/>
                <w:u w:val="single"/>
              </w:rPr>
              <w:t xml:space="preserve">             </w:t>
            </w:r>
          </w:p>
          <w:p w14:paraId="7C387FE3">
            <w:pPr>
              <w:keepNext w:val="0"/>
              <w:keepLines w:val="0"/>
              <w:pageBreakBefore w:val="0"/>
              <w:kinsoku/>
              <w:wordWrap/>
              <w:overflowPunct/>
              <w:topLinePunct w:val="0"/>
              <w:autoSpaceDE/>
              <w:autoSpaceDN/>
              <w:bidi w:val="0"/>
              <w:adjustRightInd/>
              <w:snapToGrid/>
              <w:spacing w:beforeAutospacing="0" w:afterAutospacing="0" w:line="400" w:lineRule="exact"/>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rPr>
              <w:t>联系人及联系电话：</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cs="宋体"/>
                <w:bCs/>
                <w:color w:val="auto"/>
                <w:sz w:val="24"/>
                <w:highlight w:val="none"/>
                <w:u w:val="single"/>
              </w:rPr>
              <w:t xml:space="preserve">        </w:t>
            </w:r>
          </w:p>
          <w:p w14:paraId="6287D0D9">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Cs w:val="0"/>
                <w:color w:val="auto"/>
                <w:sz w:val="24"/>
                <w:highlight w:val="none"/>
              </w:rPr>
              <w:t>注：</w:t>
            </w:r>
            <w:r>
              <w:rPr>
                <w:rFonts w:hint="eastAsia" w:ascii="宋体" w:hAnsi="宋体" w:eastAsia="宋体" w:cs="宋体"/>
                <w:b w:val="0"/>
                <w:bCs/>
                <w:color w:val="auto"/>
                <w:sz w:val="24"/>
                <w:highlight w:val="none"/>
              </w:rPr>
              <w:t>如供应商未参加采购人统一组织的现场考察或采购人统一召开的标前答疑会，视同放弃现场考察或标前答疑会，由此引起的一切责任由供应商自行承担。</w:t>
            </w:r>
          </w:p>
        </w:tc>
      </w:tr>
      <w:tr w14:paraId="40F62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89" w:type="dxa"/>
            <w:vAlign w:val="center"/>
          </w:tcPr>
          <w:p w14:paraId="2890EF7D">
            <w:pPr>
              <w:pStyle w:val="44"/>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6.1</w:t>
            </w:r>
          </w:p>
        </w:tc>
        <w:tc>
          <w:tcPr>
            <w:tcW w:w="1486" w:type="dxa"/>
            <w:vAlign w:val="center"/>
          </w:tcPr>
          <w:p w14:paraId="659AE376">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rPr>
              <w:t>询问</w:t>
            </w:r>
            <w:r>
              <w:rPr>
                <w:rFonts w:hint="eastAsia" w:ascii="宋体" w:hAnsi="宋体" w:eastAsia="宋体" w:cs="宋体"/>
                <w:b w:val="0"/>
                <w:color w:val="auto"/>
                <w:sz w:val="24"/>
                <w:highlight w:val="none"/>
                <w:lang w:val="en-US" w:eastAsia="zh-CN"/>
              </w:rPr>
              <w:t>方式</w:t>
            </w:r>
          </w:p>
        </w:tc>
        <w:tc>
          <w:tcPr>
            <w:tcW w:w="7805" w:type="dxa"/>
            <w:vAlign w:val="center"/>
          </w:tcPr>
          <w:p w14:paraId="59D28670">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bCs/>
                <w:color w:val="auto"/>
                <w:sz w:val="24"/>
                <w:highlight w:val="none"/>
                <w:lang w:val="en-US" w:eastAsia="zh-CN"/>
              </w:rPr>
              <w:t>供应商若对采购文件有关内容存在理解障碍，或认为采购文件表述有模糊不清之处，可向采购人（采购代理机构）书面提出，采购人（采购代理机构）收到供应商询问后将及时回复。该渠道仅接受关于项目的一般性疑问（非质疑），供应商提问时应当隐藏自身信息，直接提出针对项目的相关疑问即可，询问函范本详见采购文件第七章。</w:t>
            </w:r>
          </w:p>
        </w:tc>
      </w:tr>
      <w:tr w14:paraId="49AB8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1014" w:hRule="atLeast"/>
          <w:jc w:val="center"/>
        </w:trPr>
        <w:tc>
          <w:tcPr>
            <w:tcW w:w="989" w:type="dxa"/>
            <w:vAlign w:val="center"/>
          </w:tcPr>
          <w:p w14:paraId="17229352">
            <w:pPr>
              <w:pStyle w:val="44"/>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7.1</w:t>
            </w:r>
          </w:p>
        </w:tc>
        <w:tc>
          <w:tcPr>
            <w:tcW w:w="1486" w:type="dxa"/>
            <w:vAlign w:val="center"/>
          </w:tcPr>
          <w:p w14:paraId="32895398">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包别划分</w:t>
            </w:r>
          </w:p>
        </w:tc>
        <w:tc>
          <w:tcPr>
            <w:tcW w:w="7805" w:type="dxa"/>
            <w:vAlign w:val="center"/>
          </w:tcPr>
          <w:p w14:paraId="06D878A1">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color w:val="auto"/>
                <w:sz w:val="24"/>
                <w:highlight w:val="none"/>
              </w:rPr>
              <w:t>不分包     □分为</w:t>
            </w:r>
            <w:r>
              <w:rPr>
                <w:rFonts w:hint="eastAsia" w:ascii="宋体" w:hAnsi="宋体" w:eastAsia="宋体" w:cs="宋体"/>
                <w:b w:val="0"/>
                <w:color w:val="auto"/>
                <w:sz w:val="24"/>
                <w:highlight w:val="none"/>
                <w:u w:val="single"/>
              </w:rPr>
              <w:t xml:space="preserve">  </w:t>
            </w:r>
            <w:r>
              <w:rPr>
                <w:rFonts w:hint="eastAsia" w:ascii="宋体" w:hAnsi="宋体" w:eastAsia="宋体" w:cs="宋体"/>
                <w:b w:val="0"/>
                <w:color w:val="auto"/>
                <w:sz w:val="24"/>
                <w:highlight w:val="none"/>
                <w:u w:val="single"/>
                <w:lang w:val="en-US" w:eastAsia="zh-CN"/>
              </w:rPr>
              <w:t xml:space="preserve"> </w:t>
            </w:r>
            <w:r>
              <w:rPr>
                <w:rFonts w:hint="eastAsia" w:ascii="宋体" w:hAnsi="宋体" w:eastAsia="宋体" w:cs="宋体"/>
                <w:b w:val="0"/>
                <w:color w:val="auto"/>
                <w:sz w:val="24"/>
                <w:highlight w:val="none"/>
              </w:rPr>
              <w:t>个包</w:t>
            </w:r>
          </w:p>
          <w:p w14:paraId="59D39FE7">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bCs w:val="0"/>
                <w:color w:val="auto"/>
                <w:sz w:val="24"/>
                <w:szCs w:val="24"/>
                <w:highlight w:val="none"/>
              </w:rPr>
              <w:t>供应商参加多个包磋商的成交包数规定：</w:t>
            </w:r>
            <w:r>
              <w:rPr>
                <w:rFonts w:hint="eastAsia" w:ascii="宋体" w:hAnsi="宋体" w:eastAsia="宋体" w:cs="宋体"/>
                <w:b w:val="0"/>
                <w:bCs w:val="0"/>
                <w:color w:val="auto"/>
                <w:sz w:val="24"/>
                <w:szCs w:val="18"/>
                <w:highlight w:val="none"/>
                <w:u w:val="single"/>
              </w:rPr>
              <w:t xml:space="preserve">  </w:t>
            </w:r>
            <w:r>
              <w:rPr>
                <w:rFonts w:hint="eastAsia" w:ascii="宋体" w:hAnsi="宋体" w:eastAsia="宋体" w:cs="宋体"/>
                <w:b w:val="0"/>
                <w:bCs w:val="0"/>
                <w:color w:val="auto"/>
                <w:sz w:val="24"/>
                <w:szCs w:val="18"/>
                <w:highlight w:val="none"/>
                <w:u w:val="single"/>
                <w:lang w:val="en-US" w:eastAsia="zh-CN"/>
              </w:rPr>
              <w:t>/</w:t>
            </w:r>
            <w:r>
              <w:rPr>
                <w:rFonts w:hint="eastAsia" w:ascii="宋体" w:hAnsi="宋体" w:eastAsia="宋体" w:cs="宋体"/>
                <w:b w:val="0"/>
                <w:bCs w:val="0"/>
                <w:color w:val="auto"/>
                <w:sz w:val="24"/>
                <w:szCs w:val="18"/>
                <w:highlight w:val="none"/>
                <w:u w:val="single"/>
              </w:rPr>
              <w:t xml:space="preserve">  </w:t>
            </w:r>
          </w:p>
        </w:tc>
      </w:tr>
      <w:tr w14:paraId="048CF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75" w:hRule="atLeast"/>
          <w:jc w:val="center"/>
        </w:trPr>
        <w:tc>
          <w:tcPr>
            <w:tcW w:w="989" w:type="dxa"/>
            <w:vAlign w:val="center"/>
          </w:tcPr>
          <w:p w14:paraId="34210B5F">
            <w:pPr>
              <w:pStyle w:val="44"/>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lang w:val="en-US" w:eastAsia="zh-CN"/>
              </w:rPr>
            </w:pPr>
            <w:r>
              <w:rPr>
                <w:rFonts w:hint="eastAsia" w:ascii="宋体" w:hAnsi="宋体" w:eastAsia="宋体" w:cs="宋体"/>
                <w:bCs/>
                <w:color w:val="auto"/>
                <w:kern w:val="2"/>
                <w:highlight w:val="none"/>
                <w:lang w:val="en-US" w:eastAsia="zh-CN"/>
              </w:rPr>
              <w:t>9.4</w:t>
            </w:r>
          </w:p>
        </w:tc>
        <w:tc>
          <w:tcPr>
            <w:tcW w:w="1486" w:type="dxa"/>
            <w:shd w:val="clear" w:color="auto" w:fill="auto"/>
            <w:vAlign w:val="center"/>
          </w:tcPr>
          <w:p w14:paraId="0B0BD6F9">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ind w:firstLine="0" w:firstLineChars="0"/>
              <w:textAlignment w:val="auto"/>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sz w:val="24"/>
                <w:szCs w:val="24"/>
                <w:highlight w:val="none"/>
                <w:lang w:val="en-US" w:eastAsia="zh-CN"/>
              </w:rPr>
              <w:t>异常低价响应审查</w:t>
            </w:r>
          </w:p>
        </w:tc>
        <w:tc>
          <w:tcPr>
            <w:tcW w:w="7805" w:type="dxa"/>
            <w:shd w:val="clear" w:color="auto" w:fill="auto"/>
            <w:vAlign w:val="center"/>
          </w:tcPr>
          <w:p w14:paraId="6541469D">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根据财政部《关于推动解决政府采购异常低价问题的通知》（财库〔2026〕2号），评审中出现下列情形之一的，磋商小组应当启动异常低价响应审查程序：</w:t>
            </w:r>
          </w:p>
          <w:p w14:paraId="507641F3">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1、响应报价低于全部通过符合性审查供应商响应报价平均值</w:t>
            </w:r>
            <w:r>
              <w:rPr>
                <w:rFonts w:hint="eastAsia" w:ascii="宋体" w:hAnsi="宋体" w:eastAsia="宋体" w:cs="宋体"/>
                <w:color w:val="auto"/>
                <w:sz w:val="24"/>
                <w:szCs w:val="24"/>
                <w:highlight w:val="none"/>
                <w:u w:val="single"/>
                <w:lang w:val="en-US" w:eastAsia="zh-CN"/>
              </w:rPr>
              <w:t xml:space="preserve"> 65  </w:t>
            </w:r>
            <w:r>
              <w:rPr>
                <w:rFonts w:hint="eastAsia" w:ascii="宋体" w:hAnsi="宋体" w:eastAsia="宋体" w:cs="宋体"/>
                <w:color w:val="auto"/>
                <w:sz w:val="24"/>
                <w:szCs w:val="24"/>
                <w:highlight w:val="none"/>
                <w:lang w:val="en-US" w:eastAsia="zh-CN"/>
              </w:rPr>
              <w:t>%的，即响应报价&lt;全部通过符合性审查供应商响应报价平均值×</w:t>
            </w:r>
            <w:r>
              <w:rPr>
                <w:rFonts w:hint="eastAsia" w:ascii="宋体" w:hAnsi="宋体" w:eastAsia="宋体" w:cs="宋体"/>
                <w:color w:val="auto"/>
                <w:sz w:val="24"/>
                <w:szCs w:val="24"/>
                <w:highlight w:val="none"/>
                <w:u w:val="single"/>
                <w:lang w:val="en-US" w:eastAsia="zh-CN"/>
              </w:rPr>
              <w:t xml:space="preserve"> 65  </w:t>
            </w:r>
            <w:r>
              <w:rPr>
                <w:rFonts w:hint="eastAsia" w:ascii="宋体" w:hAnsi="宋体" w:eastAsia="宋体" w:cs="宋体"/>
                <w:color w:val="auto"/>
                <w:sz w:val="24"/>
                <w:szCs w:val="24"/>
                <w:highlight w:val="none"/>
                <w:lang w:val="en-US" w:eastAsia="zh-CN"/>
              </w:rPr>
              <w:t>%；（比例范围：50%-65%）</w:t>
            </w:r>
          </w:p>
          <w:p w14:paraId="29410CD0">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2.响应报价低于通过符合性审查的次低报价供应商响应报价</w:t>
            </w:r>
            <w:r>
              <w:rPr>
                <w:rFonts w:hint="eastAsia" w:ascii="宋体" w:hAnsi="宋体" w:eastAsia="宋体" w:cs="宋体"/>
                <w:color w:val="auto"/>
                <w:sz w:val="24"/>
                <w:szCs w:val="24"/>
                <w:highlight w:val="none"/>
                <w:u w:val="single"/>
                <w:lang w:val="en-US" w:eastAsia="zh-CN"/>
              </w:rPr>
              <w:t xml:space="preserve"> 65  </w:t>
            </w:r>
            <w:r>
              <w:rPr>
                <w:rFonts w:hint="eastAsia" w:ascii="宋体" w:hAnsi="宋体" w:eastAsia="宋体" w:cs="宋体"/>
                <w:color w:val="auto"/>
                <w:sz w:val="24"/>
                <w:szCs w:val="24"/>
                <w:highlight w:val="none"/>
                <w:lang w:val="en-US" w:eastAsia="zh-CN"/>
              </w:rPr>
              <w:t>%的，即响应报价&lt;通过符合性审查的次低报价供应商响应报价×</w:t>
            </w:r>
            <w:r>
              <w:rPr>
                <w:rFonts w:hint="eastAsia" w:ascii="宋体" w:hAnsi="宋体" w:eastAsia="宋体" w:cs="宋体"/>
                <w:color w:val="auto"/>
                <w:sz w:val="24"/>
                <w:szCs w:val="24"/>
                <w:highlight w:val="none"/>
                <w:u w:val="single"/>
                <w:lang w:val="en-US" w:eastAsia="zh-CN"/>
              </w:rPr>
              <w:t xml:space="preserve"> 65  </w:t>
            </w:r>
            <w:r>
              <w:rPr>
                <w:rFonts w:hint="eastAsia" w:ascii="宋体" w:hAnsi="宋体" w:eastAsia="宋体" w:cs="宋体"/>
                <w:color w:val="auto"/>
                <w:sz w:val="24"/>
                <w:szCs w:val="24"/>
                <w:highlight w:val="none"/>
                <w:lang w:val="en-US" w:eastAsia="zh-CN"/>
              </w:rPr>
              <w:t>%；（比例范围：50%-65%）</w:t>
            </w:r>
          </w:p>
          <w:p w14:paraId="6A5822F9">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3.响应报价低于采购项目最高限价</w:t>
            </w:r>
            <w:r>
              <w:rPr>
                <w:rFonts w:hint="eastAsia" w:ascii="宋体" w:hAnsi="宋体" w:eastAsia="宋体" w:cs="宋体"/>
                <w:color w:val="auto"/>
                <w:sz w:val="24"/>
                <w:szCs w:val="24"/>
                <w:highlight w:val="none"/>
                <w:u w:val="single"/>
                <w:lang w:val="en-US" w:eastAsia="zh-CN"/>
              </w:rPr>
              <w:t xml:space="preserve"> 65  </w:t>
            </w:r>
            <w:r>
              <w:rPr>
                <w:rFonts w:hint="eastAsia" w:ascii="宋体" w:hAnsi="宋体" w:eastAsia="宋体" w:cs="宋体"/>
                <w:color w:val="auto"/>
                <w:sz w:val="24"/>
                <w:szCs w:val="24"/>
                <w:highlight w:val="none"/>
                <w:lang w:val="en-US" w:eastAsia="zh-CN"/>
              </w:rPr>
              <w:t>%的，即响应报价&lt;采购项目最高限价×</w:t>
            </w:r>
            <w:r>
              <w:rPr>
                <w:rFonts w:hint="eastAsia" w:ascii="宋体" w:hAnsi="宋体" w:eastAsia="宋体" w:cs="宋体"/>
                <w:color w:val="auto"/>
                <w:sz w:val="24"/>
                <w:szCs w:val="24"/>
                <w:highlight w:val="none"/>
                <w:u w:val="single"/>
                <w:lang w:val="en-US" w:eastAsia="zh-CN"/>
              </w:rPr>
              <w:t xml:space="preserve"> 65  </w:t>
            </w:r>
            <w:r>
              <w:rPr>
                <w:rFonts w:hint="eastAsia" w:ascii="宋体" w:hAnsi="宋体" w:eastAsia="宋体" w:cs="宋体"/>
                <w:color w:val="auto"/>
                <w:sz w:val="24"/>
                <w:szCs w:val="24"/>
                <w:highlight w:val="none"/>
                <w:lang w:val="en-US" w:eastAsia="zh-CN"/>
              </w:rPr>
              <w:t>%；（比例范围：45%-65%）</w:t>
            </w:r>
          </w:p>
          <w:p w14:paraId="16AC15AF">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4.磋商小组基于专业判断，认为供应商报价过低，有可能影响产品质量或者不能诚信履约的其他情形。</w:t>
            </w:r>
          </w:p>
          <w:p w14:paraId="3B842187">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bCs/>
                <w:color w:val="auto"/>
                <w:sz w:val="24"/>
                <w:szCs w:val="24"/>
                <w:highlight w:val="none"/>
                <w:lang w:val="en-US" w:eastAsia="zh-CN"/>
              </w:rPr>
              <w:t>注：以上比例由采购人根据项目特点及要求自行填写。</w:t>
            </w:r>
          </w:p>
        </w:tc>
      </w:tr>
      <w:tr w14:paraId="27F6B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75" w:hRule="atLeast"/>
          <w:jc w:val="center"/>
        </w:trPr>
        <w:tc>
          <w:tcPr>
            <w:tcW w:w="989" w:type="dxa"/>
            <w:vAlign w:val="center"/>
          </w:tcPr>
          <w:p w14:paraId="08589141">
            <w:pPr>
              <w:pStyle w:val="44"/>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10.1</w:t>
            </w:r>
          </w:p>
        </w:tc>
        <w:tc>
          <w:tcPr>
            <w:tcW w:w="1486" w:type="dxa"/>
            <w:vAlign w:val="center"/>
          </w:tcPr>
          <w:p w14:paraId="465ABD13">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磋商保证金</w:t>
            </w:r>
          </w:p>
        </w:tc>
        <w:tc>
          <w:tcPr>
            <w:tcW w:w="7805" w:type="dxa"/>
            <w:vAlign w:val="center"/>
          </w:tcPr>
          <w:p w14:paraId="2E0CC007">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不收取</w:t>
            </w:r>
          </w:p>
        </w:tc>
      </w:tr>
      <w:tr w14:paraId="0A346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616" w:hRule="atLeast"/>
          <w:jc w:val="center"/>
        </w:trPr>
        <w:tc>
          <w:tcPr>
            <w:tcW w:w="989" w:type="dxa"/>
            <w:vAlign w:val="center"/>
          </w:tcPr>
          <w:p w14:paraId="048F652F">
            <w:pPr>
              <w:pStyle w:val="44"/>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11.1</w:t>
            </w:r>
          </w:p>
        </w:tc>
        <w:tc>
          <w:tcPr>
            <w:tcW w:w="1486" w:type="dxa"/>
            <w:vAlign w:val="center"/>
          </w:tcPr>
          <w:p w14:paraId="19999525">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磋商有效期</w:t>
            </w:r>
          </w:p>
        </w:tc>
        <w:tc>
          <w:tcPr>
            <w:tcW w:w="7805" w:type="dxa"/>
            <w:vAlign w:val="center"/>
          </w:tcPr>
          <w:p w14:paraId="238E6ED7">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u w:val="none"/>
                <w:lang w:val="en-US" w:eastAsia="zh-CN"/>
              </w:rPr>
              <w:t>30个</w:t>
            </w:r>
            <w:r>
              <w:rPr>
                <w:rFonts w:hint="eastAsia" w:ascii="宋体" w:hAnsi="宋体" w:eastAsia="宋体" w:cs="宋体"/>
                <w:b w:val="0"/>
                <w:color w:val="auto"/>
                <w:sz w:val="24"/>
                <w:highlight w:val="none"/>
                <w:u w:val="none"/>
              </w:rPr>
              <w:t>日历日</w:t>
            </w:r>
          </w:p>
        </w:tc>
      </w:tr>
      <w:tr w14:paraId="2BFF8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911" w:hRule="atLeast"/>
          <w:jc w:val="center"/>
        </w:trPr>
        <w:tc>
          <w:tcPr>
            <w:tcW w:w="989" w:type="dxa"/>
            <w:vAlign w:val="center"/>
          </w:tcPr>
          <w:p w14:paraId="0B18ECA8">
            <w:pPr>
              <w:pStyle w:val="44"/>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12.3</w:t>
            </w:r>
          </w:p>
        </w:tc>
        <w:tc>
          <w:tcPr>
            <w:tcW w:w="1486" w:type="dxa"/>
            <w:vAlign w:val="center"/>
          </w:tcPr>
          <w:p w14:paraId="5B3E26C7">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rPr>
              <w:t>响应文件份数及要求</w:t>
            </w:r>
          </w:p>
        </w:tc>
        <w:tc>
          <w:tcPr>
            <w:tcW w:w="7805" w:type="dxa"/>
            <w:vAlign w:val="center"/>
          </w:tcPr>
          <w:p w14:paraId="42A872F1">
            <w:pPr>
              <w:pStyle w:val="44"/>
              <w:pBdr>
                <w:bottom w:val="none" w:color="auto" w:sz="0" w:space="0"/>
              </w:pBdr>
              <w:tabs>
                <w:tab w:val="clear" w:pos="4153"/>
                <w:tab w:val="clear" w:pos="8306"/>
              </w:tabs>
              <w:adjustRightInd/>
              <w:spacing w:line="440" w:lineRule="exact"/>
              <w:jc w:val="left"/>
              <w:textAlignment w:val="auto"/>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bCs/>
                <w:color w:val="auto"/>
                <w:kern w:val="0"/>
                <w:sz w:val="24"/>
                <w:szCs w:val="28"/>
                <w:highlight w:val="none"/>
                <w:lang w:val="en-US" w:eastAsia="zh-CN" w:bidi="ar-SA"/>
              </w:rPr>
              <w:t>响应文件份数：供应商应提供一式</w:t>
            </w:r>
            <w:r>
              <w:rPr>
                <w:rFonts w:hint="eastAsia" w:ascii="宋体" w:hAnsi="宋体" w:eastAsia="宋体" w:cs="宋体"/>
                <w:b/>
                <w:bCs w:val="0"/>
                <w:color w:val="auto"/>
                <w:kern w:val="0"/>
                <w:sz w:val="24"/>
                <w:szCs w:val="28"/>
                <w:highlight w:val="none"/>
                <w:lang w:val="en-US" w:eastAsia="zh-CN" w:bidi="ar-SA"/>
              </w:rPr>
              <w:t>叁份</w:t>
            </w:r>
            <w:r>
              <w:rPr>
                <w:rFonts w:hint="eastAsia" w:ascii="宋体" w:hAnsi="宋体" w:eastAsia="宋体" w:cs="宋体"/>
                <w:b w:val="0"/>
                <w:bCs/>
                <w:color w:val="auto"/>
                <w:kern w:val="0"/>
                <w:sz w:val="24"/>
                <w:szCs w:val="28"/>
                <w:highlight w:val="none"/>
                <w:lang w:val="en-US" w:eastAsia="zh-CN" w:bidi="ar-SA"/>
              </w:rPr>
              <w:t>响应文件（壹份正本，贰份副本），并在其封面上清楚地标明“正本”或“副本”字样，正本与副本内容应一致；若正本与副本不一致，以正本为准。响应文件应胶装成册并编制文件目录、页码、封面，不得活页装订，密封提交。</w:t>
            </w:r>
          </w:p>
          <w:p w14:paraId="3B8D281F">
            <w:pPr>
              <w:pStyle w:val="44"/>
              <w:pBdr>
                <w:bottom w:val="none" w:color="auto" w:sz="0" w:space="0"/>
              </w:pBdr>
              <w:tabs>
                <w:tab w:val="clear" w:pos="4153"/>
                <w:tab w:val="clear" w:pos="8306"/>
              </w:tabs>
              <w:adjustRightInd/>
              <w:spacing w:line="440" w:lineRule="exact"/>
              <w:jc w:val="left"/>
              <w:textAlignment w:val="auto"/>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bCs/>
                <w:color w:val="auto"/>
                <w:kern w:val="0"/>
                <w:sz w:val="24"/>
                <w:szCs w:val="28"/>
                <w:highlight w:val="none"/>
                <w:lang w:val="en-US" w:eastAsia="zh-CN" w:bidi="ar-SA"/>
              </w:rPr>
              <w:t>1、注明下列识别标记</w:t>
            </w:r>
          </w:p>
          <w:p w14:paraId="48F449A1">
            <w:pPr>
              <w:pStyle w:val="44"/>
              <w:pBdr>
                <w:bottom w:val="none" w:color="auto" w:sz="0" w:space="0"/>
              </w:pBdr>
              <w:tabs>
                <w:tab w:val="clear" w:pos="4153"/>
                <w:tab w:val="clear" w:pos="8306"/>
              </w:tabs>
              <w:adjustRightInd/>
              <w:spacing w:line="440" w:lineRule="exact"/>
              <w:jc w:val="left"/>
              <w:textAlignment w:val="auto"/>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bCs/>
                <w:color w:val="auto"/>
                <w:kern w:val="0"/>
                <w:sz w:val="24"/>
                <w:szCs w:val="28"/>
                <w:highlight w:val="none"/>
                <w:lang w:val="en-US" w:eastAsia="zh-CN" w:bidi="ar-SA"/>
              </w:rPr>
              <w:t>(1)项目编号：</w:t>
            </w:r>
          </w:p>
          <w:p w14:paraId="7523F226">
            <w:pPr>
              <w:pStyle w:val="44"/>
              <w:pBdr>
                <w:bottom w:val="none" w:color="auto" w:sz="0" w:space="0"/>
              </w:pBdr>
              <w:tabs>
                <w:tab w:val="clear" w:pos="4153"/>
                <w:tab w:val="clear" w:pos="8306"/>
              </w:tabs>
              <w:adjustRightInd/>
              <w:spacing w:line="440" w:lineRule="exact"/>
              <w:jc w:val="left"/>
              <w:textAlignment w:val="auto"/>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bCs/>
                <w:color w:val="auto"/>
                <w:kern w:val="0"/>
                <w:sz w:val="24"/>
                <w:szCs w:val="28"/>
                <w:highlight w:val="none"/>
                <w:lang w:val="en-US" w:eastAsia="zh-CN" w:bidi="ar-SA"/>
              </w:rPr>
              <w:t>(2)项目名称：</w:t>
            </w:r>
          </w:p>
          <w:p w14:paraId="1A6528B1">
            <w:pPr>
              <w:pStyle w:val="44"/>
              <w:pBdr>
                <w:bottom w:val="none" w:color="auto" w:sz="0" w:space="0"/>
              </w:pBdr>
              <w:tabs>
                <w:tab w:val="clear" w:pos="4153"/>
                <w:tab w:val="clear" w:pos="8306"/>
              </w:tabs>
              <w:adjustRightInd/>
              <w:spacing w:line="440" w:lineRule="exact"/>
              <w:jc w:val="left"/>
              <w:textAlignment w:val="auto"/>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bCs/>
                <w:color w:val="auto"/>
                <w:kern w:val="0"/>
                <w:sz w:val="24"/>
                <w:szCs w:val="28"/>
                <w:highlight w:val="none"/>
                <w:lang w:val="en-US" w:eastAsia="zh-CN" w:bidi="ar-SA"/>
              </w:rPr>
              <w:t>(3）     年    月   日    时   分磋商，此时间以前不得开封。</w:t>
            </w:r>
          </w:p>
          <w:p w14:paraId="09F44006">
            <w:pPr>
              <w:pStyle w:val="44"/>
              <w:pBdr>
                <w:bottom w:val="none" w:color="auto" w:sz="0" w:space="0"/>
              </w:pBdr>
              <w:tabs>
                <w:tab w:val="clear" w:pos="4153"/>
                <w:tab w:val="clear" w:pos="8306"/>
              </w:tabs>
              <w:adjustRightInd/>
              <w:spacing w:line="440" w:lineRule="exact"/>
              <w:jc w:val="left"/>
              <w:textAlignment w:val="auto"/>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bCs/>
                <w:color w:val="auto"/>
                <w:kern w:val="0"/>
                <w:sz w:val="24"/>
                <w:szCs w:val="28"/>
                <w:highlight w:val="none"/>
                <w:lang w:val="en-US" w:eastAsia="zh-CN" w:bidi="ar-SA"/>
              </w:rPr>
              <w:t>(4)供应商的名称与地址</w:t>
            </w:r>
          </w:p>
          <w:p w14:paraId="49E3B2F1">
            <w:pPr>
              <w:pStyle w:val="10"/>
              <w:keepNext w:val="0"/>
              <w:keepLines w:val="0"/>
              <w:pageBreakBefore w:val="0"/>
              <w:numPr>
                <w:ilvl w:val="0"/>
                <w:numId w:val="0"/>
              </w:numPr>
              <w:kinsoku/>
              <w:wordWrap/>
              <w:overflowPunct/>
              <w:topLinePunct w:val="0"/>
              <w:autoSpaceDE/>
              <w:autoSpaceDN/>
              <w:bidi w:val="0"/>
              <w:adjustRightInd/>
              <w:snapToGrid/>
              <w:spacing w:beforeAutospacing="0" w:afterAutospacing="0" w:line="400" w:lineRule="exact"/>
              <w:rPr>
                <w:rFonts w:hint="eastAsia" w:ascii="宋体" w:hAnsi="宋体" w:eastAsia="宋体" w:cs="宋体"/>
                <w:color w:val="auto"/>
                <w:kern w:val="0"/>
                <w:sz w:val="24"/>
                <w:szCs w:val="24"/>
                <w:highlight w:val="none"/>
                <w:lang w:eastAsia="zh-CN"/>
              </w:rPr>
            </w:pPr>
            <w:r>
              <w:rPr>
                <w:rFonts w:hint="eastAsia" w:ascii="宋体" w:hAnsi="宋体" w:eastAsia="宋体" w:cs="宋体"/>
                <w:b w:val="0"/>
                <w:bCs/>
                <w:color w:val="auto"/>
                <w:kern w:val="0"/>
                <w:sz w:val="24"/>
                <w:szCs w:val="28"/>
                <w:highlight w:val="none"/>
                <w:lang w:val="en-US" w:eastAsia="zh-CN" w:bidi="ar-SA"/>
              </w:rPr>
              <w:t>2、密封外包装处应密封完好。</w:t>
            </w:r>
          </w:p>
        </w:tc>
      </w:tr>
      <w:tr w14:paraId="11CC4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88" w:hRule="atLeast"/>
          <w:jc w:val="center"/>
        </w:trPr>
        <w:tc>
          <w:tcPr>
            <w:tcW w:w="989" w:type="dxa"/>
            <w:vAlign w:val="center"/>
          </w:tcPr>
          <w:p w14:paraId="5EB629B3">
            <w:pPr>
              <w:pStyle w:val="44"/>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lang w:val="en-US" w:eastAsia="zh-CN"/>
              </w:rPr>
            </w:pPr>
            <w:r>
              <w:rPr>
                <w:rFonts w:hint="eastAsia" w:ascii="宋体" w:hAnsi="宋体" w:eastAsia="宋体" w:cs="宋体"/>
                <w:bCs/>
                <w:color w:val="auto"/>
                <w:kern w:val="2"/>
                <w:highlight w:val="none"/>
                <w:lang w:val="en-US" w:eastAsia="zh-CN"/>
              </w:rPr>
              <w:t>13.1</w:t>
            </w:r>
          </w:p>
        </w:tc>
        <w:tc>
          <w:tcPr>
            <w:tcW w:w="1486" w:type="dxa"/>
            <w:vAlign w:val="center"/>
          </w:tcPr>
          <w:p w14:paraId="453693D2">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lang w:val="en-US" w:eastAsia="zh-CN"/>
              </w:rPr>
              <w:t>磋商小组</w:t>
            </w:r>
          </w:p>
        </w:tc>
        <w:tc>
          <w:tcPr>
            <w:tcW w:w="7805" w:type="dxa"/>
            <w:vAlign w:val="center"/>
          </w:tcPr>
          <w:p w14:paraId="16432510">
            <w:pPr>
              <w:pStyle w:val="10"/>
              <w:keepNext w:val="0"/>
              <w:keepLines w:val="0"/>
              <w:pageBreakBefore w:val="0"/>
              <w:numPr>
                <w:ilvl w:val="0"/>
                <w:numId w:val="0"/>
              </w:numPr>
              <w:kinsoku/>
              <w:wordWrap/>
              <w:overflowPunct/>
              <w:topLinePunct w:val="0"/>
              <w:autoSpaceDE/>
              <w:autoSpaceDN/>
              <w:bidi w:val="0"/>
              <w:adjustRightInd/>
              <w:snapToGrid/>
              <w:spacing w:beforeAutospacing="0" w:afterAutospacing="0" w:line="400" w:lineRule="exac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sz w:val="24"/>
                <w:highlight w:val="none"/>
                <w:lang w:val="en-US" w:eastAsia="zh-CN"/>
              </w:rPr>
              <w:t>本项目磋商小组人数：</w:t>
            </w:r>
            <w:r>
              <w:rPr>
                <w:rFonts w:hint="eastAsia" w:ascii="宋体" w:hAnsi="宋体" w:eastAsia="宋体" w:cs="宋体"/>
                <w:color w:val="auto"/>
                <w:sz w:val="24"/>
                <w:highlight w:val="none"/>
                <w:u w:val="single"/>
                <w:lang w:val="en-US" w:eastAsia="zh-CN"/>
              </w:rPr>
              <w:t xml:space="preserve">  3  </w:t>
            </w:r>
            <w:r>
              <w:rPr>
                <w:rFonts w:hint="eastAsia" w:ascii="宋体" w:hAnsi="宋体" w:eastAsia="宋体" w:cs="宋体"/>
                <w:color w:val="auto"/>
                <w:sz w:val="24"/>
                <w:highlight w:val="none"/>
                <w:u w:val="none"/>
                <w:lang w:val="en-US" w:eastAsia="zh-CN"/>
              </w:rPr>
              <w:t>人。</w:t>
            </w:r>
          </w:p>
        </w:tc>
      </w:tr>
      <w:tr w14:paraId="0DB1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89" w:type="dxa"/>
            <w:vAlign w:val="center"/>
          </w:tcPr>
          <w:p w14:paraId="1946B19F">
            <w:pPr>
              <w:pStyle w:val="44"/>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14.2</w:t>
            </w:r>
          </w:p>
        </w:tc>
        <w:tc>
          <w:tcPr>
            <w:tcW w:w="1486" w:type="dxa"/>
            <w:vAlign w:val="center"/>
          </w:tcPr>
          <w:p w14:paraId="6BE543E0">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评审方法</w:t>
            </w:r>
          </w:p>
        </w:tc>
        <w:tc>
          <w:tcPr>
            <w:tcW w:w="7805" w:type="dxa"/>
            <w:vAlign w:val="center"/>
          </w:tcPr>
          <w:p w14:paraId="20469B0C">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综合评分法</w:t>
            </w:r>
          </w:p>
        </w:tc>
      </w:tr>
      <w:tr w14:paraId="71AFE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89" w:type="dxa"/>
            <w:shd w:val="clear" w:color="auto" w:fill="auto"/>
            <w:vAlign w:val="center"/>
          </w:tcPr>
          <w:p w14:paraId="7A85B1A6">
            <w:pPr>
              <w:pStyle w:val="44"/>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sz w:val="24"/>
                <w:szCs w:val="20"/>
                <w:highlight w:val="none"/>
                <w:lang w:val="en-US" w:eastAsia="zh-CN" w:bidi="ar-SA"/>
              </w:rPr>
            </w:pPr>
            <w:r>
              <w:rPr>
                <w:rFonts w:hint="eastAsia" w:ascii="宋体" w:hAnsi="宋体" w:eastAsia="宋体" w:cs="宋体"/>
                <w:bCs/>
                <w:color w:val="auto"/>
                <w:kern w:val="2"/>
                <w:highlight w:val="none"/>
                <w:lang w:val="en-US" w:eastAsia="zh-CN"/>
              </w:rPr>
              <w:t>17</w:t>
            </w:r>
            <w:r>
              <w:rPr>
                <w:rFonts w:hint="eastAsia" w:ascii="宋体" w:hAnsi="宋体" w:eastAsia="宋体" w:cs="宋体"/>
                <w:bCs/>
                <w:color w:val="auto"/>
                <w:kern w:val="2"/>
                <w:highlight w:val="none"/>
              </w:rPr>
              <w:t>.</w:t>
            </w:r>
            <w:r>
              <w:rPr>
                <w:rFonts w:hint="eastAsia" w:ascii="宋体" w:hAnsi="宋体" w:eastAsia="宋体" w:cs="宋体"/>
                <w:bCs/>
                <w:color w:val="auto"/>
                <w:kern w:val="2"/>
                <w:highlight w:val="none"/>
                <w:lang w:val="en-US" w:eastAsia="zh-CN"/>
              </w:rPr>
              <w:t>4</w:t>
            </w:r>
          </w:p>
        </w:tc>
        <w:tc>
          <w:tcPr>
            <w:tcW w:w="1486" w:type="dxa"/>
            <w:shd w:val="clear" w:color="auto" w:fill="auto"/>
            <w:vAlign w:val="center"/>
          </w:tcPr>
          <w:p w14:paraId="349DC4AF">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bCs/>
                <w:i/>
                <w:color w:val="auto"/>
                <w:kern w:val="0"/>
                <w:sz w:val="24"/>
                <w:szCs w:val="28"/>
                <w:highlight w:val="none"/>
                <w:lang w:val="en-US" w:eastAsia="zh-CN" w:bidi="ar-SA"/>
              </w:rPr>
            </w:pPr>
            <w:r>
              <w:rPr>
                <w:rFonts w:hint="eastAsia" w:ascii="宋体" w:hAnsi="宋体" w:eastAsia="宋体" w:cs="宋体"/>
                <w:b w:val="0"/>
                <w:color w:val="auto"/>
                <w:sz w:val="24"/>
                <w:highlight w:val="none"/>
                <w:lang w:val="en-US" w:eastAsia="zh-CN"/>
              </w:rPr>
              <w:t>中小企业价格</w:t>
            </w:r>
            <w:r>
              <w:rPr>
                <w:rFonts w:hint="eastAsia" w:ascii="宋体" w:hAnsi="宋体" w:eastAsia="宋体" w:cs="宋体"/>
                <w:b w:val="0"/>
                <w:color w:val="auto"/>
                <w:sz w:val="24"/>
                <w:highlight w:val="none"/>
              </w:rPr>
              <w:t>扣除</w:t>
            </w:r>
          </w:p>
        </w:tc>
        <w:tc>
          <w:tcPr>
            <w:tcW w:w="7805" w:type="dxa"/>
            <w:shd w:val="clear" w:color="auto" w:fill="auto"/>
            <w:vAlign w:val="center"/>
          </w:tcPr>
          <w:p w14:paraId="6625A931">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lang w:val="en-US" w:eastAsia="zh-CN"/>
              </w:rPr>
              <w:t>（注：适用于非专门面向中小企业采购项目）</w:t>
            </w:r>
          </w:p>
          <w:p w14:paraId="1A4736CD">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240" w:firstLineChars="100"/>
              <w:jc w:val="both"/>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（1）小型和微型企业价格扣除：</w:t>
            </w:r>
            <w:r>
              <w:rPr>
                <w:rFonts w:hint="eastAsia" w:ascii="宋体" w:hAnsi="宋体" w:eastAsia="宋体" w:cs="宋体"/>
                <w:b w:val="0"/>
                <w:color w:val="auto"/>
                <w:sz w:val="24"/>
                <w:highlight w:val="none"/>
                <w:u w:val="single"/>
                <w:lang w:val="en-US" w:eastAsia="zh-CN"/>
              </w:rPr>
              <w:t xml:space="preserve"> 15  </w:t>
            </w:r>
            <w:r>
              <w:rPr>
                <w:rFonts w:hint="eastAsia" w:ascii="宋体" w:hAnsi="宋体" w:eastAsia="宋体" w:cs="宋体"/>
                <w:b w:val="0"/>
                <w:color w:val="auto"/>
                <w:sz w:val="24"/>
                <w:highlight w:val="none"/>
                <w:u w:val="none"/>
                <w:lang w:val="en-US" w:eastAsia="zh-CN"/>
              </w:rPr>
              <w:t>%</w:t>
            </w:r>
            <w:r>
              <w:rPr>
                <w:rFonts w:hint="eastAsia" w:ascii="宋体" w:hAnsi="宋体" w:eastAsia="宋体" w:cs="宋体"/>
                <w:b w:val="0"/>
                <w:color w:val="auto"/>
                <w:sz w:val="24"/>
                <w:highlight w:val="none"/>
                <w:u w:val="none"/>
                <w:lang w:eastAsia="zh-CN"/>
              </w:rPr>
              <w:t>（10%-20%）</w:t>
            </w:r>
            <w:r>
              <w:rPr>
                <w:rFonts w:hint="eastAsia" w:ascii="宋体" w:hAnsi="宋体" w:eastAsia="宋体" w:cs="宋体"/>
                <w:b w:val="0"/>
                <w:color w:val="auto"/>
                <w:sz w:val="24"/>
                <w:highlight w:val="none"/>
              </w:rPr>
              <w:t>。</w:t>
            </w:r>
          </w:p>
          <w:p w14:paraId="01D26BA9">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240" w:firstLineChars="100"/>
              <w:jc w:val="both"/>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（2）监狱企业价格扣除：</w:t>
            </w:r>
            <w:r>
              <w:rPr>
                <w:rFonts w:hint="eastAsia" w:ascii="宋体" w:hAnsi="宋体" w:eastAsia="宋体" w:cs="宋体"/>
                <w:b w:val="0"/>
                <w:color w:val="auto"/>
                <w:sz w:val="24"/>
                <w:highlight w:val="none"/>
                <w:u w:val="none"/>
              </w:rPr>
              <w:t>同小型和微型企业</w:t>
            </w:r>
            <w:r>
              <w:rPr>
                <w:rFonts w:hint="eastAsia" w:ascii="宋体" w:hAnsi="宋体" w:eastAsia="宋体" w:cs="宋体"/>
                <w:b w:val="0"/>
                <w:color w:val="auto"/>
                <w:sz w:val="24"/>
                <w:highlight w:val="none"/>
              </w:rPr>
              <w:t>。</w:t>
            </w:r>
          </w:p>
          <w:p w14:paraId="17269AC2">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240" w:firstLineChars="100"/>
              <w:jc w:val="both"/>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（3）残疾人福利性单位价格扣除：</w:t>
            </w:r>
            <w:r>
              <w:rPr>
                <w:rFonts w:hint="eastAsia" w:ascii="宋体" w:hAnsi="宋体" w:eastAsia="宋体" w:cs="宋体"/>
                <w:b w:val="0"/>
                <w:color w:val="auto"/>
                <w:sz w:val="24"/>
                <w:highlight w:val="none"/>
                <w:u w:val="none"/>
              </w:rPr>
              <w:t>同小型和微型企业</w:t>
            </w:r>
            <w:r>
              <w:rPr>
                <w:rFonts w:hint="eastAsia" w:ascii="宋体" w:hAnsi="宋体" w:eastAsia="宋体" w:cs="宋体"/>
                <w:b w:val="0"/>
                <w:color w:val="auto"/>
                <w:sz w:val="24"/>
                <w:highlight w:val="none"/>
              </w:rPr>
              <w:t>。</w:t>
            </w:r>
          </w:p>
          <w:p w14:paraId="46079B55">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240" w:firstLineChars="100"/>
              <w:jc w:val="both"/>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（4）符合条件的联合体价格扣除：</w:t>
            </w:r>
            <w:r>
              <w:rPr>
                <w:rFonts w:hint="eastAsia" w:ascii="宋体" w:hAnsi="宋体" w:eastAsia="宋体" w:cs="宋体"/>
                <w:b w:val="0"/>
                <w:color w:val="auto"/>
                <w:sz w:val="24"/>
                <w:highlight w:val="none"/>
                <w:u w:val="single"/>
                <w:lang w:val="en-US" w:eastAsia="zh-CN"/>
              </w:rPr>
              <w:t xml:space="preserve">  /  </w:t>
            </w:r>
            <w:r>
              <w:rPr>
                <w:rFonts w:hint="eastAsia" w:ascii="宋体" w:hAnsi="宋体" w:eastAsia="宋体" w:cs="宋体"/>
                <w:b w:val="0"/>
                <w:color w:val="auto"/>
                <w:sz w:val="24"/>
                <w:highlight w:val="none"/>
                <w:u w:val="none"/>
                <w:lang w:val="en-US" w:eastAsia="zh-CN"/>
              </w:rPr>
              <w:t>%</w:t>
            </w:r>
            <w:r>
              <w:rPr>
                <w:rFonts w:hint="eastAsia" w:ascii="宋体" w:hAnsi="宋体" w:eastAsia="宋体" w:cs="宋体"/>
                <w:b w:val="0"/>
                <w:color w:val="auto"/>
                <w:sz w:val="24"/>
                <w:highlight w:val="none"/>
                <w:u w:val="none"/>
                <w:lang w:eastAsia="zh-CN"/>
              </w:rPr>
              <w:t>（</w:t>
            </w:r>
            <w:r>
              <w:rPr>
                <w:rFonts w:hint="eastAsia" w:ascii="宋体" w:hAnsi="宋体" w:eastAsia="宋体" w:cs="宋体"/>
                <w:b w:val="0"/>
                <w:color w:val="auto"/>
                <w:sz w:val="24"/>
                <w:highlight w:val="none"/>
                <w:u w:val="none"/>
              </w:rPr>
              <w:t>4%-6%</w:t>
            </w:r>
            <w:r>
              <w:rPr>
                <w:rFonts w:hint="eastAsia" w:ascii="宋体" w:hAnsi="宋体" w:eastAsia="宋体" w:cs="宋体"/>
                <w:b w:val="0"/>
                <w:color w:val="auto"/>
                <w:sz w:val="24"/>
                <w:highlight w:val="none"/>
                <w:u w:val="none"/>
                <w:lang w:eastAsia="zh-CN"/>
              </w:rPr>
              <w:t>）</w:t>
            </w:r>
            <w:r>
              <w:rPr>
                <w:rFonts w:hint="eastAsia" w:ascii="宋体" w:hAnsi="宋体" w:eastAsia="宋体" w:cs="宋体"/>
                <w:b w:val="0"/>
                <w:color w:val="auto"/>
                <w:sz w:val="24"/>
                <w:highlight w:val="none"/>
                <w:u w:val="none"/>
              </w:rPr>
              <w:t>。</w:t>
            </w:r>
          </w:p>
          <w:p w14:paraId="62E7FA3F">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240" w:firstLineChars="100"/>
              <w:jc w:val="both"/>
              <w:textAlignment w:val="auto"/>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color w:val="auto"/>
                <w:sz w:val="24"/>
                <w:highlight w:val="none"/>
              </w:rPr>
              <w:t>（5）符合条件的向小微企业分包的大中型企业价格扣除：</w:t>
            </w:r>
            <w:r>
              <w:rPr>
                <w:rFonts w:hint="eastAsia" w:ascii="宋体" w:hAnsi="宋体" w:eastAsia="宋体" w:cs="宋体"/>
                <w:b w:val="0"/>
                <w:color w:val="auto"/>
                <w:sz w:val="24"/>
                <w:highlight w:val="none"/>
                <w:u w:val="single"/>
                <w:lang w:val="en-US" w:eastAsia="zh-CN"/>
              </w:rPr>
              <w:t xml:space="preserve"> / </w:t>
            </w:r>
            <w:r>
              <w:rPr>
                <w:rFonts w:hint="eastAsia" w:ascii="宋体" w:hAnsi="宋体" w:eastAsia="宋体" w:cs="宋体"/>
                <w:b w:val="0"/>
                <w:color w:val="auto"/>
                <w:sz w:val="24"/>
                <w:highlight w:val="none"/>
              </w:rPr>
              <w:t>%</w:t>
            </w:r>
            <w:r>
              <w:rPr>
                <w:rFonts w:hint="eastAsia" w:ascii="宋体" w:hAnsi="宋体" w:eastAsia="宋体" w:cs="宋体"/>
                <w:b w:val="0"/>
                <w:color w:val="auto"/>
                <w:sz w:val="24"/>
                <w:highlight w:val="none"/>
                <w:u w:val="none"/>
                <w:lang w:eastAsia="zh-CN"/>
              </w:rPr>
              <w:t>（</w:t>
            </w:r>
            <w:r>
              <w:rPr>
                <w:rFonts w:hint="eastAsia" w:ascii="宋体" w:hAnsi="宋体" w:eastAsia="宋体" w:cs="宋体"/>
                <w:b w:val="0"/>
                <w:color w:val="auto"/>
                <w:sz w:val="24"/>
                <w:highlight w:val="none"/>
                <w:u w:val="none"/>
              </w:rPr>
              <w:t>4%-6%</w:t>
            </w:r>
            <w:r>
              <w:rPr>
                <w:rFonts w:hint="eastAsia" w:ascii="宋体" w:hAnsi="宋体" w:eastAsia="宋体" w:cs="宋体"/>
                <w:b w:val="0"/>
                <w:color w:val="auto"/>
                <w:sz w:val="24"/>
                <w:highlight w:val="none"/>
                <w:u w:val="none"/>
                <w:lang w:eastAsia="zh-CN"/>
              </w:rPr>
              <w:t>）</w:t>
            </w:r>
            <w:r>
              <w:rPr>
                <w:rFonts w:hint="eastAsia" w:ascii="宋体" w:hAnsi="宋体" w:eastAsia="宋体" w:cs="宋体"/>
                <w:b w:val="0"/>
                <w:color w:val="auto"/>
                <w:sz w:val="24"/>
                <w:highlight w:val="none"/>
              </w:rPr>
              <w:t>。</w:t>
            </w:r>
          </w:p>
        </w:tc>
      </w:tr>
      <w:tr w14:paraId="41B4A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89" w:type="dxa"/>
            <w:shd w:val="clear" w:color="auto" w:fill="auto"/>
            <w:vAlign w:val="center"/>
          </w:tcPr>
          <w:p w14:paraId="25023FB4">
            <w:pPr>
              <w:pStyle w:val="44"/>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sz w:val="24"/>
                <w:szCs w:val="20"/>
                <w:highlight w:val="none"/>
                <w:lang w:val="en-US" w:eastAsia="zh-CN" w:bidi="ar-SA"/>
              </w:rPr>
            </w:pPr>
            <w:r>
              <w:rPr>
                <w:rFonts w:hint="eastAsia" w:ascii="宋体" w:hAnsi="宋体" w:eastAsia="宋体" w:cs="宋体"/>
                <w:bCs/>
                <w:color w:val="auto"/>
                <w:kern w:val="2"/>
                <w:highlight w:val="none"/>
                <w:lang w:val="en-US" w:eastAsia="zh-CN"/>
              </w:rPr>
              <w:t>17.5</w:t>
            </w:r>
          </w:p>
        </w:tc>
        <w:tc>
          <w:tcPr>
            <w:tcW w:w="1486" w:type="dxa"/>
            <w:shd w:val="clear" w:color="auto" w:fill="auto"/>
            <w:vAlign w:val="center"/>
          </w:tcPr>
          <w:p w14:paraId="07C067C1">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color w:val="auto"/>
                <w:sz w:val="24"/>
                <w:highlight w:val="none"/>
                <w:lang w:val="en-US" w:eastAsia="zh-CN"/>
              </w:rPr>
              <w:t>本国产品价格扣除</w:t>
            </w:r>
          </w:p>
        </w:tc>
        <w:tc>
          <w:tcPr>
            <w:tcW w:w="7805" w:type="dxa"/>
            <w:shd w:val="clear" w:color="auto" w:fill="auto"/>
            <w:vAlign w:val="center"/>
          </w:tcPr>
          <w:p w14:paraId="11B00EDF">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i w:val="0"/>
                <w:iCs/>
                <w:color w:val="auto"/>
                <w:sz w:val="24"/>
                <w:highlight w:val="none"/>
                <w:lang w:val="en-US" w:eastAsia="zh-CN"/>
              </w:rPr>
            </w:pP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注：适用于服务项目中涉及的既有本国产品又有非本国产品参与竞争的货物</w:t>
            </w:r>
            <w:r>
              <w:rPr>
                <w:rFonts w:hint="eastAsia" w:ascii="宋体" w:hAnsi="宋体" w:eastAsia="宋体" w:cs="宋体"/>
                <w:b w:val="0"/>
                <w:bCs w:val="0"/>
                <w:color w:val="auto"/>
                <w:sz w:val="24"/>
                <w:szCs w:val="24"/>
                <w:highlight w:val="none"/>
                <w:lang w:eastAsia="zh-CN"/>
              </w:rPr>
              <w:t>）</w:t>
            </w:r>
          </w:p>
          <w:p w14:paraId="717C149F">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i w:val="0"/>
                <w:iCs/>
                <w:color w:val="auto"/>
                <w:sz w:val="24"/>
                <w:highlight w:val="none"/>
                <w:lang w:val="en-US" w:eastAsia="zh-CN"/>
              </w:rPr>
            </w:pPr>
            <w:r>
              <w:rPr>
                <w:rFonts w:hint="eastAsia" w:ascii="宋体" w:hAnsi="宋体" w:eastAsia="宋体" w:cs="宋体"/>
                <w:b w:val="0"/>
                <w:i w:val="0"/>
                <w:iCs/>
                <w:color w:val="auto"/>
                <w:sz w:val="24"/>
                <w:highlight w:val="none"/>
                <w:lang w:val="en-US" w:eastAsia="zh-CN"/>
              </w:rPr>
              <w:t>（1）项目或者采购包中采购内容为单一产品的，既有本国产品又有非本国产品参与竞争的，对本国产品给予价格扣除20%。</w:t>
            </w:r>
          </w:p>
          <w:p w14:paraId="11511669">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i w:val="0"/>
                <w:iCs/>
                <w:color w:val="auto"/>
                <w:kern w:val="0"/>
                <w:sz w:val="24"/>
                <w:szCs w:val="28"/>
                <w:highlight w:val="none"/>
                <w:lang w:val="en-US" w:eastAsia="zh-CN" w:bidi="ar-SA"/>
              </w:rPr>
            </w:pPr>
            <w:r>
              <w:rPr>
                <w:rFonts w:hint="eastAsia" w:ascii="宋体" w:hAnsi="宋体" w:eastAsia="宋体" w:cs="宋体"/>
                <w:b w:val="0"/>
                <w:i w:val="0"/>
                <w:iCs/>
                <w:color w:val="auto"/>
                <w:sz w:val="24"/>
                <w:highlight w:val="none"/>
                <w:lang w:val="en-US" w:eastAsia="zh-CN"/>
              </w:rPr>
              <w:t>（2）项目或者采购包中含有多种产品的，符合本国产品标准的产品成本之和占该投标人提供的全部产品成本之和的比例≥80%，所有产品价格扣除20%。</w:t>
            </w:r>
          </w:p>
        </w:tc>
      </w:tr>
      <w:tr w14:paraId="426A1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89" w:type="dxa"/>
            <w:vMerge w:val="restart"/>
            <w:vAlign w:val="center"/>
          </w:tcPr>
          <w:p w14:paraId="01EFA9C0">
            <w:pPr>
              <w:pStyle w:val="44"/>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19.1</w:t>
            </w:r>
          </w:p>
        </w:tc>
        <w:tc>
          <w:tcPr>
            <w:tcW w:w="1486" w:type="dxa"/>
            <w:vMerge w:val="restart"/>
            <w:vAlign w:val="center"/>
          </w:tcPr>
          <w:p w14:paraId="00759316">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确定成交候选供应商和成交供应商</w:t>
            </w:r>
          </w:p>
        </w:tc>
        <w:tc>
          <w:tcPr>
            <w:tcW w:w="7805" w:type="dxa"/>
            <w:vAlign w:val="center"/>
          </w:tcPr>
          <w:p w14:paraId="29FB4AF0">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磋商小组推荐成交候选供应商的数量：3家</w:t>
            </w:r>
          </w:p>
          <w:p w14:paraId="17DDF23E">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u w:val="single"/>
                <w:lang w:eastAsia="zh-CN"/>
              </w:rPr>
            </w:pPr>
            <w:r>
              <w:rPr>
                <w:rFonts w:hint="eastAsia" w:ascii="宋体" w:hAnsi="宋体" w:eastAsia="宋体" w:cs="宋体"/>
                <w:b w:val="0"/>
                <w:color w:val="auto"/>
                <w:sz w:val="24"/>
                <w:highlight w:val="none"/>
              </w:rPr>
              <w:t>注：法律、法规另有规定的，从其规定</w:t>
            </w:r>
            <w:r>
              <w:rPr>
                <w:rFonts w:hint="eastAsia" w:ascii="宋体" w:hAnsi="宋体" w:eastAsia="宋体" w:cs="宋体"/>
                <w:b w:val="0"/>
                <w:color w:val="auto"/>
                <w:sz w:val="24"/>
                <w:highlight w:val="none"/>
                <w:lang w:eastAsia="zh-CN"/>
              </w:rPr>
              <w:t>。</w:t>
            </w:r>
          </w:p>
        </w:tc>
      </w:tr>
      <w:tr w14:paraId="6A8E3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89" w:type="dxa"/>
            <w:vMerge w:val="continue"/>
            <w:vAlign w:val="center"/>
          </w:tcPr>
          <w:p w14:paraId="3E2C3A3B">
            <w:pPr>
              <w:pStyle w:val="44"/>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p>
        </w:tc>
        <w:tc>
          <w:tcPr>
            <w:tcW w:w="1486" w:type="dxa"/>
            <w:vMerge w:val="continue"/>
            <w:vAlign w:val="center"/>
          </w:tcPr>
          <w:p w14:paraId="1ED43050">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p>
        </w:tc>
        <w:tc>
          <w:tcPr>
            <w:tcW w:w="7805" w:type="dxa"/>
            <w:vAlign w:val="center"/>
          </w:tcPr>
          <w:p w14:paraId="04415947">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确定成交供应商：</w:t>
            </w:r>
          </w:p>
          <w:p w14:paraId="0847E69C">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sym w:font="Wingdings" w:char="00FE"/>
            </w:r>
            <w:r>
              <w:rPr>
                <w:rFonts w:hint="eastAsia" w:ascii="宋体" w:hAnsi="宋体" w:eastAsia="宋体" w:cs="宋体"/>
                <w:b w:val="0"/>
                <w:color w:val="auto"/>
                <w:sz w:val="24"/>
                <w:highlight w:val="none"/>
              </w:rPr>
              <w:t>采购人委托磋商小组确定</w:t>
            </w:r>
          </w:p>
          <w:p w14:paraId="6C759DFB">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□采购人确定</w:t>
            </w:r>
          </w:p>
        </w:tc>
      </w:tr>
      <w:tr w14:paraId="0C1A9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90" w:hRule="atLeast"/>
          <w:jc w:val="center"/>
        </w:trPr>
        <w:tc>
          <w:tcPr>
            <w:tcW w:w="989" w:type="dxa"/>
            <w:vAlign w:val="center"/>
          </w:tcPr>
          <w:p w14:paraId="504C3D26">
            <w:pPr>
              <w:pStyle w:val="44"/>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22.2</w:t>
            </w:r>
          </w:p>
        </w:tc>
        <w:tc>
          <w:tcPr>
            <w:tcW w:w="1486" w:type="dxa"/>
            <w:vAlign w:val="center"/>
          </w:tcPr>
          <w:p w14:paraId="7BE0F2AE">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随成交结果公告同时公告的内容</w:t>
            </w:r>
          </w:p>
        </w:tc>
        <w:tc>
          <w:tcPr>
            <w:tcW w:w="7805" w:type="dxa"/>
            <w:vAlign w:val="center"/>
          </w:tcPr>
          <w:p w14:paraId="58578392">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无</w:t>
            </w:r>
          </w:p>
        </w:tc>
      </w:tr>
      <w:tr w14:paraId="4E4F1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89" w:type="dxa"/>
            <w:vAlign w:val="center"/>
          </w:tcPr>
          <w:p w14:paraId="5234DF26">
            <w:pPr>
              <w:pStyle w:val="44"/>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23.1</w:t>
            </w:r>
          </w:p>
        </w:tc>
        <w:tc>
          <w:tcPr>
            <w:tcW w:w="1486" w:type="dxa"/>
            <w:vAlign w:val="center"/>
          </w:tcPr>
          <w:p w14:paraId="3B9BEC3E">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成交通知书发出的形式</w:t>
            </w:r>
          </w:p>
        </w:tc>
        <w:tc>
          <w:tcPr>
            <w:tcW w:w="7805" w:type="dxa"/>
            <w:vAlign w:val="center"/>
          </w:tcPr>
          <w:p w14:paraId="03131CD3">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eastAsia="zh-CN"/>
              </w:rPr>
              <w:t>☑</w:t>
            </w:r>
            <w:r>
              <w:rPr>
                <w:rFonts w:hint="eastAsia" w:ascii="宋体" w:hAnsi="宋体" w:eastAsia="宋体" w:cs="宋体"/>
                <w:b w:val="0"/>
                <w:color w:val="auto"/>
                <w:sz w:val="24"/>
                <w:highlight w:val="none"/>
              </w:rPr>
              <w:t xml:space="preserve">书面     </w:t>
            </w:r>
            <w:r>
              <w:rPr>
                <w:rFonts w:hint="eastAsia" w:ascii="宋体" w:hAnsi="宋体" w:eastAsia="宋体" w:cs="宋体"/>
                <w:b w:val="0"/>
                <w:bCs w:val="0"/>
                <w:color w:val="auto"/>
                <w:sz w:val="24"/>
                <w:szCs w:val="24"/>
                <w:highlight w:val="none"/>
              </w:rPr>
              <w:sym w:font="Wingdings" w:char="00A8"/>
            </w:r>
            <w:r>
              <w:rPr>
                <w:rFonts w:hint="eastAsia" w:ascii="宋体" w:hAnsi="宋体" w:eastAsia="宋体" w:cs="宋体"/>
                <w:b w:val="0"/>
                <w:color w:val="auto"/>
                <w:sz w:val="24"/>
                <w:highlight w:val="none"/>
              </w:rPr>
              <w:t>数据电文</w:t>
            </w:r>
          </w:p>
        </w:tc>
      </w:tr>
      <w:tr w14:paraId="72AF4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89" w:type="dxa"/>
            <w:vAlign w:val="center"/>
          </w:tcPr>
          <w:p w14:paraId="326A08B4">
            <w:pPr>
              <w:pStyle w:val="44"/>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24.1</w:t>
            </w:r>
          </w:p>
        </w:tc>
        <w:tc>
          <w:tcPr>
            <w:tcW w:w="1486" w:type="dxa"/>
            <w:vAlign w:val="center"/>
          </w:tcPr>
          <w:p w14:paraId="24110992">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告知磋商结果的形式</w:t>
            </w:r>
          </w:p>
        </w:tc>
        <w:tc>
          <w:tcPr>
            <w:tcW w:w="7805" w:type="dxa"/>
            <w:vAlign w:val="center"/>
          </w:tcPr>
          <w:p w14:paraId="5D0FA37A">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rPr>
              <w:sym w:font="Wingdings" w:char="00FE"/>
            </w:r>
            <w:r>
              <w:rPr>
                <w:rFonts w:hint="eastAsia" w:ascii="宋体" w:hAnsi="宋体" w:eastAsia="宋体" w:cs="宋体"/>
                <w:b w:val="0"/>
                <w:bCs w:val="0"/>
                <w:color w:val="auto"/>
                <w:sz w:val="24"/>
                <w:szCs w:val="24"/>
                <w:highlight w:val="none"/>
              </w:rPr>
              <w:t>供应商</w:t>
            </w:r>
            <w:r>
              <w:rPr>
                <w:rFonts w:hint="eastAsia" w:ascii="宋体" w:hAnsi="宋体" w:eastAsia="宋体" w:cs="宋体"/>
                <w:b w:val="0"/>
                <w:bCs w:val="0"/>
                <w:color w:val="auto"/>
                <w:sz w:val="24"/>
                <w:szCs w:val="24"/>
                <w:highlight w:val="none"/>
                <w:lang w:eastAsia="zh-CN"/>
              </w:rPr>
              <w:t>自行登录</w:t>
            </w:r>
            <w:r>
              <w:rPr>
                <w:rFonts w:hint="eastAsia" w:ascii="宋体" w:hAnsi="宋体" w:eastAsia="宋体" w:cs="宋体"/>
                <w:b w:val="0"/>
                <w:bCs w:val="0"/>
                <w:color w:val="auto"/>
                <w:sz w:val="24"/>
                <w:szCs w:val="24"/>
                <w:highlight w:val="none"/>
                <w:lang w:val="en-US" w:eastAsia="zh-CN"/>
              </w:rPr>
              <w:t>六安市水利局</w:t>
            </w:r>
            <w:r>
              <w:rPr>
                <w:rFonts w:hint="eastAsia" w:ascii="宋体" w:hAnsi="宋体" w:eastAsia="宋体" w:cs="宋体"/>
                <w:b w:val="0"/>
                <w:bCs w:val="0"/>
                <w:color w:val="auto"/>
                <w:sz w:val="24"/>
                <w:szCs w:val="24"/>
                <w:highlight w:val="none"/>
              </w:rPr>
              <w:t>（https://slj.luan.gov.cn/）</w:t>
            </w:r>
            <w:r>
              <w:rPr>
                <w:rFonts w:hint="eastAsia" w:ascii="宋体" w:hAnsi="宋体" w:eastAsia="宋体" w:cs="宋体"/>
                <w:b w:val="0"/>
                <w:bCs w:val="0"/>
                <w:color w:val="auto"/>
                <w:sz w:val="24"/>
                <w:szCs w:val="24"/>
                <w:highlight w:val="none"/>
                <w:lang w:eastAsia="zh-CN"/>
              </w:rPr>
              <w:t>查看</w:t>
            </w:r>
          </w:p>
          <w:p w14:paraId="11D00334">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□磋商现场告知</w:t>
            </w:r>
          </w:p>
        </w:tc>
      </w:tr>
      <w:tr w14:paraId="61375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89" w:type="dxa"/>
            <w:vAlign w:val="center"/>
          </w:tcPr>
          <w:p w14:paraId="26194CF6">
            <w:pPr>
              <w:pStyle w:val="44"/>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25.1</w:t>
            </w:r>
          </w:p>
        </w:tc>
        <w:tc>
          <w:tcPr>
            <w:tcW w:w="1486" w:type="dxa"/>
            <w:vAlign w:val="center"/>
          </w:tcPr>
          <w:p w14:paraId="1A8CC352">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履约保证金</w:t>
            </w:r>
          </w:p>
        </w:tc>
        <w:tc>
          <w:tcPr>
            <w:tcW w:w="7805" w:type="dxa"/>
            <w:vAlign w:val="center"/>
          </w:tcPr>
          <w:p w14:paraId="08FF0BD6">
            <w:pPr>
              <w:keepNext w:val="0"/>
              <w:keepLines w:val="0"/>
              <w:pageBreakBefore w:val="0"/>
              <w:kinsoku/>
              <w:wordWrap/>
              <w:overflowPunct/>
              <w:topLinePunct w:val="0"/>
              <w:autoSpaceDE/>
              <w:autoSpaceDN/>
              <w:bidi w:val="0"/>
              <w:adjustRightInd/>
              <w:snapToGrid/>
              <w:spacing w:beforeAutospacing="0" w:afterAutospacing="0" w:line="400" w:lineRule="exact"/>
              <w:rPr>
                <w:rFonts w:hint="eastAsia"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1、成交供应商在签订合同时应向采购人提交合同总价</w:t>
            </w:r>
            <w:r>
              <w:rPr>
                <w:rFonts w:hint="eastAsia" w:ascii="宋体" w:hAnsi="宋体" w:eastAsia="宋体" w:cs="宋体"/>
                <w:bCs/>
                <w:color w:val="auto"/>
                <w:kern w:val="0"/>
                <w:sz w:val="24"/>
                <w:szCs w:val="28"/>
                <w:highlight w:val="none"/>
                <w:u w:val="single"/>
              </w:rPr>
              <w:t xml:space="preserve">  </w:t>
            </w:r>
            <w:r>
              <w:rPr>
                <w:rFonts w:hint="eastAsia" w:ascii="宋体" w:hAnsi="宋体" w:eastAsia="宋体" w:cs="宋体"/>
                <w:bCs/>
                <w:color w:val="auto"/>
                <w:kern w:val="0"/>
                <w:sz w:val="24"/>
                <w:szCs w:val="28"/>
                <w:highlight w:val="none"/>
                <w:u w:val="single"/>
                <w:lang w:val="en-US" w:eastAsia="zh-CN"/>
              </w:rPr>
              <w:t>/</w:t>
            </w:r>
            <w:r>
              <w:rPr>
                <w:rFonts w:hint="eastAsia" w:ascii="宋体" w:hAnsi="宋体" w:eastAsia="宋体" w:cs="宋体"/>
                <w:bCs/>
                <w:color w:val="auto"/>
                <w:kern w:val="0"/>
                <w:sz w:val="24"/>
                <w:szCs w:val="28"/>
                <w:highlight w:val="none"/>
                <w:u w:val="single"/>
              </w:rPr>
              <w:t xml:space="preserve">  </w:t>
            </w:r>
            <w:r>
              <w:rPr>
                <w:rFonts w:hint="eastAsia" w:ascii="宋体" w:hAnsi="宋体" w:eastAsia="宋体" w:cs="宋体"/>
                <w:bCs/>
                <w:color w:val="auto"/>
                <w:kern w:val="0"/>
                <w:sz w:val="24"/>
                <w:szCs w:val="28"/>
                <w:highlight w:val="none"/>
              </w:rPr>
              <w:t>%的履约保证金（最高缴纳比例不得超过合同金额的2.5%）。</w:t>
            </w:r>
          </w:p>
          <w:p w14:paraId="5B88CED6">
            <w:pPr>
              <w:keepNext w:val="0"/>
              <w:keepLines w:val="0"/>
              <w:pageBreakBefore w:val="0"/>
              <w:kinsoku/>
              <w:wordWrap/>
              <w:overflowPunct/>
              <w:topLinePunct w:val="0"/>
              <w:autoSpaceDE/>
              <w:autoSpaceDN/>
              <w:bidi w:val="0"/>
              <w:adjustRightInd/>
              <w:snapToGrid/>
              <w:spacing w:beforeAutospacing="0" w:afterAutospacing="0" w:line="400" w:lineRule="exact"/>
              <w:rPr>
                <w:rFonts w:hint="eastAsia"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2、成交供应商可以通过转账、网银支付、汇票、支票、保证保险、担保保函、银行履约保函等方式提交履约保证金。</w:t>
            </w:r>
          </w:p>
          <w:p w14:paraId="6FF21421">
            <w:pPr>
              <w:pStyle w:val="11"/>
              <w:keepNext w:val="0"/>
              <w:keepLines w:val="0"/>
              <w:pageBreakBefore w:val="0"/>
              <w:kinsoku/>
              <w:wordWrap/>
              <w:overflowPunct/>
              <w:topLinePunct w:val="0"/>
              <w:autoSpaceDE/>
              <w:autoSpaceDN/>
              <w:bidi w:val="0"/>
              <w:adjustRightInd/>
              <w:snapToGrid/>
              <w:spacing w:beforeAutospacing="0" w:afterAutospacing="0" w:line="400" w:lineRule="exact"/>
              <w:rPr>
                <w:rFonts w:hint="eastAsia" w:ascii="宋体" w:hAnsi="宋体" w:eastAsia="宋体" w:cs="宋体"/>
                <w:bCs/>
                <w:color w:val="auto"/>
                <w:kern w:val="0"/>
                <w:sz w:val="24"/>
                <w:szCs w:val="28"/>
                <w:highlight w:val="none"/>
                <w:lang w:val="en-US"/>
              </w:rPr>
            </w:pPr>
            <w:r>
              <w:rPr>
                <w:rFonts w:hint="eastAsia" w:ascii="宋体" w:hAnsi="宋体" w:eastAsia="宋体" w:cs="宋体"/>
                <w:bCs/>
                <w:color w:val="auto"/>
                <w:kern w:val="0"/>
                <w:sz w:val="24"/>
                <w:szCs w:val="28"/>
                <w:highlight w:val="none"/>
                <w:lang w:val="en-US"/>
              </w:rPr>
              <w:t>3、项目验收结束后</w:t>
            </w:r>
            <w:r>
              <w:rPr>
                <w:rFonts w:hint="eastAsia" w:ascii="宋体" w:hAnsi="宋体" w:eastAsia="宋体" w:cs="宋体"/>
                <w:bCs/>
                <w:color w:val="auto"/>
                <w:kern w:val="0"/>
                <w:sz w:val="24"/>
                <w:szCs w:val="28"/>
                <w:highlight w:val="none"/>
                <w:lang w:val="en-US" w:eastAsia="zh-CN"/>
              </w:rPr>
              <w:t>将</w:t>
            </w:r>
            <w:r>
              <w:rPr>
                <w:rFonts w:hint="eastAsia" w:ascii="宋体" w:hAnsi="宋体" w:eastAsia="宋体" w:cs="宋体"/>
                <w:bCs/>
                <w:color w:val="auto"/>
                <w:kern w:val="0"/>
                <w:sz w:val="24"/>
                <w:szCs w:val="28"/>
                <w:highlight w:val="none"/>
                <w:lang w:val="en-US"/>
              </w:rPr>
              <w:t>及时退还履约保证金。</w:t>
            </w:r>
          </w:p>
          <w:p w14:paraId="562E1F28">
            <w:pPr>
              <w:keepNext w:val="0"/>
              <w:keepLines w:val="0"/>
              <w:pageBreakBefore w:val="0"/>
              <w:kinsoku/>
              <w:wordWrap/>
              <w:overflowPunct/>
              <w:topLinePunct w:val="0"/>
              <w:autoSpaceDE/>
              <w:autoSpaceDN/>
              <w:bidi w:val="0"/>
              <w:adjustRightInd/>
              <w:snapToGrid/>
              <w:spacing w:beforeAutospacing="0" w:afterAutospacing="0" w:line="400" w:lineRule="exact"/>
              <w:rPr>
                <w:rFonts w:hint="eastAsia" w:ascii="宋体" w:hAnsi="宋体" w:eastAsia="宋体" w:cs="宋体"/>
                <w:b/>
                <w:bCs w:val="0"/>
                <w:color w:val="auto"/>
                <w:kern w:val="0"/>
                <w:sz w:val="24"/>
                <w:szCs w:val="28"/>
                <w:highlight w:val="none"/>
              </w:rPr>
            </w:pPr>
            <w:r>
              <w:rPr>
                <w:rFonts w:hint="eastAsia" w:ascii="宋体" w:hAnsi="宋体" w:eastAsia="宋体" w:cs="宋体"/>
                <w:b/>
                <w:bCs w:val="0"/>
                <w:color w:val="auto"/>
                <w:kern w:val="0"/>
                <w:sz w:val="24"/>
                <w:szCs w:val="28"/>
                <w:highlight w:val="none"/>
              </w:rPr>
              <w:t>注意事项：</w:t>
            </w:r>
          </w:p>
          <w:p w14:paraId="1269D53C">
            <w:pPr>
              <w:keepNext w:val="0"/>
              <w:keepLines w:val="0"/>
              <w:pageBreakBefore w:val="0"/>
              <w:kinsoku/>
              <w:wordWrap/>
              <w:overflowPunct/>
              <w:topLinePunct w:val="0"/>
              <w:autoSpaceDE/>
              <w:autoSpaceDN/>
              <w:bidi w:val="0"/>
              <w:adjustRightInd/>
              <w:snapToGrid/>
              <w:spacing w:beforeAutospacing="0" w:afterAutospacing="0" w:line="400" w:lineRule="exact"/>
              <w:rPr>
                <w:rFonts w:hint="eastAsia" w:ascii="宋体" w:hAnsi="宋体" w:eastAsia="宋体" w:cs="宋体"/>
                <w:b w:val="0"/>
                <w:bCs/>
                <w:color w:val="auto"/>
                <w:kern w:val="0"/>
                <w:sz w:val="24"/>
                <w:szCs w:val="28"/>
                <w:highlight w:val="none"/>
              </w:rPr>
            </w:pPr>
            <w:r>
              <w:rPr>
                <w:rFonts w:hint="eastAsia" w:ascii="宋体" w:hAnsi="宋体" w:eastAsia="宋体" w:cs="宋体"/>
                <w:b w:val="0"/>
                <w:bCs/>
                <w:color w:val="auto"/>
                <w:kern w:val="0"/>
                <w:sz w:val="24"/>
                <w:szCs w:val="28"/>
                <w:highlight w:val="none"/>
              </w:rPr>
              <w:t>（1）以上各类机构出具的以担保函、保证保险承担责任的方式均须满足无条件见索即付条件。</w:t>
            </w:r>
          </w:p>
          <w:p w14:paraId="155C8DAD">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color w:val="auto"/>
                <w:sz w:val="24"/>
                <w:highlight w:val="none"/>
              </w:rPr>
            </w:pPr>
            <w:r>
              <w:rPr>
                <w:rFonts w:hint="eastAsia" w:ascii="宋体" w:hAnsi="宋体" w:eastAsia="宋体" w:cs="宋体"/>
                <w:b w:val="0"/>
                <w:bCs/>
                <w:color w:val="auto"/>
                <w:sz w:val="24"/>
                <w:highlight w:val="none"/>
              </w:rPr>
              <w:t>（2）以担保函、保证保险形式缴纳履约保证金的，受益人和收取单位须为采购人。</w:t>
            </w:r>
          </w:p>
        </w:tc>
      </w:tr>
      <w:tr w14:paraId="3AF4B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89" w:type="dxa"/>
            <w:vAlign w:val="center"/>
          </w:tcPr>
          <w:p w14:paraId="5B597057">
            <w:pPr>
              <w:pStyle w:val="44"/>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26.1</w:t>
            </w:r>
          </w:p>
        </w:tc>
        <w:tc>
          <w:tcPr>
            <w:tcW w:w="1486" w:type="dxa"/>
            <w:vAlign w:val="center"/>
          </w:tcPr>
          <w:p w14:paraId="66333FE1">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val="en-US" w:eastAsia="zh-CN"/>
              </w:rPr>
              <w:t>代理服务费</w:t>
            </w:r>
          </w:p>
        </w:tc>
        <w:tc>
          <w:tcPr>
            <w:tcW w:w="7805" w:type="dxa"/>
            <w:vAlign w:val="center"/>
          </w:tcPr>
          <w:p w14:paraId="50845717">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1、支付方：□采购人  ☑成交供应商</w:t>
            </w:r>
          </w:p>
          <w:p w14:paraId="33D1DB0A">
            <w:pPr>
              <w:pStyle w:val="44"/>
              <w:pBdr>
                <w:bottom w:val="none" w:color="auto" w:sz="0" w:space="0"/>
              </w:pBdr>
              <w:tabs>
                <w:tab w:val="clear" w:pos="4153"/>
                <w:tab w:val="clear" w:pos="8306"/>
              </w:tabs>
              <w:adjustRightInd/>
              <w:spacing w:line="440" w:lineRule="exact"/>
              <w:jc w:val="left"/>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2、服务费用（或收费标准）：代理服务费以成交金额为计算基础，参照原国家计委“计价格[2002]1980号”文件收费标准收取，不足5000元的按5000元固定标准收费；</w:t>
            </w:r>
          </w:p>
          <w:p w14:paraId="18506F3B">
            <w:pPr>
              <w:pStyle w:val="44"/>
              <w:pBdr>
                <w:bottom w:val="none" w:color="auto" w:sz="0" w:space="0"/>
              </w:pBdr>
              <w:tabs>
                <w:tab w:val="clear" w:pos="4153"/>
                <w:tab w:val="clear" w:pos="8306"/>
              </w:tabs>
              <w:adjustRightInd/>
              <w:spacing w:line="440" w:lineRule="exact"/>
              <w:jc w:val="left"/>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清单控制价编制费以成交金额为计算基础，参照安徽省物价局建设厅“皖价服[2007]86号”文件收费标准收取，不足1000元的按1000元固定标准收费。</w:t>
            </w:r>
          </w:p>
          <w:p w14:paraId="2E018877">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b w:val="0"/>
                <w:color w:val="auto"/>
                <w:sz w:val="24"/>
                <w:highlight w:val="none"/>
              </w:rPr>
            </w:pPr>
            <w:r>
              <w:rPr>
                <w:rFonts w:hint="eastAsia" w:ascii="宋体" w:hAnsi="宋体" w:eastAsia="宋体" w:cs="宋体"/>
                <w:b w:val="0"/>
                <w:bCs w:val="0"/>
                <w:color w:val="auto"/>
                <w:sz w:val="24"/>
                <w:highlight w:val="none"/>
                <w:lang w:val="en-US" w:eastAsia="zh-CN"/>
              </w:rPr>
              <w:t>3、收取方式：成交供应商领取成交通知书前一次性支付。</w:t>
            </w:r>
          </w:p>
        </w:tc>
      </w:tr>
      <w:tr w14:paraId="74C16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89" w:type="dxa"/>
            <w:vAlign w:val="center"/>
          </w:tcPr>
          <w:p w14:paraId="69EF976E">
            <w:pPr>
              <w:pStyle w:val="44"/>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27.1</w:t>
            </w:r>
          </w:p>
        </w:tc>
        <w:tc>
          <w:tcPr>
            <w:tcW w:w="1486" w:type="dxa"/>
            <w:vAlign w:val="center"/>
          </w:tcPr>
          <w:p w14:paraId="226D6760">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签订合同</w:t>
            </w:r>
            <w:r>
              <w:rPr>
                <w:rFonts w:hint="eastAsia" w:ascii="宋体" w:hAnsi="宋体" w:eastAsia="宋体" w:cs="宋体"/>
                <w:b w:val="0"/>
                <w:color w:val="auto"/>
                <w:sz w:val="24"/>
                <w:highlight w:val="none"/>
                <w:lang w:eastAsia="zh-CN"/>
              </w:rPr>
              <w:t>、</w:t>
            </w:r>
            <w:r>
              <w:rPr>
                <w:rFonts w:hint="eastAsia" w:ascii="宋体" w:hAnsi="宋体" w:eastAsia="宋体" w:cs="宋体"/>
                <w:b w:val="0"/>
                <w:color w:val="auto"/>
                <w:sz w:val="24"/>
                <w:highlight w:val="none"/>
              </w:rPr>
              <w:t>合同公告</w:t>
            </w:r>
            <w:r>
              <w:rPr>
                <w:rFonts w:hint="eastAsia" w:ascii="宋体" w:hAnsi="宋体" w:eastAsia="宋体" w:cs="宋体"/>
                <w:b w:val="0"/>
                <w:color w:val="auto"/>
                <w:sz w:val="24"/>
                <w:highlight w:val="none"/>
                <w:lang w:eastAsia="zh-CN"/>
              </w:rPr>
              <w:t>、</w:t>
            </w:r>
            <w:r>
              <w:rPr>
                <w:rFonts w:hint="eastAsia" w:ascii="宋体" w:hAnsi="宋体" w:eastAsia="宋体" w:cs="宋体"/>
                <w:b w:val="0"/>
                <w:color w:val="auto"/>
                <w:sz w:val="24"/>
                <w:highlight w:val="none"/>
                <w:lang w:val="en-US" w:eastAsia="zh-CN"/>
              </w:rPr>
              <w:t>验收与支付</w:t>
            </w:r>
            <w:r>
              <w:rPr>
                <w:rFonts w:hint="eastAsia" w:ascii="宋体" w:hAnsi="宋体" w:eastAsia="宋体" w:cs="宋体"/>
                <w:b w:val="0"/>
                <w:color w:val="auto"/>
                <w:sz w:val="24"/>
                <w:highlight w:val="none"/>
              </w:rPr>
              <w:t>时间</w:t>
            </w:r>
          </w:p>
        </w:tc>
        <w:tc>
          <w:tcPr>
            <w:tcW w:w="7805" w:type="dxa"/>
            <w:vAlign w:val="center"/>
          </w:tcPr>
          <w:p w14:paraId="4F496BAC">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color w:val="auto"/>
                <w:sz w:val="24"/>
                <w:highlight w:val="none"/>
              </w:rPr>
            </w:pPr>
            <w:r>
              <w:rPr>
                <w:rFonts w:hint="eastAsia" w:ascii="宋体" w:hAnsi="宋体" w:eastAsia="宋体" w:cs="宋体"/>
                <w:b w:val="0"/>
                <w:bCs/>
                <w:color w:val="auto"/>
                <w:sz w:val="24"/>
                <w:highlight w:val="none"/>
              </w:rPr>
              <w:t>（1）采购人应尽量缩短采购合同签订时间，不得晚于中标（成交）通知书发放之日起 7 个工作日。无正当理由不得拒绝或者拖延签订合同，因供应商自身原因导致无法及时签订的除外。采购文件、成交供应商的响应文件及澄清文件等，均作为合同的附件。</w:t>
            </w:r>
          </w:p>
          <w:p w14:paraId="0BA2A042">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（2）采购人与</w:t>
            </w:r>
            <w:r>
              <w:rPr>
                <w:rFonts w:hint="eastAsia" w:ascii="宋体" w:hAnsi="宋体" w:eastAsia="宋体" w:cs="宋体"/>
                <w:b w:val="0"/>
                <w:bCs/>
                <w:color w:val="auto"/>
                <w:sz w:val="24"/>
                <w:highlight w:val="none"/>
              </w:rPr>
              <w:t>成交供应商</w:t>
            </w:r>
            <w:r>
              <w:rPr>
                <w:rFonts w:hint="eastAsia" w:ascii="宋体" w:hAnsi="宋体" w:eastAsia="宋体" w:cs="宋体"/>
                <w:b w:val="0"/>
                <w:bCs/>
                <w:color w:val="auto"/>
                <w:sz w:val="24"/>
                <w:szCs w:val="24"/>
                <w:highlight w:val="none"/>
              </w:rPr>
              <w:t>不得擅自变更合同，依照政府采购法确需变更政府采购合同内容的，采购人应当自合同变更之日起2个工作日内在</w:t>
            </w:r>
            <w:r>
              <w:rPr>
                <w:rFonts w:hint="eastAsia" w:ascii="宋体" w:hAnsi="宋体" w:eastAsia="宋体" w:cs="宋体"/>
                <w:b w:val="0"/>
                <w:bCs w:val="0"/>
                <w:color w:val="auto"/>
                <w:sz w:val="24"/>
                <w:szCs w:val="24"/>
                <w:highlight w:val="none"/>
                <w:lang w:val="en-US" w:eastAsia="zh-CN"/>
              </w:rPr>
              <w:t>六安市水利局</w:t>
            </w:r>
            <w:r>
              <w:rPr>
                <w:rFonts w:hint="eastAsia" w:ascii="宋体" w:hAnsi="宋体" w:eastAsia="宋体" w:cs="宋体"/>
                <w:b w:val="0"/>
                <w:bCs w:val="0"/>
                <w:color w:val="auto"/>
                <w:sz w:val="24"/>
                <w:szCs w:val="24"/>
                <w:highlight w:val="none"/>
              </w:rPr>
              <w:t>（https://slj.luan.gov.cn/）</w:t>
            </w:r>
            <w:r>
              <w:rPr>
                <w:rFonts w:hint="eastAsia" w:ascii="宋体" w:hAnsi="宋体" w:eastAsia="宋体" w:cs="宋体"/>
                <w:b w:val="0"/>
                <w:bCs/>
                <w:color w:val="auto"/>
                <w:sz w:val="24"/>
                <w:szCs w:val="24"/>
                <w:highlight w:val="none"/>
              </w:rPr>
              <w:t>发布政府采购合同变更公告，但涉及国家秘密、商业秘密的信息和其他依法不得公开的信息除外。</w:t>
            </w:r>
          </w:p>
          <w:p w14:paraId="1FC002C4">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w:t>
            </w:r>
            <w:r>
              <w:rPr>
                <w:rFonts w:hint="eastAsia" w:ascii="宋体" w:hAnsi="宋体" w:eastAsia="宋体" w:cs="宋体"/>
                <w:b w:val="0"/>
                <w:bCs/>
                <w:color w:val="auto"/>
                <w:sz w:val="24"/>
                <w:szCs w:val="24"/>
                <w:highlight w:val="none"/>
                <w:lang w:val="en-US" w:eastAsia="zh-CN"/>
              </w:rPr>
              <w:t>3</w:t>
            </w:r>
            <w:r>
              <w:rPr>
                <w:rFonts w:hint="eastAsia" w:ascii="宋体" w:hAnsi="宋体" w:eastAsia="宋体" w:cs="宋体"/>
                <w:b w:val="0"/>
                <w:bCs/>
                <w:color w:val="auto"/>
                <w:sz w:val="24"/>
                <w:szCs w:val="24"/>
                <w:highlight w:val="none"/>
              </w:rPr>
              <w:t>）采购人应当在项目完成且收到供应商验收申请后 5 个工作日内组织开展履约验收。</w:t>
            </w:r>
          </w:p>
          <w:p w14:paraId="6E9A0F80">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w:t>
            </w:r>
            <w:r>
              <w:rPr>
                <w:rFonts w:hint="eastAsia" w:ascii="宋体" w:hAnsi="宋体" w:eastAsia="宋体" w:cs="宋体"/>
                <w:b w:val="0"/>
                <w:bCs/>
                <w:color w:val="auto"/>
                <w:sz w:val="24"/>
                <w:szCs w:val="24"/>
                <w:highlight w:val="none"/>
                <w:lang w:val="en-US" w:eastAsia="zh-CN"/>
              </w:rPr>
              <w:t>4</w:t>
            </w:r>
            <w:r>
              <w:rPr>
                <w:rFonts w:hint="eastAsia" w:ascii="宋体" w:hAnsi="宋体" w:eastAsia="宋体" w:cs="宋体"/>
                <w:b w:val="0"/>
                <w:bCs/>
                <w:color w:val="auto"/>
                <w:sz w:val="24"/>
                <w:szCs w:val="24"/>
                <w:highlight w:val="none"/>
              </w:rPr>
              <w:t>）采购人验收时，应成立三人以上验收小组，明确责任，严格依照采购文件、成交通知书、政府采购合同及相关验收规范进行核对、验收，形成验收结论，并出具书面验收报告。</w:t>
            </w:r>
          </w:p>
          <w:p w14:paraId="2CC263B6">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w:t>
            </w:r>
            <w:r>
              <w:rPr>
                <w:rFonts w:hint="eastAsia" w:ascii="宋体" w:hAnsi="宋体" w:eastAsia="宋体" w:cs="宋体"/>
                <w:b w:val="0"/>
                <w:bCs/>
                <w:color w:val="auto"/>
                <w:sz w:val="24"/>
                <w:szCs w:val="24"/>
                <w:highlight w:val="none"/>
                <w:lang w:val="en-US" w:eastAsia="zh-CN"/>
              </w:rPr>
              <w:t>5</w:t>
            </w:r>
            <w:r>
              <w:rPr>
                <w:rFonts w:hint="eastAsia" w:ascii="宋体" w:hAnsi="宋体" w:eastAsia="宋体" w:cs="宋体"/>
                <w:b w:val="0"/>
                <w:bCs/>
                <w:color w:val="auto"/>
                <w:sz w:val="24"/>
                <w:szCs w:val="24"/>
                <w:highlight w:val="none"/>
              </w:rPr>
              <w:t>）涉及安全、消防、环保等其他需要由质检或行业主管部门进行验收的项目，必须邀请相关部门或相关专家参与验收。</w:t>
            </w:r>
          </w:p>
          <w:p w14:paraId="5571D96C">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w:t>
            </w:r>
            <w:r>
              <w:rPr>
                <w:rFonts w:hint="eastAsia" w:ascii="宋体" w:hAnsi="宋体" w:eastAsia="宋体" w:cs="宋体"/>
                <w:b w:val="0"/>
                <w:bCs/>
                <w:color w:val="auto"/>
                <w:sz w:val="24"/>
                <w:szCs w:val="24"/>
                <w:highlight w:val="none"/>
                <w:lang w:val="en-US" w:eastAsia="zh-CN"/>
              </w:rPr>
              <w:t>6</w:t>
            </w:r>
            <w:r>
              <w:rPr>
                <w:rFonts w:hint="eastAsia" w:ascii="宋体" w:hAnsi="宋体" w:eastAsia="宋体" w:cs="宋体"/>
                <w:b w:val="0"/>
                <w:bCs/>
                <w:color w:val="auto"/>
                <w:sz w:val="24"/>
                <w:szCs w:val="24"/>
                <w:highlight w:val="none"/>
              </w:rPr>
              <w:t>）对于符合支付条件的项目，应在收到发票后7个工作日内将资金支付到合同约定的供应商账户，不得以进行审计作为支付供应商款项的条件。采购人不得以机构变动、人员更替、政策调整、履行内部付款流程等为由延迟付款。鼓励采购人完善内部流程，自收到发票后1个工作日内完成资金支付。</w:t>
            </w:r>
          </w:p>
          <w:p w14:paraId="461350F1">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lang w:val="en-US" w:eastAsia="zh-CN"/>
              </w:rPr>
              <w:t>7</w:t>
            </w:r>
            <w:r>
              <w:rPr>
                <w:rFonts w:hint="eastAsia" w:ascii="宋体" w:hAnsi="宋体" w:eastAsia="宋体" w:cs="宋体"/>
                <w:b w:val="0"/>
                <w:bCs/>
                <w:color w:val="auto"/>
                <w:sz w:val="24"/>
                <w:szCs w:val="24"/>
                <w:highlight w:val="none"/>
                <w:lang w:eastAsia="zh-CN"/>
              </w:rPr>
              <w:t>）因政策变化等原因不能签订合同，造成企业合法利益受损的情形，采购人可以与供应商充分协商，给予合理补偿。延迟支付中小企业款项的，供应商可要求采购人按照合同约定支付逾期利息，合同没有约定的，按照同期人民银行LPR支付逾期利息。</w:t>
            </w:r>
          </w:p>
        </w:tc>
      </w:tr>
      <w:tr w14:paraId="1DAB1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89" w:type="dxa"/>
            <w:vAlign w:val="center"/>
          </w:tcPr>
          <w:p w14:paraId="6498A0D5">
            <w:pPr>
              <w:pStyle w:val="44"/>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29.3</w:t>
            </w:r>
          </w:p>
        </w:tc>
        <w:tc>
          <w:tcPr>
            <w:tcW w:w="1486" w:type="dxa"/>
            <w:vAlign w:val="center"/>
          </w:tcPr>
          <w:p w14:paraId="2DFB749D">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质疑函递交方式</w:t>
            </w:r>
          </w:p>
        </w:tc>
        <w:tc>
          <w:tcPr>
            <w:tcW w:w="7805" w:type="dxa"/>
            <w:vAlign w:val="center"/>
          </w:tcPr>
          <w:p w14:paraId="7DD8DDEC">
            <w:pPr>
              <w:pStyle w:val="43"/>
              <w:keepNext w:val="0"/>
              <w:keepLines w:val="0"/>
              <w:pageBreakBefore w:val="0"/>
              <w:kinsoku/>
              <w:wordWrap/>
              <w:overflowPunct/>
              <w:topLinePunct w:val="0"/>
              <w:autoSpaceDE/>
              <w:autoSpaceDN/>
              <w:bidi w:val="0"/>
              <w:adjustRightInd/>
              <w:snapToGrid/>
              <w:spacing w:beforeAutospacing="0" w:afterAutospacing="0" w:line="400" w:lineRule="exact"/>
              <w:jc w:val="left"/>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1、供应商若对采购文件有关内容存在质疑，可在法定质疑时限内以书面形式在工作时间向采购人、采购代理机构提出质疑。质疑文件须按《政府采购质疑和投诉办法》（财政部令第94号）规定的要求制作（《质疑函》范本</w:t>
            </w:r>
            <w:r>
              <w:rPr>
                <w:rFonts w:hint="eastAsia" w:ascii="宋体" w:hAnsi="宋体" w:eastAsia="宋体" w:cs="宋体"/>
                <w:b w:val="0"/>
                <w:color w:val="auto"/>
                <w:sz w:val="24"/>
                <w:highlight w:val="none"/>
                <w:lang w:eastAsia="zh-CN"/>
              </w:rPr>
              <w:t>详见采购文件“第七章</w:t>
            </w:r>
            <w:r>
              <w:rPr>
                <w:rFonts w:hint="eastAsia" w:ascii="宋体" w:hAnsi="宋体" w:eastAsia="宋体" w:cs="宋体"/>
                <w:b w:val="0"/>
                <w:color w:val="auto"/>
                <w:sz w:val="24"/>
                <w:highlight w:val="none"/>
                <w:lang w:val="en-US" w:eastAsia="zh-CN"/>
              </w:rPr>
              <w:t xml:space="preserve"> </w:t>
            </w:r>
            <w:r>
              <w:rPr>
                <w:rFonts w:hint="eastAsia" w:ascii="宋体" w:hAnsi="宋体" w:eastAsia="宋体" w:cs="宋体"/>
                <w:b w:val="0"/>
                <w:color w:val="auto"/>
                <w:sz w:val="24"/>
                <w:highlight w:val="none"/>
                <w:lang w:eastAsia="zh-CN"/>
              </w:rPr>
              <w:t>政府采购供应商询问函和质疑函范本”</w:t>
            </w:r>
            <w:r>
              <w:rPr>
                <w:rFonts w:hint="eastAsia" w:ascii="宋体" w:hAnsi="宋体" w:eastAsia="宋体" w:cs="宋体"/>
                <w:b w:val="0"/>
                <w:color w:val="auto"/>
                <w:sz w:val="24"/>
                <w:highlight w:val="none"/>
              </w:rPr>
              <w:t>，质疑文件不可匿名，须以附件形式加盖质疑人签章后提交。</w:t>
            </w:r>
          </w:p>
          <w:p w14:paraId="6DC5468D">
            <w:pPr>
              <w:pStyle w:val="43"/>
              <w:keepNext w:val="0"/>
              <w:keepLines w:val="0"/>
              <w:pageBreakBefore w:val="0"/>
              <w:kinsoku/>
              <w:wordWrap/>
              <w:overflowPunct/>
              <w:topLinePunct w:val="0"/>
              <w:autoSpaceDE/>
              <w:autoSpaceDN/>
              <w:bidi w:val="0"/>
              <w:adjustRightInd/>
              <w:snapToGrid/>
              <w:spacing w:beforeAutospacing="0" w:afterAutospacing="0" w:line="400" w:lineRule="exact"/>
              <w:jc w:val="left"/>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2、请各潜在供应商在响应截止时间前，务必登录</w:t>
            </w:r>
            <w:r>
              <w:rPr>
                <w:rFonts w:hint="eastAsia" w:ascii="宋体" w:hAnsi="宋体" w:eastAsia="宋体" w:cs="宋体"/>
                <w:b w:val="0"/>
                <w:bCs w:val="0"/>
                <w:color w:val="auto"/>
                <w:sz w:val="24"/>
                <w:szCs w:val="24"/>
                <w:highlight w:val="none"/>
                <w:lang w:val="en-US" w:eastAsia="zh-CN"/>
              </w:rPr>
              <w:t>六安市水利局</w:t>
            </w:r>
            <w:r>
              <w:rPr>
                <w:rFonts w:hint="eastAsia" w:ascii="宋体" w:hAnsi="宋体" w:eastAsia="宋体" w:cs="宋体"/>
                <w:b w:val="0"/>
                <w:bCs w:val="0"/>
                <w:color w:val="auto"/>
                <w:sz w:val="24"/>
                <w:szCs w:val="24"/>
                <w:highlight w:val="none"/>
              </w:rPr>
              <w:t>（https://slj.luan.gov.cn/）</w:t>
            </w:r>
            <w:r>
              <w:rPr>
                <w:rFonts w:hint="eastAsia" w:ascii="宋体" w:hAnsi="宋体" w:eastAsia="宋体" w:cs="宋体"/>
                <w:b w:val="0"/>
                <w:color w:val="auto"/>
                <w:sz w:val="24"/>
                <w:highlight w:val="none"/>
              </w:rPr>
              <w:t>-“</w:t>
            </w:r>
            <w:r>
              <w:rPr>
                <w:rFonts w:hint="eastAsia" w:ascii="宋体" w:hAnsi="宋体" w:eastAsia="宋体" w:cs="宋体"/>
                <w:b w:val="0"/>
                <w:color w:val="auto"/>
                <w:sz w:val="24"/>
                <w:highlight w:val="none"/>
                <w:lang w:val="en-US" w:eastAsia="zh-CN"/>
              </w:rPr>
              <w:t>政务资讯</w:t>
            </w:r>
            <w:r>
              <w:rPr>
                <w:rFonts w:hint="eastAsia" w:ascii="宋体" w:hAnsi="宋体" w:eastAsia="宋体" w:cs="宋体"/>
                <w:b w:val="0"/>
                <w:color w:val="auto"/>
                <w:sz w:val="24"/>
                <w:highlight w:val="none"/>
              </w:rPr>
              <w:t>”-“</w:t>
            </w:r>
            <w:r>
              <w:rPr>
                <w:rFonts w:hint="eastAsia" w:ascii="宋体" w:hAnsi="宋体" w:eastAsia="宋体" w:cs="宋体"/>
                <w:b w:val="0"/>
                <w:color w:val="auto"/>
                <w:sz w:val="24"/>
                <w:highlight w:val="none"/>
                <w:lang w:val="en-US" w:eastAsia="zh-CN"/>
              </w:rPr>
              <w:t>公示公告</w:t>
            </w:r>
            <w:r>
              <w:rPr>
                <w:rFonts w:hint="eastAsia" w:ascii="宋体" w:hAnsi="宋体" w:eastAsia="宋体" w:cs="宋体"/>
                <w:b w:val="0"/>
                <w:color w:val="auto"/>
                <w:sz w:val="24"/>
                <w:highlight w:val="none"/>
              </w:rPr>
              <w:t>”栏目，查看是否发布有关项目更正公告。更正公告为采购文件的有效组成部分，一经发布即为视同已通知所有潜在供应商，若因未及时关注而造成的一切后果，由供应商自行承担。</w:t>
            </w:r>
          </w:p>
        </w:tc>
      </w:tr>
      <w:tr w14:paraId="7534A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89" w:type="dxa"/>
            <w:vAlign w:val="center"/>
          </w:tcPr>
          <w:p w14:paraId="0080C582">
            <w:pPr>
              <w:pStyle w:val="44"/>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30</w:t>
            </w:r>
          </w:p>
        </w:tc>
        <w:tc>
          <w:tcPr>
            <w:tcW w:w="1486" w:type="dxa"/>
            <w:vAlign w:val="center"/>
          </w:tcPr>
          <w:p w14:paraId="0560AEDC">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其他内容</w:t>
            </w:r>
          </w:p>
        </w:tc>
        <w:tc>
          <w:tcPr>
            <w:tcW w:w="7805" w:type="dxa"/>
            <w:vAlign w:val="center"/>
          </w:tcPr>
          <w:p w14:paraId="09AC85FE">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1.解释权</w:t>
            </w:r>
          </w:p>
          <w:p w14:paraId="2B9E724A">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（1）构成本磋商文件的各个组成文件应互为解释，互为说明；</w:t>
            </w:r>
          </w:p>
          <w:p w14:paraId="159F9341">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（2）同一组成文件中就同一事项的规定或约定不一致的，以编排顺序在后者为准；</w:t>
            </w:r>
          </w:p>
          <w:p w14:paraId="6C1CC73A">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（3）如有不明确或不一致，构成合同文件组成内容的，以合同文件约定内容为准，且以专用合同条款约定的合同文件优先顺序解释；</w:t>
            </w:r>
          </w:p>
          <w:p w14:paraId="50FE51A7">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（4）除磋商文件中有特别规定外，仅适用于磋商及响应文件提交阶段的规定，按</w:t>
            </w:r>
            <w:r>
              <w:rPr>
                <w:rFonts w:hint="eastAsia" w:ascii="宋体" w:hAnsi="宋体" w:eastAsia="宋体" w:cs="宋体"/>
                <w:bCs/>
                <w:color w:val="auto"/>
                <w:sz w:val="24"/>
                <w:szCs w:val="24"/>
                <w:highlight w:val="none"/>
                <w:lang w:eastAsia="zh-CN"/>
              </w:rPr>
              <w:t>采购邀请</w:t>
            </w:r>
            <w:r>
              <w:rPr>
                <w:rFonts w:hint="eastAsia" w:ascii="宋体" w:hAnsi="宋体" w:eastAsia="宋体" w:cs="宋体"/>
                <w:bCs/>
                <w:color w:val="auto"/>
                <w:sz w:val="24"/>
                <w:szCs w:val="24"/>
                <w:highlight w:val="none"/>
              </w:rPr>
              <w:t>、供应商须知、评审方法和标准、响应文件格式的先后顺序解释；</w:t>
            </w:r>
          </w:p>
          <w:p w14:paraId="22D3F48B">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（5）按本款前述规定仍不能形成结论的，由采购人负责解释。</w:t>
            </w:r>
          </w:p>
          <w:p w14:paraId="125BAD1E">
            <w:pPr>
              <w:pStyle w:val="43"/>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2、采购文件中，按日计算期间的，开始当天不计入，从次日开始计算。期限的最后一日是国家法定节假日的，顺延到节假日后的次日为期限的最后一日。</w:t>
            </w:r>
          </w:p>
          <w:p w14:paraId="0CDF97E0">
            <w:pPr>
              <w:pStyle w:val="43"/>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sz w:val="24"/>
                <w:szCs w:val="24"/>
                <w:highlight w:val="none"/>
                <w:u w:val="none"/>
                <w:lang w:val="en-US" w:eastAsia="zh-CN"/>
              </w:rPr>
              <w:t>3、采购文件中，所称的“以上”、“以下”、“内”、“以内”，包括本数；所称的“不足”，不包括本数。</w:t>
            </w:r>
          </w:p>
          <w:p w14:paraId="762BA256">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4.</w:t>
            </w:r>
            <w:r>
              <w:rPr>
                <w:rFonts w:hint="eastAsia" w:ascii="宋体" w:hAnsi="宋体" w:eastAsia="宋体" w:cs="宋体"/>
                <w:bCs/>
                <w:color w:val="auto"/>
                <w:sz w:val="24"/>
                <w:szCs w:val="24"/>
                <w:highlight w:val="none"/>
              </w:rPr>
              <w:t>“政采贷”融资指引：有融资需求的</w:t>
            </w:r>
            <w:r>
              <w:rPr>
                <w:rFonts w:hint="eastAsia" w:ascii="宋体" w:hAnsi="宋体" w:eastAsia="宋体" w:cs="宋体"/>
                <w:color w:val="auto"/>
                <w:sz w:val="24"/>
                <w:szCs w:val="24"/>
                <w:highlight w:val="none"/>
              </w:rPr>
              <w:t>供应商</w:t>
            </w:r>
            <w:r>
              <w:rPr>
                <w:rFonts w:hint="eastAsia" w:ascii="宋体" w:hAnsi="宋体" w:eastAsia="宋体" w:cs="宋体"/>
                <w:bCs/>
                <w:color w:val="auto"/>
                <w:sz w:val="24"/>
                <w:szCs w:val="24"/>
                <w:highlight w:val="none"/>
              </w:rPr>
              <w:t>在取得政府采购成交通知书后，可访问安徽省政府采购网“政采贷”栏目，查看和联系第三方平台或者金融机构，商洽融资事项，确定融资意向。</w:t>
            </w:r>
            <w:r>
              <w:rPr>
                <w:rFonts w:hint="eastAsia" w:ascii="宋体" w:hAnsi="宋体" w:eastAsia="宋体" w:cs="宋体"/>
                <w:color w:val="auto"/>
                <w:sz w:val="24"/>
                <w:szCs w:val="24"/>
                <w:highlight w:val="none"/>
              </w:rPr>
              <w:t>供应商</w:t>
            </w:r>
            <w:r>
              <w:rPr>
                <w:rFonts w:hint="eastAsia" w:ascii="宋体" w:hAnsi="宋体" w:eastAsia="宋体" w:cs="宋体"/>
                <w:bCs/>
                <w:color w:val="auto"/>
                <w:sz w:val="24"/>
                <w:szCs w:val="24"/>
                <w:highlight w:val="none"/>
              </w:rPr>
              <w:t>签署政府采购成交合同后，登录“徽采云”金融服务模块，选择意向产品进行申请，并填写相关信息，“徽采云”金融服务模块将</w:t>
            </w:r>
            <w:r>
              <w:rPr>
                <w:rFonts w:hint="eastAsia" w:ascii="宋体" w:hAnsi="宋体" w:eastAsia="宋体" w:cs="宋体"/>
                <w:color w:val="auto"/>
                <w:sz w:val="24"/>
                <w:szCs w:val="24"/>
                <w:highlight w:val="none"/>
              </w:rPr>
              <w:t>成交供应商</w:t>
            </w:r>
            <w:r>
              <w:rPr>
                <w:rFonts w:hint="eastAsia" w:ascii="宋体" w:hAnsi="宋体" w:eastAsia="宋体" w:cs="宋体"/>
                <w:bCs/>
                <w:color w:val="auto"/>
                <w:sz w:val="24"/>
                <w:szCs w:val="24"/>
                <w:highlight w:val="none"/>
              </w:rPr>
              <w:t>融资申请信息推送第三方平台、意向金融机构。</w:t>
            </w:r>
          </w:p>
          <w:p w14:paraId="6C425845">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lang w:val="en-US" w:eastAsia="zh-CN" w:bidi="ar-SA"/>
              </w:rPr>
              <w:t>5.电子保函指引：成</w:t>
            </w:r>
            <w:r>
              <w:rPr>
                <w:rFonts w:hint="eastAsia" w:ascii="宋体" w:hAnsi="宋体" w:eastAsia="宋体" w:cs="宋体"/>
                <w:b w:val="0"/>
                <w:bCs/>
                <w:color w:val="auto"/>
                <w:kern w:val="2"/>
                <w:sz w:val="24"/>
                <w:szCs w:val="24"/>
                <w:highlight w:val="none"/>
                <w:u w:val="none"/>
                <w:lang w:val="en-US" w:eastAsia="zh-CN" w:bidi="ar-SA"/>
              </w:rPr>
              <w:t>交供应商可访问安徽省政府采购网“融资/保函”栏目，申请办理电子保函（包括：履约保函、预付款保函）。</w:t>
            </w:r>
          </w:p>
          <w:p w14:paraId="48EF9EB7">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Cs/>
                <w:color w:val="auto"/>
                <w:sz w:val="24"/>
                <w:szCs w:val="24"/>
                <w:highlight w:val="none"/>
              </w:rPr>
            </w:pPr>
            <w:r>
              <w:rPr>
                <w:rFonts w:hint="eastAsia" w:ascii="宋体" w:hAnsi="宋体" w:eastAsia="宋体" w:cs="宋体"/>
                <w:b w:val="0"/>
                <w:bCs/>
                <w:color w:val="auto"/>
                <w:kern w:val="2"/>
                <w:sz w:val="24"/>
                <w:szCs w:val="24"/>
                <w:highlight w:val="none"/>
                <w:u w:val="none"/>
                <w:lang w:val="en-US" w:eastAsia="zh-CN" w:bidi="ar-SA"/>
              </w:rPr>
              <w:t>6.</w:t>
            </w:r>
            <w:r>
              <w:rPr>
                <w:rFonts w:hint="eastAsia" w:ascii="宋体" w:hAnsi="宋体" w:eastAsia="宋体" w:cs="宋体"/>
                <w:color w:val="auto"/>
                <w:sz w:val="24"/>
                <w:szCs w:val="24"/>
                <w:highlight w:val="none"/>
                <w:u w:val="none"/>
              </w:rPr>
              <w:t xml:space="preserve">根据《安徽省财政厅关于贯彻落实政府绿色采购有关政策的通知》（皖财购[2023]853号）规定，本次采购落实政府绿色采购相关政策。 </w:t>
            </w:r>
          </w:p>
        </w:tc>
      </w:tr>
    </w:tbl>
    <w:p w14:paraId="2F76BB92">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b/>
          <w:color w:val="auto"/>
          <w:sz w:val="24"/>
          <w:highlight w:val="none"/>
        </w:rPr>
      </w:pPr>
      <w:r>
        <w:rPr>
          <w:rFonts w:hint="eastAsia" w:ascii="宋体" w:hAnsi="宋体" w:eastAsia="宋体" w:cs="宋体"/>
          <w:b/>
          <w:color w:val="auto"/>
          <w:sz w:val="28"/>
          <w:highlight w:val="none"/>
        </w:rPr>
        <w:br w:type="page"/>
      </w:r>
      <w:bookmarkStart w:id="82" w:name="_Toc2861"/>
      <w:bookmarkStart w:id="83" w:name="_Toc14293"/>
      <w:bookmarkStart w:id="84" w:name="_Toc26212"/>
      <w:bookmarkStart w:id="85" w:name="_Toc27470"/>
      <w:r>
        <w:rPr>
          <w:rFonts w:hint="eastAsia" w:ascii="宋体" w:hAnsi="宋体" w:eastAsia="宋体" w:cs="宋体"/>
          <w:b/>
          <w:color w:val="auto"/>
          <w:sz w:val="24"/>
          <w:highlight w:val="none"/>
        </w:rPr>
        <w:t>二、供应商须知正文</w:t>
      </w:r>
      <w:bookmarkEnd w:id="82"/>
      <w:bookmarkEnd w:id="83"/>
      <w:bookmarkEnd w:id="84"/>
      <w:bookmarkEnd w:id="85"/>
    </w:p>
    <w:p w14:paraId="0861BA06">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1.采购人、采购代理机构及供应商</w:t>
      </w:r>
    </w:p>
    <w:p w14:paraId="6469602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1.1采购人：是指依法开展政府采购活动的国家机关、事业单位、团体组织。</w:t>
      </w:r>
    </w:p>
    <w:p w14:paraId="6CD9DBD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1.2采购代理机构：是指集中采购机构或从事采购代理业务的社会中介机构。</w:t>
      </w:r>
    </w:p>
    <w:p w14:paraId="55ABEEE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1.3政府采购监督管理部门：各级人民政府指定的有关部门依法履行与政府采购活动有关的监督管理职责。</w:t>
      </w:r>
    </w:p>
    <w:p w14:paraId="0ADE620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1.4供应商：是指向采购人提供货物、工程或者服务的法人、其他组织或者自然人。分支机构不得参加政府采购活动，但银行、保险、石油石化、电力、电信等有行业特殊情况的，</w:t>
      </w:r>
      <w:r>
        <w:rPr>
          <w:rFonts w:hint="eastAsia" w:ascii="宋体" w:hAnsi="宋体" w:eastAsia="宋体" w:cs="宋体"/>
          <w:color w:val="auto"/>
          <w:sz w:val="24"/>
          <w:highlight w:val="none"/>
          <w:lang w:eastAsia="zh-CN"/>
        </w:rPr>
        <w:t>在</w:t>
      </w:r>
      <w:r>
        <w:rPr>
          <w:rFonts w:hint="eastAsia" w:ascii="宋体" w:hAnsi="宋体" w:eastAsia="宋体" w:cs="宋体"/>
          <w:color w:val="auto"/>
          <w:sz w:val="24"/>
          <w:highlight w:val="none"/>
          <w:lang w:val="en-US" w:eastAsia="zh-CN"/>
        </w:rPr>
        <w:t>取得上级法人公司</w:t>
      </w:r>
      <w:r>
        <w:rPr>
          <w:rFonts w:hint="eastAsia" w:ascii="宋体" w:hAnsi="宋体" w:eastAsia="宋体" w:cs="宋体"/>
          <w:color w:val="auto"/>
          <w:sz w:val="24"/>
          <w:highlight w:val="none"/>
        </w:rPr>
        <w:t>授权后可以分公司名义参与投标</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本项目的供应商及其所投货物须满足以下条件：</w:t>
      </w:r>
    </w:p>
    <w:p w14:paraId="46F6DEE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1.4.1具备《中华人民共和国政府采购法》第二十二条关于供应商条件的规定，遵守本项目采购人本级和上级财政部门政府采购的有关规定。</w:t>
      </w:r>
    </w:p>
    <w:p w14:paraId="2C10CD4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1.4.2以采购代理机构认可的方式获得了本项目的磋商文件。</w:t>
      </w:r>
    </w:p>
    <w:p w14:paraId="07AED1E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1.4.3若采购需求中写明允许采购进口产品，供应商应保证所投产品可履行合法报通关手续进入中国关境内。</w:t>
      </w:r>
    </w:p>
    <w:p w14:paraId="7679788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若采购需求中未写明允许采购进口产品，如供应商所投产品为进口产品，其响应文件将被认定为</w:t>
      </w:r>
      <w:r>
        <w:rPr>
          <w:rFonts w:hint="eastAsia" w:ascii="宋体" w:hAnsi="宋体" w:eastAsia="宋体" w:cs="宋体"/>
          <w:b/>
          <w:color w:val="auto"/>
          <w:sz w:val="24"/>
          <w:highlight w:val="none"/>
        </w:rPr>
        <w:t>响应无效</w:t>
      </w:r>
      <w:r>
        <w:rPr>
          <w:rFonts w:hint="eastAsia" w:ascii="宋体" w:hAnsi="宋体" w:eastAsia="宋体" w:cs="宋体"/>
          <w:color w:val="auto"/>
          <w:sz w:val="24"/>
          <w:highlight w:val="none"/>
        </w:rPr>
        <w:t>。</w:t>
      </w:r>
    </w:p>
    <w:p w14:paraId="6CD8CBF1">
      <w:pPr>
        <w:spacing w:line="360" w:lineRule="auto"/>
        <w:ind w:firstLine="435"/>
        <w:rPr>
          <w:rFonts w:hint="eastAsia" w:ascii="宋体" w:hAnsi="宋体" w:eastAsia="宋体" w:cs="宋体"/>
          <w:color w:val="auto"/>
          <w:sz w:val="24"/>
          <w:highlight w:val="none"/>
        </w:rPr>
      </w:pPr>
      <w:bookmarkStart w:id="86" w:name="_Hlk60607583"/>
      <w:r>
        <w:rPr>
          <w:rFonts w:hint="eastAsia" w:ascii="宋体" w:hAnsi="宋体" w:eastAsia="宋体" w:cs="宋体"/>
          <w:bCs/>
          <w:color w:val="auto"/>
          <w:kern w:val="0"/>
          <w:sz w:val="24"/>
          <w:szCs w:val="28"/>
          <w:highlight w:val="none"/>
        </w:rPr>
        <w:t>1.5若</w:t>
      </w:r>
      <w:r>
        <w:rPr>
          <w:rFonts w:hint="eastAsia" w:ascii="宋体" w:hAnsi="宋体" w:eastAsia="宋体" w:cs="宋体"/>
          <w:bCs/>
          <w:color w:val="auto"/>
          <w:kern w:val="0"/>
          <w:sz w:val="24"/>
          <w:szCs w:val="28"/>
          <w:highlight w:val="none"/>
          <w:lang w:eastAsia="zh-CN"/>
        </w:rPr>
        <w:t>采购邀请</w:t>
      </w:r>
      <w:r>
        <w:rPr>
          <w:rFonts w:hint="eastAsia" w:ascii="宋体" w:hAnsi="宋体" w:eastAsia="宋体" w:cs="宋体"/>
          <w:bCs/>
          <w:color w:val="auto"/>
          <w:kern w:val="0"/>
          <w:sz w:val="24"/>
          <w:szCs w:val="28"/>
          <w:highlight w:val="none"/>
        </w:rPr>
        <w:t>中允许联合体参加磋商，对联合体规定如下：</w:t>
      </w:r>
    </w:p>
    <w:bookmarkEnd w:id="86"/>
    <w:p w14:paraId="7715735D">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1.5.1两个以上供应商可以组成一个磋商联合体，以一个供应商的身份磋商。</w:t>
      </w:r>
    </w:p>
    <w:p w14:paraId="60F8327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1.5.2联合体各方均应符合《中华人民共和国政府采购法》第二十二条规定的条件。</w:t>
      </w:r>
    </w:p>
    <w:p w14:paraId="34F4E10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1.5.3采购人根据采购项目对供应商的特殊要求，联合体中至少应当有一方符合相关规定。</w:t>
      </w:r>
    </w:p>
    <w:p w14:paraId="14FEA05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1.5.4联合体各方应签订联合协议，明确约定联合体各方承担的工作和相应的责任，并将联合协议作为响应文件的一部分提交。</w:t>
      </w:r>
    </w:p>
    <w:p w14:paraId="547B04A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1.5.5大中型企业、其他自然人、法人或者非法人组织与小型、微型企业组成联合体共同参加磋商，联合协议中应写明小型、微型企业的协议合同金额占到联合协议合同总金额的比例。</w:t>
      </w:r>
    </w:p>
    <w:p w14:paraId="036B9E2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1.5.6联合体中有同类资质的供应商按照联合体分工承担相同工作的，应当按照资质等级较低的供应商确定资质等级。</w:t>
      </w:r>
    </w:p>
    <w:p w14:paraId="7D6AF4ED">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1.5.7以联合体形式参加政府采购活动的，联合体各方不得再单独参加或者与其他供应商另外组成联合体参加本项目磋商，否则相关响应文件将被认定为</w:t>
      </w:r>
      <w:r>
        <w:rPr>
          <w:rFonts w:hint="eastAsia" w:ascii="宋体" w:hAnsi="宋体" w:eastAsia="宋体" w:cs="宋体"/>
          <w:b/>
          <w:color w:val="auto"/>
          <w:sz w:val="24"/>
          <w:highlight w:val="none"/>
        </w:rPr>
        <w:t>响应无效</w:t>
      </w:r>
      <w:r>
        <w:rPr>
          <w:rFonts w:hint="eastAsia" w:ascii="宋体" w:hAnsi="宋体" w:eastAsia="宋体" w:cs="宋体"/>
          <w:color w:val="auto"/>
          <w:sz w:val="24"/>
          <w:highlight w:val="none"/>
        </w:rPr>
        <w:t>。</w:t>
      </w:r>
    </w:p>
    <w:p w14:paraId="615FE43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1.5.8对联合体参加磋商的其他资格要求见申请人的资格要求。</w:t>
      </w:r>
    </w:p>
    <w:p w14:paraId="1F926CEE">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2.资金落实情况</w:t>
      </w:r>
    </w:p>
    <w:p w14:paraId="02BC8E7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2.1本项目的采购人已获得足以支付本次磋商后所签订的合同项下的资金。</w:t>
      </w:r>
    </w:p>
    <w:p w14:paraId="21068DE1">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3.磋商费用</w:t>
      </w:r>
    </w:p>
    <w:p w14:paraId="44C6DBC3">
      <w:pPr>
        <w:spacing w:line="360" w:lineRule="auto"/>
        <w:ind w:firstLine="480" w:firstLineChars="200"/>
        <w:outlineLvl w:val="2"/>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不论磋商的结果如何，供应商应承担其所有与准备和参加磋商有关的费用</w:t>
      </w:r>
      <w:r>
        <w:rPr>
          <w:rFonts w:hint="eastAsia" w:ascii="宋体" w:hAnsi="宋体" w:eastAsia="宋体" w:cs="宋体"/>
          <w:color w:val="auto"/>
          <w:sz w:val="24"/>
          <w:highlight w:val="none"/>
          <w:lang w:eastAsia="zh-CN"/>
        </w:rPr>
        <w:t>。</w:t>
      </w:r>
    </w:p>
    <w:p w14:paraId="51A2EC05">
      <w:pPr>
        <w:spacing w:line="360" w:lineRule="auto"/>
        <w:ind w:firstLine="482" w:firstLineChars="200"/>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4.适用法律</w:t>
      </w:r>
    </w:p>
    <w:p w14:paraId="10A2B7CE">
      <w:pPr>
        <w:spacing w:line="360" w:lineRule="auto"/>
        <w:ind w:firstLine="480" w:firstLineChars="200"/>
        <w:outlineLvl w:val="2"/>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采购人、采购代理机构、供应商、磋商小组的相关行为均受《中华人民共和国政府采购法》、《中华人民共和国政府采购法实施条例》及本项目本级和上级财政部门、政府采购监督管理部门的政府采购有关规定的约束，其权利受到上述法律法规的保护。</w:t>
      </w:r>
    </w:p>
    <w:p w14:paraId="75472CF8">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5.磋商文件构成</w:t>
      </w:r>
    </w:p>
    <w:p w14:paraId="30FBB3A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5.1磋商文件包括下列内容：</w:t>
      </w:r>
    </w:p>
    <w:p w14:paraId="1857197E">
      <w:pPr>
        <w:spacing w:line="360" w:lineRule="auto"/>
        <w:ind w:firstLine="840" w:firstLineChars="35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 xml:space="preserve">第一章  </w:t>
      </w:r>
      <w:r>
        <w:rPr>
          <w:rFonts w:hint="eastAsia" w:ascii="宋体" w:hAnsi="宋体" w:eastAsia="宋体" w:cs="宋体"/>
          <w:color w:val="auto"/>
          <w:sz w:val="24"/>
          <w:highlight w:val="none"/>
          <w:lang w:eastAsia="zh-CN"/>
        </w:rPr>
        <w:t>采购邀请</w:t>
      </w:r>
    </w:p>
    <w:p w14:paraId="32D55D62">
      <w:pPr>
        <w:spacing w:line="360" w:lineRule="auto"/>
        <w:ind w:firstLine="840" w:firstLineChars="350"/>
        <w:rPr>
          <w:rFonts w:hint="eastAsia" w:ascii="宋体" w:hAnsi="宋体" w:eastAsia="宋体" w:cs="宋体"/>
          <w:color w:val="auto"/>
          <w:sz w:val="24"/>
          <w:highlight w:val="none"/>
        </w:rPr>
      </w:pPr>
      <w:r>
        <w:rPr>
          <w:rFonts w:hint="eastAsia" w:ascii="宋体" w:hAnsi="宋体" w:eastAsia="宋体" w:cs="宋体"/>
          <w:color w:val="auto"/>
          <w:sz w:val="24"/>
          <w:highlight w:val="none"/>
        </w:rPr>
        <w:t>第二章  供应商须知</w:t>
      </w:r>
    </w:p>
    <w:p w14:paraId="2244D460">
      <w:pPr>
        <w:spacing w:line="360" w:lineRule="auto"/>
        <w:ind w:firstLine="840" w:firstLineChars="350"/>
        <w:rPr>
          <w:rFonts w:hint="eastAsia" w:ascii="宋体" w:hAnsi="宋体" w:eastAsia="宋体" w:cs="宋体"/>
          <w:color w:val="auto"/>
          <w:sz w:val="24"/>
          <w:highlight w:val="none"/>
        </w:rPr>
      </w:pPr>
      <w:r>
        <w:rPr>
          <w:rFonts w:hint="eastAsia" w:ascii="宋体" w:hAnsi="宋体" w:eastAsia="宋体" w:cs="宋体"/>
          <w:color w:val="auto"/>
          <w:sz w:val="24"/>
          <w:highlight w:val="none"/>
        </w:rPr>
        <w:t>第三章  采购需求</w:t>
      </w:r>
    </w:p>
    <w:p w14:paraId="2D0B7E46">
      <w:pPr>
        <w:spacing w:line="360" w:lineRule="auto"/>
        <w:ind w:firstLine="840" w:firstLineChars="350"/>
        <w:rPr>
          <w:rFonts w:hint="eastAsia" w:ascii="宋体" w:hAnsi="宋体" w:eastAsia="宋体" w:cs="宋体"/>
          <w:color w:val="auto"/>
          <w:sz w:val="24"/>
          <w:highlight w:val="none"/>
        </w:rPr>
      </w:pPr>
      <w:r>
        <w:rPr>
          <w:rFonts w:hint="eastAsia" w:ascii="宋体" w:hAnsi="宋体" w:eastAsia="宋体" w:cs="宋体"/>
          <w:color w:val="auto"/>
          <w:sz w:val="24"/>
          <w:highlight w:val="none"/>
        </w:rPr>
        <w:t>第四章  评审方法和标准</w:t>
      </w:r>
    </w:p>
    <w:p w14:paraId="6D6C52B1">
      <w:pPr>
        <w:spacing w:line="360" w:lineRule="auto"/>
        <w:ind w:firstLine="840" w:firstLineChars="350"/>
        <w:rPr>
          <w:rFonts w:hint="eastAsia" w:ascii="宋体" w:hAnsi="宋体" w:eastAsia="宋体" w:cs="宋体"/>
          <w:color w:val="auto"/>
          <w:sz w:val="24"/>
          <w:highlight w:val="none"/>
        </w:rPr>
      </w:pPr>
      <w:r>
        <w:rPr>
          <w:rFonts w:hint="eastAsia" w:ascii="宋体" w:hAnsi="宋体" w:eastAsia="宋体" w:cs="宋体"/>
          <w:color w:val="auto"/>
          <w:sz w:val="24"/>
          <w:highlight w:val="none"/>
        </w:rPr>
        <w:t>第五章  政府采购合同</w:t>
      </w:r>
    </w:p>
    <w:p w14:paraId="0755D58A">
      <w:pPr>
        <w:spacing w:line="360" w:lineRule="auto"/>
        <w:ind w:firstLine="840" w:firstLineChars="350"/>
        <w:rPr>
          <w:rFonts w:hint="eastAsia" w:ascii="宋体" w:hAnsi="宋体" w:eastAsia="宋体" w:cs="宋体"/>
          <w:color w:val="auto"/>
          <w:sz w:val="24"/>
          <w:highlight w:val="none"/>
        </w:rPr>
      </w:pPr>
      <w:r>
        <w:rPr>
          <w:rFonts w:hint="eastAsia" w:ascii="宋体" w:hAnsi="宋体" w:eastAsia="宋体" w:cs="宋体"/>
          <w:color w:val="auto"/>
          <w:sz w:val="24"/>
          <w:highlight w:val="none"/>
        </w:rPr>
        <w:t>第六章  响应文件格式</w:t>
      </w:r>
    </w:p>
    <w:p w14:paraId="42DE01C6">
      <w:pPr>
        <w:spacing w:line="360" w:lineRule="auto"/>
        <w:ind w:firstLine="840" w:firstLineChars="350"/>
        <w:rPr>
          <w:rFonts w:hint="eastAsia" w:ascii="宋体" w:hAnsi="宋体" w:eastAsia="宋体" w:cs="宋体"/>
          <w:color w:val="auto"/>
          <w:sz w:val="24"/>
          <w:highlight w:val="none"/>
        </w:rPr>
      </w:pPr>
      <w:r>
        <w:rPr>
          <w:rFonts w:hint="eastAsia" w:ascii="宋体" w:hAnsi="宋体" w:eastAsia="宋体" w:cs="宋体"/>
          <w:color w:val="auto"/>
          <w:sz w:val="24"/>
          <w:highlight w:val="none"/>
        </w:rPr>
        <w:t>第七章  政府采购供应商询问函和质疑函范本</w:t>
      </w:r>
    </w:p>
    <w:p w14:paraId="5BFE6A9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5.2现场考察及相关事项见</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w:t>
      </w:r>
    </w:p>
    <w:p w14:paraId="47D618A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5.3供应商应认真阅读磋商文件所有的事项、格式、条款和技术规范等。</w:t>
      </w:r>
    </w:p>
    <w:p w14:paraId="0401236F">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6.磋商文件的澄清与修改</w:t>
      </w:r>
    </w:p>
    <w:p w14:paraId="3036729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6.1供应商如对磋商文件内容有疑问，</w:t>
      </w:r>
      <w:r>
        <w:rPr>
          <w:rFonts w:hint="eastAsia" w:ascii="宋体" w:hAnsi="宋体" w:eastAsia="宋体" w:cs="宋体"/>
          <w:color w:val="auto"/>
          <w:sz w:val="24"/>
          <w:highlight w:val="none"/>
          <w:lang w:eastAsia="zh-CN"/>
        </w:rPr>
        <w:t>可通过</w:t>
      </w:r>
      <w:r>
        <w:rPr>
          <w:rFonts w:hint="eastAsia" w:ascii="宋体" w:hAnsi="宋体" w:eastAsia="宋体" w:cs="宋体"/>
          <w:color w:val="auto"/>
          <w:sz w:val="24"/>
          <w:highlight w:val="none"/>
          <w:lang w:val="en-US" w:eastAsia="zh-CN"/>
        </w:rPr>
        <w:t>书面</w:t>
      </w:r>
      <w:r>
        <w:rPr>
          <w:rFonts w:hint="eastAsia" w:ascii="宋体" w:hAnsi="宋体" w:eastAsia="宋体" w:cs="宋体"/>
          <w:color w:val="auto"/>
          <w:sz w:val="24"/>
          <w:highlight w:val="none"/>
        </w:rPr>
        <w:t>形式提交给</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采购代理机构</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w:t>
      </w:r>
    </w:p>
    <w:p w14:paraId="5CDBBE1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6.2</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采购代理机构</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可主动地或在答复供应商提出的询问时对磋商文件进行澄清与修改。</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采购代理机构</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将在</w:t>
      </w:r>
      <w:r>
        <w:rPr>
          <w:rFonts w:hint="eastAsia" w:ascii="宋体" w:hAnsi="宋体" w:eastAsia="宋体" w:cs="宋体"/>
          <w:b w:val="0"/>
          <w:bCs w:val="0"/>
          <w:color w:val="auto"/>
          <w:sz w:val="24"/>
          <w:szCs w:val="24"/>
          <w:highlight w:val="none"/>
          <w:lang w:val="en-US" w:eastAsia="zh-CN"/>
        </w:rPr>
        <w:t>六安市水利局</w:t>
      </w:r>
      <w:r>
        <w:rPr>
          <w:rFonts w:hint="eastAsia" w:ascii="宋体" w:hAnsi="宋体" w:eastAsia="宋体" w:cs="宋体"/>
          <w:b w:val="0"/>
          <w:bCs w:val="0"/>
          <w:color w:val="auto"/>
          <w:sz w:val="24"/>
          <w:szCs w:val="24"/>
          <w:highlight w:val="none"/>
        </w:rPr>
        <w:t>（https://slj.luan.gov.cn/）</w:t>
      </w:r>
      <w:r>
        <w:rPr>
          <w:rFonts w:hint="eastAsia" w:ascii="宋体" w:hAnsi="宋体" w:eastAsia="宋体" w:cs="宋体"/>
          <w:color w:val="auto"/>
          <w:sz w:val="24"/>
          <w:highlight w:val="none"/>
        </w:rPr>
        <w:t>以发布更正公告的方式澄清或者修改磋商文件，更正公告的内容作为磋商文件的组成部分，对供应商起约束作用。供应商应主动上网查询。</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采购代理机构</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不承担供应商未及时关注相关信息引发的相关责任。</w:t>
      </w:r>
    </w:p>
    <w:p w14:paraId="3C8874D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6.3任何人或任何组织向供应商提供的任何书面或口头资料，未经</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采购代理机构</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在网上发布或书面通知，均作无效处理，不得作为磋商文件的组成部分。</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采购代理机构</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对供应商由此而做出的推论、理解和结论概不负责。</w:t>
      </w:r>
    </w:p>
    <w:p w14:paraId="61842196">
      <w:pPr>
        <w:spacing w:line="360" w:lineRule="auto"/>
        <w:ind w:firstLine="435"/>
        <w:rPr>
          <w:rFonts w:hint="eastAsia" w:ascii="宋体" w:hAnsi="宋体" w:eastAsia="宋体" w:cs="宋体"/>
          <w:iCs/>
          <w:color w:val="auto"/>
          <w:sz w:val="24"/>
          <w:highlight w:val="none"/>
        </w:rPr>
      </w:pPr>
      <w:r>
        <w:rPr>
          <w:rFonts w:hint="eastAsia" w:ascii="宋体" w:hAnsi="宋体" w:eastAsia="宋体" w:cs="宋体"/>
          <w:color w:val="auto"/>
          <w:sz w:val="24"/>
          <w:highlight w:val="none"/>
        </w:rPr>
        <w:t>6.4对于没有提出询问又参与了本项目磋商的供应商将被视为完全认同本磋商文件（含更正公告的内容）。</w:t>
      </w:r>
    </w:p>
    <w:p w14:paraId="24CA1A21">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7.磋商范围及响应文件中标准和计量单位的使用</w:t>
      </w:r>
    </w:p>
    <w:p w14:paraId="2F7D974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7.1项目有分包的，供应商可参与其中某一个或多个分包的磋商，成交包数详见</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中规定。</w:t>
      </w:r>
    </w:p>
    <w:p w14:paraId="769C67F8">
      <w:pPr>
        <w:spacing w:line="360" w:lineRule="auto"/>
        <w:ind w:firstLine="435"/>
        <w:rPr>
          <w:rFonts w:hint="eastAsia" w:ascii="宋体" w:hAnsi="宋体" w:eastAsia="宋体" w:cs="宋体"/>
          <w:color w:val="auto"/>
          <w:highlight w:val="none"/>
        </w:rPr>
      </w:pPr>
      <w:r>
        <w:rPr>
          <w:rFonts w:hint="eastAsia" w:ascii="宋体" w:hAnsi="宋体" w:eastAsia="宋体" w:cs="宋体"/>
          <w:color w:val="auto"/>
          <w:sz w:val="24"/>
          <w:highlight w:val="none"/>
        </w:rPr>
        <w:t>7.2 供应商应当对所投分包磋商文件中“采购需求”所列的所有内容进行响应，如仅响应所投包别中的部分内容，其所投包别的响应将被认定为</w:t>
      </w:r>
      <w:r>
        <w:rPr>
          <w:rFonts w:hint="eastAsia" w:ascii="宋体" w:hAnsi="宋体" w:eastAsia="宋体" w:cs="宋体"/>
          <w:b/>
          <w:color w:val="auto"/>
          <w:sz w:val="24"/>
          <w:highlight w:val="none"/>
        </w:rPr>
        <w:t>响应无效</w:t>
      </w:r>
      <w:r>
        <w:rPr>
          <w:rFonts w:hint="eastAsia" w:ascii="宋体" w:hAnsi="宋体" w:eastAsia="宋体" w:cs="宋体"/>
          <w:color w:val="auto"/>
          <w:sz w:val="24"/>
          <w:highlight w:val="none"/>
        </w:rPr>
        <w:t>。</w:t>
      </w:r>
    </w:p>
    <w:p w14:paraId="41E6DF2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7.3无论磋商文件中是否要求，供应商所投服务及伴随的货物和工程均应符合国家强制性标准。</w:t>
      </w:r>
    </w:p>
    <w:p w14:paraId="3AEA581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7.4供应商与采购代理机构之间与磋商有关的所有往来通知、函件和响应文件均用中文表述。供应商随响应文件提供的证明文件和资料可以为其它语言，但必须附中文译文。翻译的中文资料与外文资料如果出现差异时，以中文为准。</w:t>
      </w:r>
    </w:p>
    <w:p w14:paraId="023F2AF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7.5除磋商文件中有特殊要求外，响应文件中所使用的计量单位，应采用中华人民共和国法定计量单位。</w:t>
      </w:r>
    </w:p>
    <w:p w14:paraId="540DD1E2">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8.响应文件构成</w:t>
      </w:r>
    </w:p>
    <w:p w14:paraId="3F9EC14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8.1供应商应完整地按磋商文件提供的响应文件格式及要求编写响应文件，具体内容详见本项目响应文件格式的相关内容。</w:t>
      </w:r>
    </w:p>
    <w:p w14:paraId="4764C1A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8.2供应商应提交磋商文件要求的证明文件，证明其响应内容符合磋商文件规定，该证明文件是响应文件的一部分。证明文件形式可以是文字资料、图纸和数据等。</w:t>
      </w:r>
    </w:p>
    <w:p w14:paraId="0FFF30F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8.3为保证公平公正，除非另有规定或说明，供应商对同一项目磋商时，不得同时提供备选磋商方案。</w:t>
      </w:r>
    </w:p>
    <w:p w14:paraId="4367DE06">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9.报价</w:t>
      </w:r>
    </w:p>
    <w:p w14:paraId="79FFDF7D">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9.1供应商的报价应当包括满足本次磋商全部采购需求所应提供的服务，以及伴随的货物和工程。除磋商文件另有规定外，所有内容均应以人民币报价，供应商的磋商报价应遵守《中华人民共和国价格法》。</w:t>
      </w:r>
    </w:p>
    <w:p w14:paraId="638C19E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9.2除非磋商文件另有规定或经采购人同意支付的，最后报价均不得高于磋商文件（公告）列明的项目预算，否则其响应文件将被认定为</w:t>
      </w:r>
      <w:r>
        <w:rPr>
          <w:rFonts w:hint="eastAsia" w:ascii="宋体" w:hAnsi="宋体" w:eastAsia="宋体" w:cs="宋体"/>
          <w:b/>
          <w:color w:val="auto"/>
          <w:sz w:val="24"/>
          <w:highlight w:val="none"/>
        </w:rPr>
        <w:t>响应无效</w:t>
      </w:r>
      <w:r>
        <w:rPr>
          <w:rFonts w:hint="eastAsia" w:ascii="宋体" w:hAnsi="宋体" w:eastAsia="宋体" w:cs="宋体"/>
          <w:color w:val="auto"/>
          <w:sz w:val="24"/>
          <w:highlight w:val="none"/>
        </w:rPr>
        <w:t>。</w:t>
      </w:r>
    </w:p>
    <w:p w14:paraId="365A8C1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9.3报价在合同履行过程中是固定不变的，不得以任何理由予以变更。任何包含价格调整要求的磋商，其响应文件将被认定为</w:t>
      </w:r>
      <w:r>
        <w:rPr>
          <w:rFonts w:hint="eastAsia" w:ascii="宋体" w:hAnsi="宋体" w:eastAsia="宋体" w:cs="宋体"/>
          <w:b/>
          <w:color w:val="auto"/>
          <w:sz w:val="24"/>
          <w:highlight w:val="none"/>
        </w:rPr>
        <w:t>响应无效</w:t>
      </w:r>
      <w:r>
        <w:rPr>
          <w:rFonts w:hint="eastAsia" w:ascii="宋体" w:hAnsi="宋体" w:eastAsia="宋体" w:cs="宋体"/>
          <w:color w:val="auto"/>
          <w:sz w:val="24"/>
          <w:highlight w:val="none"/>
        </w:rPr>
        <w:t>。</w:t>
      </w:r>
    </w:p>
    <w:p w14:paraId="304A32AA">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9.4根据财政部《关于推动解决政府采购异常低价问题的通知》（财库〔2026〕2号），</w:t>
      </w:r>
      <w:r>
        <w:rPr>
          <w:rFonts w:hint="eastAsia" w:ascii="宋体" w:hAnsi="宋体" w:eastAsia="宋体" w:cs="宋体"/>
          <w:color w:val="auto"/>
          <w:sz w:val="24"/>
          <w:szCs w:val="24"/>
          <w:highlight w:val="none"/>
          <w:lang w:val="en-US" w:eastAsia="zh-CN"/>
        </w:rPr>
        <w:t>评审中出现</w:t>
      </w:r>
      <w:r>
        <w:rPr>
          <w:rFonts w:hint="eastAsia" w:ascii="宋体" w:hAnsi="宋体" w:eastAsia="宋体" w:cs="宋体"/>
          <w:color w:val="auto"/>
          <w:sz w:val="24"/>
          <w:szCs w:val="24"/>
          <w:highlight w:val="none"/>
          <w:u w:val="single"/>
          <w:lang w:val="en-US" w:eastAsia="zh-CN"/>
        </w:rPr>
        <w:t>供应商须知前附表</w:t>
      </w:r>
      <w:r>
        <w:rPr>
          <w:rFonts w:hint="eastAsia" w:ascii="宋体" w:hAnsi="宋体" w:eastAsia="宋体" w:cs="宋体"/>
          <w:color w:val="auto"/>
          <w:sz w:val="24"/>
          <w:szCs w:val="24"/>
          <w:highlight w:val="none"/>
          <w:u w:val="none"/>
          <w:lang w:val="en-US" w:eastAsia="zh-CN"/>
        </w:rPr>
        <w:t>所列</w:t>
      </w:r>
      <w:r>
        <w:rPr>
          <w:rFonts w:hint="eastAsia" w:ascii="宋体" w:hAnsi="宋体" w:eastAsia="宋体" w:cs="宋体"/>
          <w:color w:val="auto"/>
          <w:sz w:val="24"/>
          <w:szCs w:val="24"/>
          <w:highlight w:val="none"/>
          <w:lang w:val="en-US" w:eastAsia="zh-CN"/>
        </w:rPr>
        <w:t>情形之一的</w:t>
      </w:r>
      <w:r>
        <w:rPr>
          <w:rFonts w:hint="eastAsia" w:ascii="宋体" w:hAnsi="宋体" w:eastAsia="宋体" w:cs="宋体"/>
          <w:color w:val="auto"/>
          <w:sz w:val="24"/>
          <w:highlight w:val="none"/>
          <w:lang w:val="en-US" w:eastAsia="zh-CN"/>
        </w:rPr>
        <w:t>，磋商小组应当启动异常低价响应审查程序。</w:t>
      </w:r>
    </w:p>
    <w:p w14:paraId="2374D860">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磋商小组启动异常低价响应审查后，属于表中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w:t>
      </w:r>
      <w:r>
        <w:rPr>
          <w:rFonts w:hint="eastAsia" w:ascii="宋体" w:hAnsi="宋体" w:eastAsia="宋体" w:cs="宋体"/>
          <w:b/>
          <w:bCs/>
          <w:color w:val="auto"/>
          <w:sz w:val="24"/>
          <w:highlight w:val="none"/>
          <w:lang w:val="en-US" w:eastAsia="zh-CN"/>
        </w:rPr>
        <w:t>其中，属于第3项情形，供应商已随响应文件一并提交相关书面说明及必要的证明材料的，在评审现场可不再重复提交。</w:t>
      </w:r>
    </w:p>
    <w:p w14:paraId="33B1F59F">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磋商小组依据专业经验，参考同类项目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其响应文件将被认定为</w:t>
      </w:r>
      <w:r>
        <w:rPr>
          <w:rFonts w:hint="eastAsia" w:ascii="宋体" w:hAnsi="宋体" w:eastAsia="宋体" w:cs="宋体"/>
          <w:b/>
          <w:bCs/>
          <w:color w:val="auto"/>
          <w:sz w:val="24"/>
          <w:highlight w:val="none"/>
          <w:lang w:val="en-US" w:eastAsia="zh-CN"/>
        </w:rPr>
        <w:t>响应无效</w:t>
      </w:r>
      <w:r>
        <w:rPr>
          <w:rFonts w:hint="eastAsia" w:ascii="宋体" w:hAnsi="宋体" w:eastAsia="宋体" w:cs="宋体"/>
          <w:color w:val="auto"/>
          <w:sz w:val="24"/>
          <w:highlight w:val="none"/>
          <w:lang w:val="en-US" w:eastAsia="zh-CN"/>
        </w:rPr>
        <w:t>。</w:t>
      </w:r>
    </w:p>
    <w:p w14:paraId="54B8A8B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9.</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采购人不接受具有附加条件的报价。</w:t>
      </w:r>
    </w:p>
    <w:p w14:paraId="0846F1AC">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10.磋商保证金</w:t>
      </w:r>
    </w:p>
    <w:p w14:paraId="4E2327E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10.1本项目不收取磋商保证金。</w:t>
      </w:r>
    </w:p>
    <w:p w14:paraId="7066F6D5">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11.磋商有效期</w:t>
      </w:r>
    </w:p>
    <w:p w14:paraId="226F9E0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11.1磋商有效期为从响应文件提交截止之日算起的日历天数，磋商有效期详见</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w:t>
      </w:r>
    </w:p>
    <w:p w14:paraId="56AF02D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11.2在磋商有效期内，供应商的磋商保持有效，供应商不得要求撤销或修改其响应文件。磋商有效期不满足要求的响应，其响应文件将被认定为</w:t>
      </w:r>
      <w:r>
        <w:rPr>
          <w:rFonts w:hint="eastAsia" w:ascii="宋体" w:hAnsi="宋体" w:eastAsia="宋体" w:cs="宋体"/>
          <w:b/>
          <w:color w:val="auto"/>
          <w:sz w:val="24"/>
          <w:highlight w:val="none"/>
        </w:rPr>
        <w:t>响应无效</w:t>
      </w:r>
      <w:r>
        <w:rPr>
          <w:rFonts w:hint="eastAsia" w:ascii="宋体" w:hAnsi="宋体" w:eastAsia="宋体" w:cs="宋体"/>
          <w:color w:val="auto"/>
          <w:sz w:val="24"/>
          <w:highlight w:val="none"/>
        </w:rPr>
        <w:t>。</w:t>
      </w:r>
    </w:p>
    <w:p w14:paraId="7F563D2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11.3为保证有充分时间签订合同，采购人或采购代理机构可根据实际情况，在原磋商有效期截止之前，要求供应商延长磋商有效期。接受该要求的供应商将不会被要求和允许修正其响应文件。供应商可以拒绝延长磋商有效期的要求，且不承担任何责任。上述要求和答复都应以书面形式提交。</w:t>
      </w:r>
    </w:p>
    <w:p w14:paraId="6629EDEE">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12.响应文件的提交、修改与撤回</w:t>
      </w:r>
    </w:p>
    <w:p w14:paraId="594CE11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12.1供应商应当在第一章</w:t>
      </w:r>
      <w:r>
        <w:rPr>
          <w:rFonts w:hint="eastAsia" w:ascii="宋体" w:hAnsi="宋体" w:eastAsia="宋体" w:cs="宋体"/>
          <w:color w:val="auto"/>
          <w:sz w:val="24"/>
          <w:highlight w:val="none"/>
          <w:lang w:eastAsia="zh-CN"/>
        </w:rPr>
        <w:t>采购邀请</w:t>
      </w:r>
      <w:r>
        <w:rPr>
          <w:rFonts w:hint="eastAsia" w:ascii="宋体" w:hAnsi="宋体" w:eastAsia="宋体" w:cs="宋体"/>
          <w:color w:val="auto"/>
          <w:sz w:val="24"/>
          <w:highlight w:val="none"/>
        </w:rPr>
        <w:t>规定的响应文件提交截止时间前</w:t>
      </w:r>
      <w:r>
        <w:rPr>
          <w:rFonts w:hint="eastAsia" w:ascii="宋体" w:hAnsi="宋体" w:eastAsia="宋体" w:cs="宋体"/>
          <w:color w:val="auto"/>
          <w:sz w:val="24"/>
          <w:highlight w:val="none"/>
          <w:lang w:eastAsia="zh-CN"/>
        </w:rPr>
        <w:t>，现场递交纸质响应文件。</w:t>
      </w:r>
    </w:p>
    <w:p w14:paraId="65310B0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12.2供应商应当在响应文件提交截止时间前</w:t>
      </w:r>
      <w:r>
        <w:rPr>
          <w:rFonts w:hint="eastAsia" w:ascii="宋体" w:hAnsi="宋体" w:eastAsia="宋体" w:cs="宋体"/>
          <w:color w:val="auto"/>
          <w:sz w:val="24"/>
          <w:highlight w:val="none"/>
          <w:lang w:eastAsia="zh-CN"/>
        </w:rPr>
        <w:t>递交纸质响应文件</w:t>
      </w:r>
      <w:r>
        <w:rPr>
          <w:rFonts w:hint="eastAsia" w:ascii="宋体" w:hAnsi="宋体" w:eastAsia="宋体" w:cs="宋体"/>
          <w:color w:val="auto"/>
          <w:sz w:val="24"/>
          <w:highlight w:val="none"/>
        </w:rPr>
        <w:t>，并可以补充、修改或者撤回响应文件。未按规定时间</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地点递交</w:t>
      </w:r>
      <w:r>
        <w:rPr>
          <w:rFonts w:hint="eastAsia" w:ascii="宋体" w:hAnsi="宋体" w:eastAsia="宋体" w:cs="宋体"/>
          <w:color w:val="auto"/>
          <w:sz w:val="24"/>
          <w:highlight w:val="none"/>
        </w:rPr>
        <w:t>响应文件</w:t>
      </w:r>
      <w:r>
        <w:rPr>
          <w:rFonts w:hint="eastAsia" w:ascii="宋体" w:hAnsi="宋体" w:eastAsia="宋体" w:cs="宋体"/>
          <w:color w:val="auto"/>
          <w:sz w:val="24"/>
          <w:highlight w:val="none"/>
          <w:lang w:val="en-US" w:eastAsia="zh-CN"/>
        </w:rPr>
        <w:t>的</w:t>
      </w:r>
      <w:r>
        <w:rPr>
          <w:rFonts w:hint="eastAsia" w:ascii="宋体" w:hAnsi="宋体" w:eastAsia="宋体" w:cs="宋体"/>
          <w:color w:val="auto"/>
          <w:sz w:val="24"/>
          <w:highlight w:val="none"/>
        </w:rPr>
        <w:t>，应当拒收。</w:t>
      </w:r>
    </w:p>
    <w:p w14:paraId="4668E78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12.3在响应文件提交截止时间之后，供应商不得对其响应文件做任何修改。但属于磋商小组在评审中发现的计算错误并进行核实的修改、按照磋商文件的变动情况和磋商小组的要求重新提交响应文件的，不在此列。</w:t>
      </w:r>
    </w:p>
    <w:p w14:paraId="471C3402">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13.磋商小组</w:t>
      </w:r>
    </w:p>
    <w:p w14:paraId="5354791D">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13.1本项目将依法组建磋商小组，磋商小组成员由3人以上（含）单数组成，磋商小组及其成员应当依照政府采购的有关规定履行相关职责和义务。</w:t>
      </w:r>
      <w:r>
        <w:rPr>
          <w:rFonts w:hint="eastAsia" w:ascii="宋体" w:hAnsi="宋体" w:eastAsia="宋体" w:cs="宋体"/>
          <w:color w:val="auto"/>
          <w:sz w:val="24"/>
          <w:highlight w:val="none"/>
          <w:lang w:val="en-US" w:eastAsia="zh-CN"/>
        </w:rPr>
        <w:t>本项目磋商小组人数：</w:t>
      </w:r>
      <w:r>
        <w:rPr>
          <w:rFonts w:hint="eastAsia" w:ascii="宋体" w:hAnsi="宋体" w:eastAsia="宋体" w:cs="宋体"/>
          <w:color w:val="auto"/>
          <w:sz w:val="24"/>
          <w:highlight w:val="none"/>
          <w:u w:val="single"/>
          <w:lang w:val="en-US" w:eastAsia="zh-CN"/>
        </w:rPr>
        <w:t>见供应商须知前附表</w:t>
      </w:r>
      <w:r>
        <w:rPr>
          <w:rFonts w:hint="eastAsia" w:ascii="宋体" w:hAnsi="宋体" w:eastAsia="宋体" w:cs="宋体"/>
          <w:color w:val="auto"/>
          <w:sz w:val="24"/>
          <w:highlight w:val="none"/>
          <w:lang w:val="en-US" w:eastAsia="zh-CN"/>
        </w:rPr>
        <w:t>。</w:t>
      </w:r>
    </w:p>
    <w:p w14:paraId="51FD850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13.2磋商小组依法对响应文件进行评审，并根据磋商文件规定的程序、评定成交的标准等事项与实质性响应磋商文件要求的供应商进行磋商。</w:t>
      </w:r>
    </w:p>
    <w:p w14:paraId="4284092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13.3磋商小组应当从质量和服务均能满足磋商文件实质性响应要求的供应商中，按照评审方法和标准推荐成交候选供应商，并编写评审报告。</w:t>
      </w:r>
    </w:p>
    <w:p w14:paraId="596B5210">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14.响应文件的评审与磋商</w:t>
      </w:r>
    </w:p>
    <w:p w14:paraId="6B7A8F1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14.1采购人和采购代理机构将在</w:t>
      </w:r>
      <w:r>
        <w:rPr>
          <w:rFonts w:hint="eastAsia" w:ascii="宋体" w:hAnsi="宋体" w:eastAsia="宋体" w:cs="宋体"/>
          <w:color w:val="auto"/>
          <w:sz w:val="24"/>
          <w:highlight w:val="none"/>
          <w:lang w:eastAsia="zh-CN"/>
        </w:rPr>
        <w:t>采购邀请</w:t>
      </w:r>
      <w:r>
        <w:rPr>
          <w:rFonts w:hint="eastAsia" w:ascii="宋体" w:hAnsi="宋体" w:eastAsia="宋体" w:cs="宋体"/>
          <w:color w:val="auto"/>
          <w:sz w:val="24"/>
          <w:highlight w:val="none"/>
        </w:rPr>
        <w:t>规定的时间和地点组织磋商。</w:t>
      </w:r>
    </w:p>
    <w:p w14:paraId="38BCDC0D">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14.2竞争性磋商活动采用综合评分法评审。</w:t>
      </w:r>
    </w:p>
    <w:p w14:paraId="50C6B49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综合评分法，是指响应文件满足磋商文件全部实质性要求且按评审因素的量化指标评审得分最高的供应商为成交候选供应商的评审方法。</w:t>
      </w:r>
    </w:p>
    <w:p w14:paraId="61B2872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14.3磋商小组将按照磋商文件规定的评审方法和标准对供应商独立进行评审。评审程序如下：</w:t>
      </w:r>
    </w:p>
    <w:p w14:paraId="386A375A">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14.3.1</w:t>
      </w:r>
      <w:r>
        <w:rPr>
          <w:rFonts w:hint="eastAsia" w:ascii="宋体" w:hAnsi="宋体" w:eastAsia="宋体" w:cs="宋体"/>
          <w:b/>
          <w:color w:val="auto"/>
          <w:sz w:val="24"/>
          <w:highlight w:val="none"/>
        </w:rPr>
        <w:t>初审</w:t>
      </w:r>
      <w:r>
        <w:rPr>
          <w:rFonts w:hint="eastAsia" w:ascii="宋体" w:hAnsi="宋体" w:eastAsia="宋体" w:cs="宋体"/>
          <w:color w:val="auto"/>
          <w:sz w:val="24"/>
          <w:highlight w:val="none"/>
        </w:rPr>
        <w:t>。</w:t>
      </w:r>
      <w:r>
        <w:rPr>
          <w:rFonts w:hint="eastAsia" w:ascii="宋体" w:hAnsi="宋体" w:eastAsia="宋体" w:cs="宋体"/>
          <w:color w:val="auto"/>
          <w:sz w:val="24"/>
          <w:szCs w:val="24"/>
          <w:highlight w:val="none"/>
        </w:rPr>
        <w:t>采购人或采购代理机构依据法律法规和</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文件中规定的内容，对</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资格进行审查，未通过资格审查的</w:t>
      </w:r>
      <w:r>
        <w:rPr>
          <w:rFonts w:hint="eastAsia" w:ascii="宋体" w:hAnsi="宋体" w:eastAsia="宋体" w:cs="宋体"/>
          <w:color w:val="auto"/>
          <w:sz w:val="24"/>
          <w:szCs w:val="24"/>
          <w:highlight w:val="none"/>
          <w:lang w:eastAsia="zh-CN"/>
        </w:rPr>
        <w:t>供应商不可参加后续评审</w:t>
      </w:r>
      <w:r>
        <w:rPr>
          <w:rFonts w:hint="eastAsia" w:ascii="宋体" w:hAnsi="宋体" w:eastAsia="宋体" w:cs="宋体"/>
          <w:color w:val="auto"/>
          <w:sz w:val="24"/>
          <w:szCs w:val="24"/>
          <w:highlight w:val="none"/>
        </w:rPr>
        <w:t>。</w:t>
      </w:r>
    </w:p>
    <w:p w14:paraId="1E0E285B">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按照《财政部关于在政府采购活动中查询及使用信用记录有关问题的通知》(财库〔2016〕125号)</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rPr>
        <w:t>要求，根据评审时“信用中国”网站(www.creditchina.gov.cn)、“中国政府采购网”(www.ccgp.gov.cn)的信息，对列入失信被执行人、重大税收违法案件当事人名单、政府采购严重违法失信行为记录名单的供应商，拒绝其参与政府采购活动。两个以上的自然人、法人或者其他组织组成一个联合体，以一个</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的身份共同参加政府采购活动的，应当对所有联合体成员进行信用记录查询，联合体成员之一存在不良信用记录的，视同联合体存在不良信用记录。</w:t>
      </w:r>
    </w:p>
    <w:p w14:paraId="0931FC5C">
      <w:pPr>
        <w:spacing w:line="360" w:lineRule="auto"/>
        <w:ind w:firstLine="435"/>
        <w:rPr>
          <w:rFonts w:hint="eastAsia" w:ascii="宋体" w:hAnsi="宋体" w:eastAsia="宋体" w:cs="宋体"/>
          <w:strike/>
          <w:dstrike w:val="0"/>
          <w:color w:val="auto"/>
          <w:sz w:val="24"/>
          <w:szCs w:val="24"/>
          <w:highlight w:val="none"/>
          <w:lang w:val="en-US" w:eastAsia="zh-CN"/>
        </w:rPr>
      </w:pPr>
      <w:r>
        <w:rPr>
          <w:rFonts w:hint="eastAsia" w:ascii="宋体" w:hAnsi="宋体" w:eastAsia="宋体" w:cs="宋体"/>
          <w:strike w:val="0"/>
          <w:dstrike w:val="0"/>
          <w:color w:val="auto"/>
          <w:sz w:val="24"/>
          <w:highlight w:val="none"/>
        </w:rPr>
        <w:t>磋商小组对供应商必须满足和实质性响应的内容进行评审，供应商未实质性响应磋商文件要求导致响应无效的，</w:t>
      </w:r>
      <w:r>
        <w:rPr>
          <w:rFonts w:hint="eastAsia" w:ascii="宋体" w:hAnsi="宋体" w:eastAsia="宋体" w:cs="宋体"/>
          <w:strike w:val="0"/>
          <w:dstrike w:val="0"/>
          <w:color w:val="auto"/>
          <w:sz w:val="24"/>
          <w:highlight w:val="none"/>
          <w:lang w:val="en-US" w:eastAsia="zh-CN"/>
        </w:rPr>
        <w:t>不得进入后续评审环节。</w:t>
      </w:r>
    </w:p>
    <w:p w14:paraId="32A78A1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14.3.2</w:t>
      </w:r>
      <w:r>
        <w:rPr>
          <w:rFonts w:hint="eastAsia" w:ascii="宋体" w:hAnsi="宋体" w:eastAsia="宋体" w:cs="宋体"/>
          <w:b/>
          <w:color w:val="auto"/>
          <w:sz w:val="24"/>
          <w:highlight w:val="none"/>
        </w:rPr>
        <w:t>磋商</w:t>
      </w:r>
      <w:r>
        <w:rPr>
          <w:rFonts w:hint="eastAsia" w:ascii="宋体" w:hAnsi="宋体" w:eastAsia="宋体" w:cs="宋体"/>
          <w:color w:val="auto"/>
          <w:sz w:val="24"/>
          <w:highlight w:val="none"/>
        </w:rPr>
        <w:t>。初审合格后，磋商小组将集中与单一供应商分别进行磋商，并给予所有参加磋商的供应商平等的磋商机会。</w:t>
      </w:r>
    </w:p>
    <w:p w14:paraId="47EE2FC7">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14.3.3</w:t>
      </w:r>
      <w:r>
        <w:rPr>
          <w:rFonts w:hint="eastAsia" w:ascii="宋体" w:hAnsi="宋体" w:eastAsia="宋体" w:cs="宋体"/>
          <w:b/>
          <w:color w:val="auto"/>
          <w:sz w:val="24"/>
          <w:highlight w:val="none"/>
        </w:rPr>
        <w:t>报价</w:t>
      </w:r>
      <w:r>
        <w:rPr>
          <w:rFonts w:hint="eastAsia" w:ascii="宋体" w:hAnsi="宋体" w:eastAsia="宋体" w:cs="宋体"/>
          <w:color w:val="auto"/>
          <w:sz w:val="24"/>
          <w:highlight w:val="none"/>
        </w:rPr>
        <w:t>。磋商结束后，磋商小组应当要求所有实质性响应的供应商在规定时间内提交最后报价。供应商应在磋商小组发出</w:t>
      </w:r>
      <w:r>
        <w:rPr>
          <w:rFonts w:hint="eastAsia" w:ascii="宋体" w:hAnsi="宋体" w:eastAsia="宋体" w:cs="宋体"/>
          <w:color w:val="auto"/>
          <w:sz w:val="24"/>
          <w:highlight w:val="none"/>
          <w:lang w:val="en-US" w:eastAsia="zh-CN"/>
        </w:rPr>
        <w:t>多轮</w:t>
      </w:r>
      <w:r>
        <w:rPr>
          <w:rFonts w:hint="eastAsia" w:ascii="宋体" w:hAnsi="宋体" w:eastAsia="宋体" w:cs="宋体"/>
          <w:color w:val="auto"/>
          <w:sz w:val="24"/>
          <w:highlight w:val="none"/>
        </w:rPr>
        <w:t>报价指令后30分钟内</w:t>
      </w:r>
      <w:r>
        <w:rPr>
          <w:rFonts w:hint="eastAsia" w:ascii="宋体" w:hAnsi="宋体" w:eastAsia="宋体" w:cs="宋体"/>
          <w:color w:val="auto"/>
          <w:sz w:val="24"/>
          <w:highlight w:val="none"/>
          <w:lang w:val="en-US" w:eastAsia="zh-CN"/>
        </w:rPr>
        <w:t>完成</w:t>
      </w:r>
      <w:r>
        <w:rPr>
          <w:rFonts w:hint="eastAsia" w:ascii="宋体" w:hAnsi="宋体" w:eastAsia="宋体" w:cs="宋体"/>
          <w:color w:val="auto"/>
          <w:sz w:val="24"/>
          <w:highlight w:val="none"/>
        </w:rPr>
        <w:t>报价</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报价经法定代表人或被授权代表签字并加盖公章后，以书面的方式提交给磋商小组。</w:t>
      </w:r>
    </w:p>
    <w:p w14:paraId="627AB95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根据《政府采购竞争性磋商采购方式管理暂行办法》（财库〔2014〕214号）第二十一条规定：“最后报价是供应商响应文件的有效组成部分”，供应商未按要求在规定时间内进行最后报价的，属于响应文件有效组成部分缺失，</w:t>
      </w:r>
      <w:r>
        <w:rPr>
          <w:rFonts w:hint="eastAsia" w:ascii="宋体" w:hAnsi="宋体" w:eastAsia="宋体" w:cs="宋体"/>
          <w:color w:val="auto"/>
          <w:sz w:val="24"/>
          <w:highlight w:val="none"/>
        </w:rPr>
        <w:t>其响应文件将被认定为</w:t>
      </w:r>
      <w:r>
        <w:rPr>
          <w:rFonts w:hint="eastAsia" w:ascii="宋体" w:hAnsi="宋体" w:eastAsia="宋体" w:cs="宋体"/>
          <w:b/>
          <w:color w:val="auto"/>
          <w:sz w:val="24"/>
          <w:highlight w:val="none"/>
        </w:rPr>
        <w:t>响应无效</w:t>
      </w:r>
      <w:r>
        <w:rPr>
          <w:rFonts w:hint="eastAsia" w:ascii="宋体" w:hAnsi="宋体" w:eastAsia="宋体" w:cs="宋体"/>
          <w:color w:val="auto"/>
          <w:sz w:val="24"/>
          <w:highlight w:val="none"/>
        </w:rPr>
        <w:t>。</w:t>
      </w:r>
    </w:p>
    <w:p w14:paraId="0956015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14.3.4</w:t>
      </w:r>
      <w:r>
        <w:rPr>
          <w:rFonts w:hint="eastAsia" w:ascii="宋体" w:hAnsi="宋体" w:eastAsia="宋体" w:cs="宋体"/>
          <w:b/>
          <w:color w:val="auto"/>
          <w:sz w:val="24"/>
          <w:highlight w:val="none"/>
        </w:rPr>
        <w:t>综合评分</w:t>
      </w:r>
      <w:r>
        <w:rPr>
          <w:rFonts w:hint="eastAsia" w:ascii="宋体" w:hAnsi="宋体" w:eastAsia="宋体" w:cs="宋体"/>
          <w:color w:val="auto"/>
          <w:sz w:val="24"/>
          <w:highlight w:val="none"/>
        </w:rPr>
        <w:t>。磋商小组只对通过初审，实质上响应磋商文件要求的响应文件进行综合评分。经磋商确定最终采购需求和提交最后报价的供应商后，由磋商小组采用综合评分法对提交最后报价的供应商的响应文件和最后报价进行综合评分。</w:t>
      </w:r>
    </w:p>
    <w:p w14:paraId="496FDAD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14.4相关说明。</w:t>
      </w:r>
    </w:p>
    <w:p w14:paraId="74043EB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14.4.1为保证磋商活动顺利进行，供应商可派相关技术人员进行</w:t>
      </w:r>
      <w:r>
        <w:rPr>
          <w:rFonts w:hint="eastAsia" w:ascii="宋体" w:hAnsi="宋体" w:eastAsia="宋体" w:cs="宋体"/>
          <w:color w:val="auto"/>
          <w:sz w:val="24"/>
          <w:highlight w:val="none"/>
          <w:lang w:val="en-US" w:eastAsia="zh-CN"/>
        </w:rPr>
        <w:t>现场</w:t>
      </w:r>
      <w:r>
        <w:rPr>
          <w:rFonts w:hint="eastAsia" w:ascii="宋体" w:hAnsi="宋体" w:eastAsia="宋体" w:cs="宋体"/>
          <w:color w:val="auto"/>
          <w:sz w:val="24"/>
          <w:highlight w:val="none"/>
        </w:rPr>
        <w:t>答疑；供应商必须在规定的时间内将自己在磋商中作出的澄清、变动以及最终的报价，</w:t>
      </w:r>
      <w:r>
        <w:rPr>
          <w:rFonts w:hint="eastAsia" w:ascii="宋体" w:hAnsi="宋体" w:eastAsia="宋体" w:cs="宋体"/>
          <w:color w:val="auto"/>
          <w:sz w:val="24"/>
          <w:highlight w:val="none"/>
          <w:lang w:val="en-US" w:eastAsia="zh-CN"/>
        </w:rPr>
        <w:t>经法定代表人或被授权代表签字并加盖公章后，以书面的方式提交给磋商小组</w:t>
      </w:r>
      <w:r>
        <w:rPr>
          <w:rFonts w:hint="eastAsia" w:ascii="宋体" w:hAnsi="宋体" w:eastAsia="宋体" w:cs="宋体"/>
          <w:color w:val="auto"/>
          <w:sz w:val="24"/>
          <w:highlight w:val="none"/>
        </w:rPr>
        <w:t>。</w:t>
      </w:r>
    </w:p>
    <w:p w14:paraId="7B94B5B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14.4.2磋商小组根据与供应商磋商情况可能实质性变动磋商文件的内容，包括采购需求中的技术、服务要求以及合同草案条款。磋商文件有实质性变动的，经采购人代表确认作为磋商文件的有效组成部分，磋商小组将以书面形式通知所有参加磋商的供应商。</w:t>
      </w:r>
    </w:p>
    <w:p w14:paraId="4579A48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14.4.3磋商小组发现供应商的报价或者某些分项报价明显低于其他通过初审的供应商的报价，有可能影响产品质量和不能诚信履约的，应当要求其在合理的时间内提供书面说明，必要时提交相关证明材料；供应商不能证明其报价合理性的，其响应文件将被认定为</w:t>
      </w:r>
      <w:r>
        <w:rPr>
          <w:rFonts w:hint="eastAsia" w:ascii="宋体" w:hAnsi="宋体" w:eastAsia="宋体" w:cs="宋体"/>
          <w:b/>
          <w:color w:val="auto"/>
          <w:sz w:val="24"/>
          <w:highlight w:val="none"/>
        </w:rPr>
        <w:t>响应无效</w:t>
      </w:r>
      <w:r>
        <w:rPr>
          <w:rFonts w:hint="eastAsia" w:ascii="宋体" w:hAnsi="宋体" w:eastAsia="宋体" w:cs="宋体"/>
          <w:color w:val="auto"/>
          <w:sz w:val="24"/>
          <w:highlight w:val="none"/>
        </w:rPr>
        <w:t>。</w:t>
      </w:r>
    </w:p>
    <w:p w14:paraId="1BC7BA5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14.4.4</w:t>
      </w:r>
      <w:r>
        <w:rPr>
          <w:rFonts w:hint="eastAsia" w:ascii="宋体" w:hAnsi="宋体" w:eastAsia="宋体" w:cs="宋体"/>
          <w:color w:val="auto"/>
          <w:sz w:val="24"/>
          <w:highlight w:val="none"/>
        </w:rPr>
        <w:t>磋商小组决定响应文件的响应性及符合性只根据响应文件本身的内容，而不寻求其他外部证据。</w:t>
      </w:r>
    </w:p>
    <w:p w14:paraId="12FE717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14.5供应商授权代表对磋商过程有疑义，以及认为采购人、采购代理机构相关工作人员有需要回避的情形的，应当场提出询问或者回避申请，并说明理由。 </w:t>
      </w:r>
    </w:p>
    <w:p w14:paraId="219E1C2B">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15.终止竞争性磋商</w:t>
      </w:r>
    </w:p>
    <w:p w14:paraId="0F261CD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15.1出现下列情况之一时，采购人和采购代理机构有权宣布终止竞争性磋商采购，并将理由通知所有供应商：</w:t>
      </w:r>
    </w:p>
    <w:p w14:paraId="6AFA41D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（1）有效供应商数量不足，导致本次磋商缺乏竞争的；</w:t>
      </w:r>
    </w:p>
    <w:p w14:paraId="0066A04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（2）出现影响采购公正的违法、违规行为的；</w:t>
      </w:r>
    </w:p>
    <w:p w14:paraId="3298304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（3）因重大变故，采购任务取消的；</w:t>
      </w:r>
    </w:p>
    <w:p w14:paraId="5287BE8E">
      <w:pPr>
        <w:spacing w:line="360" w:lineRule="auto"/>
        <w:ind w:firstLine="437"/>
        <w:outlineLvl w:val="2"/>
        <w:rPr>
          <w:rFonts w:hint="eastAsia" w:ascii="宋体" w:hAnsi="宋体" w:eastAsia="宋体" w:cs="宋体"/>
          <w:color w:val="auto"/>
          <w:sz w:val="24"/>
          <w:highlight w:val="none"/>
        </w:rPr>
      </w:pPr>
      <w:r>
        <w:rPr>
          <w:rFonts w:hint="eastAsia" w:ascii="宋体" w:hAnsi="宋体" w:eastAsia="宋体" w:cs="宋体"/>
          <w:color w:val="auto"/>
          <w:sz w:val="24"/>
          <w:highlight w:val="none"/>
        </w:rPr>
        <w:t>（4）政府采购法律法规规定的其他情形。</w:t>
      </w:r>
    </w:p>
    <w:p w14:paraId="7359AFB0">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16.响应文件的澄清、说明或更正</w:t>
      </w:r>
    </w:p>
    <w:p w14:paraId="486D724B">
      <w:pPr>
        <w:spacing w:line="360" w:lineRule="auto"/>
        <w:ind w:firstLine="470" w:firstLineChars="196"/>
        <w:rPr>
          <w:rFonts w:hint="eastAsia" w:ascii="宋体" w:hAnsi="宋体" w:eastAsia="宋体" w:cs="宋体"/>
          <w:color w:val="auto"/>
          <w:sz w:val="24"/>
          <w:highlight w:val="none"/>
        </w:rPr>
      </w:pPr>
      <w:r>
        <w:rPr>
          <w:rFonts w:hint="eastAsia" w:ascii="宋体" w:hAnsi="宋体" w:eastAsia="宋体" w:cs="宋体"/>
          <w:color w:val="auto"/>
          <w:sz w:val="24"/>
          <w:highlight w:val="none"/>
        </w:rPr>
        <w:t>16.1磋商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5836CA43">
      <w:pPr>
        <w:spacing w:line="360" w:lineRule="auto"/>
        <w:ind w:firstLine="470" w:firstLineChars="196"/>
        <w:rPr>
          <w:rFonts w:hint="eastAsia" w:ascii="宋体" w:hAnsi="宋体" w:eastAsia="宋体" w:cs="宋体"/>
          <w:color w:val="auto"/>
          <w:sz w:val="24"/>
          <w:highlight w:val="none"/>
        </w:rPr>
      </w:pPr>
      <w:r>
        <w:rPr>
          <w:rFonts w:hint="eastAsia" w:ascii="宋体" w:hAnsi="宋体" w:eastAsia="宋体" w:cs="宋体"/>
          <w:color w:val="auto"/>
          <w:sz w:val="24"/>
          <w:highlight w:val="none"/>
        </w:rPr>
        <w:t>16.2磋商小组要求供应商澄清、说明或者更正响应文件应当以书面形式（询标）作出。供应商的澄清、说明或者更正应当由法定代表人或其授权代表签字或者加盖公章。</w:t>
      </w:r>
    </w:p>
    <w:p w14:paraId="051E94FF">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各供应商在项目开标、评标（审）期间应保持</w:t>
      </w:r>
      <w:r>
        <w:rPr>
          <w:rFonts w:hint="eastAsia" w:ascii="宋体" w:hAnsi="宋体" w:eastAsia="宋体" w:cs="宋体"/>
          <w:b/>
          <w:color w:val="auto"/>
          <w:sz w:val="24"/>
          <w:highlight w:val="none"/>
          <w:lang w:val="en-US" w:eastAsia="zh-CN"/>
        </w:rPr>
        <w:t>电话畅通</w:t>
      </w:r>
      <w:r>
        <w:rPr>
          <w:rFonts w:hint="eastAsia" w:ascii="宋体" w:hAnsi="宋体" w:eastAsia="宋体" w:cs="宋体"/>
          <w:b/>
          <w:color w:val="auto"/>
          <w:sz w:val="24"/>
          <w:highlight w:val="none"/>
        </w:rPr>
        <w:t>状态，随时接受</w:t>
      </w:r>
      <w:r>
        <w:rPr>
          <w:rFonts w:hint="eastAsia" w:ascii="宋体" w:hAnsi="宋体" w:eastAsia="宋体" w:cs="宋体"/>
          <w:b/>
          <w:color w:val="auto"/>
          <w:sz w:val="24"/>
          <w:highlight w:val="none"/>
          <w:lang w:eastAsia="zh-CN"/>
        </w:rPr>
        <w:t>磋商小组</w:t>
      </w:r>
      <w:r>
        <w:rPr>
          <w:rFonts w:hint="eastAsia" w:ascii="宋体" w:hAnsi="宋体" w:eastAsia="宋体" w:cs="宋体"/>
          <w:b/>
          <w:color w:val="auto"/>
          <w:sz w:val="24"/>
          <w:highlight w:val="none"/>
        </w:rPr>
        <w:t>发出的询标信息，并在规定时间内答复，未能按时答复的，</w:t>
      </w:r>
      <w:r>
        <w:rPr>
          <w:rFonts w:hint="eastAsia" w:ascii="宋体" w:hAnsi="宋体" w:eastAsia="宋体" w:cs="宋体"/>
          <w:b/>
          <w:color w:val="auto"/>
          <w:sz w:val="24"/>
          <w:highlight w:val="none"/>
          <w:lang w:eastAsia="zh-CN"/>
        </w:rPr>
        <w:t>磋商小组</w:t>
      </w:r>
      <w:r>
        <w:rPr>
          <w:rFonts w:hint="eastAsia" w:ascii="宋体" w:hAnsi="宋体" w:eastAsia="宋体" w:cs="宋体"/>
          <w:b/>
          <w:color w:val="auto"/>
          <w:sz w:val="24"/>
          <w:highlight w:val="none"/>
        </w:rPr>
        <w:t>将视同其放弃澄清。</w:t>
      </w:r>
    </w:p>
    <w:p w14:paraId="4FF860C2">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17.最后报价</w:t>
      </w:r>
    </w:p>
    <w:p w14:paraId="340C53F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17.1磋商并不限定只进行二轮报价，如果磋商小组认为有必要，可以要求供应商进行多轮报价。</w:t>
      </w:r>
    </w:p>
    <w:p w14:paraId="3EAD20A7">
      <w:pPr>
        <w:spacing w:line="360" w:lineRule="auto"/>
        <w:ind w:firstLine="435"/>
        <w:rPr>
          <w:rFonts w:hint="eastAsia" w:ascii="宋体" w:hAnsi="宋体" w:eastAsia="宋体" w:cs="宋体"/>
          <w:color w:val="auto"/>
          <w:sz w:val="24"/>
          <w:highlight w:val="none"/>
        </w:rPr>
      </w:pPr>
      <w:bookmarkStart w:id="87" w:name="_Hlk60607655"/>
      <w:bookmarkStart w:id="88" w:name="_Hlk60607673"/>
      <w:r>
        <w:rPr>
          <w:rFonts w:hint="eastAsia" w:ascii="宋体" w:hAnsi="宋体" w:eastAsia="宋体" w:cs="宋体"/>
          <w:color w:val="auto"/>
          <w:sz w:val="24"/>
          <w:highlight w:val="none"/>
          <w:lang w:val="en-US" w:eastAsia="zh-CN"/>
        </w:rPr>
        <w:t>17</w:t>
      </w:r>
      <w:r>
        <w:rPr>
          <w:rFonts w:hint="eastAsia" w:ascii="宋体" w:hAnsi="宋体" w:eastAsia="宋体" w:cs="宋体"/>
          <w:color w:val="auto"/>
          <w:sz w:val="24"/>
          <w:highlight w:val="none"/>
        </w:rPr>
        <w:t>.2在磋商内容不做实质性变更或重大调整的前提下，供应商下轮报价不得高于上一轮报价。</w:t>
      </w:r>
    </w:p>
    <w:p w14:paraId="0C9FCCD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17.</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最后报价是供应商响应文件的有效组成部分，最后报价也是签订合同的依据。</w:t>
      </w:r>
    </w:p>
    <w:bookmarkEnd w:id="87"/>
    <w:p w14:paraId="5E5AC62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17.</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根据《政府采购促进中小企业发展管理办法》（财库〔2020〕46号）、《三部门联合发布关于促进残疾人就业政府采购政策的通知》（财库〔2017〕141号）和《财政部司法部关于政府采购支持监狱企业发展有关问题的通知》（财库〔2014〕68号）的规定，对满足价格扣除条件且在投标文件中提交了《中小企业声明函》、《残疾人福利性单位声明函》或省级以上监狱管理局、戒毒管理局（含新疆生产建设兵团）出具的属于监狱企业的证明文件的投标人，其投标报价按照</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中规定的标准扣除后的价格参与评审。对于同时属于小微企业、监狱企业或残疾人福利性单位的，不重复进行投标报价扣除。</w:t>
      </w:r>
    </w:p>
    <w:p w14:paraId="1EAF169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接受大中型企业与小微企业组成联合体或者允许大中型企业向一家或者多家小微企业分包的，对于联合协议或者分包意向协议约定小微企业的合同份额</w:t>
      </w:r>
      <w:r>
        <w:rPr>
          <w:rFonts w:hint="eastAsia" w:ascii="宋体" w:hAnsi="宋体" w:eastAsia="宋体" w:cs="宋体"/>
          <w:strike w:val="0"/>
          <w:dstrike w:val="0"/>
          <w:color w:val="auto"/>
          <w:sz w:val="24"/>
          <w:highlight w:val="none"/>
          <w:lang w:val="en-US" w:eastAsia="zh-CN"/>
        </w:rPr>
        <w:t>达到招标文件中规定预留份额的</w:t>
      </w:r>
      <w:r>
        <w:rPr>
          <w:rFonts w:hint="eastAsia" w:ascii="宋体" w:hAnsi="宋体" w:eastAsia="宋体" w:cs="宋体"/>
          <w:color w:val="auto"/>
          <w:sz w:val="24"/>
          <w:highlight w:val="none"/>
        </w:rPr>
        <w:t>，可给予联合体或者大中型企业的投标报价按照</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中规定的标准扣除后的价格参与评审。组成联合体或者接受分包的小微企业与联合体内其他企业、分包企业之间存在直接控股、管理关系的，不享受价格扣除优惠政策。</w:t>
      </w:r>
    </w:p>
    <w:p w14:paraId="3391428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以联合体形式参加政府采购活动，联合体各方均为中小企业的，联合体视同中小企业。其中，联合体各方均为小微企业的，联合体视同小微企业。</w:t>
      </w:r>
    </w:p>
    <w:p w14:paraId="220EF5B1">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17.5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政府采购活动中既有本国产品又有非本国产品参与竞争的，依法对本国产品给予价格评审优惠，对本国产品的报价给予20%的价格扣除，用扣除后的价格参与评审。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016554BB">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评标委员会应当对投标人所出具的《关于符合本国产品标准的声明函》（以下简称《声明函》）的完整性、准确性进行审查，评审中发现《声明函》内容含义不明确、同类事项与投标文件表述不一致或者有明显文字错误等情况的，应当以书面形式要求投标人作出必要的澄清、说明或者补正。经澄清、说明或者补正的《声明函》仍然不符合规定要求的，投标人提供的相关产品视为不符合本国产品标准。</w:t>
      </w:r>
    </w:p>
    <w:p w14:paraId="6434D486">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注：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5C94C232">
      <w:pPr>
        <w:spacing w:line="360" w:lineRule="auto"/>
        <w:ind w:firstLine="435"/>
        <w:rPr>
          <w:rFonts w:hint="eastAsia" w:ascii="宋体" w:hAnsi="宋体" w:eastAsia="宋体" w:cs="宋体"/>
          <w:color w:val="auto"/>
          <w:sz w:val="24"/>
          <w:highlight w:val="none"/>
        </w:rPr>
      </w:pPr>
      <w:r>
        <w:rPr>
          <w:rFonts w:hint="eastAsia" w:ascii="宋体" w:hAnsi="宋体" w:eastAsia="宋体" w:cs="宋体"/>
          <w:b w:val="0"/>
          <w:i w:val="0"/>
          <w:iCs w:val="0"/>
          <w:color w:val="auto"/>
          <w:sz w:val="24"/>
          <w:szCs w:val="24"/>
          <w:highlight w:val="none"/>
          <w:lang w:val="en-US" w:eastAsia="zh-CN"/>
        </w:rPr>
        <w:t>17.6同时符合17.4和17.5的价格评审优惠时，评标价为投标报价分别扣除促进中小企业发展政策的价格评审优惠和本国产品支持政策的价格评审优惠后的价格。</w:t>
      </w:r>
    </w:p>
    <w:bookmarkEnd w:id="88"/>
    <w:p w14:paraId="3256EC77">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18.成交候选供应商的推荐原则及标准</w:t>
      </w:r>
    </w:p>
    <w:p w14:paraId="36411B1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18.1磋商小组依据本项目磋商文件所约定的评审方法和标准，按照有效供应商综合总得分由高到低依次推荐成交候选供应商。综合总得分出现两家或两家以上相同者，按最后报价由低到高排序推荐成交候选供应商；综合总得分且最后报价均相同的，由磋商小组按照技术指标优劣顺序推荐成交候选供应商。</w:t>
      </w:r>
    </w:p>
    <w:p w14:paraId="4A03A85B">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19.确定成交候选供应商和成交供应商</w:t>
      </w:r>
    </w:p>
    <w:p w14:paraId="54E5E13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19.1磋商小组根据综合评分的结果和</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中规定确定成交候选供应商，并标明排列顺序。按</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中规定，由磋商小组或采购人确定成交供应商。</w:t>
      </w:r>
    </w:p>
    <w:p w14:paraId="081230B7">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20.编写评审报告</w:t>
      </w:r>
    </w:p>
    <w:p w14:paraId="31B2C04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20.1评审报告是根据全体磋商小组成员签字的原始评审记录和评审结果编写的报告，评审报告由磋商小组全体成员签字。对评审结论持有异议的磋商小组成员可以书面方式阐述其不同意见和理由。磋商小组成员拒绝在评审报告上签字且不陈述其不同意见和理由的，视为同意评审结论。</w:t>
      </w:r>
    </w:p>
    <w:p w14:paraId="1E5A8993">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21.保密要求</w:t>
      </w:r>
    </w:p>
    <w:p w14:paraId="3A4A064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21.1评审将在严格保密的情况下进行。</w:t>
      </w:r>
    </w:p>
    <w:p w14:paraId="207EA70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21.2有关人员应当遵守评审工作纪律，不得泄露评审文件、评审情况和评审中获悉的国家秘密、商业秘密。</w:t>
      </w:r>
    </w:p>
    <w:p w14:paraId="1DAA0CEC">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22.成交结果公告</w:t>
      </w:r>
    </w:p>
    <w:p w14:paraId="3B304F4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22.1磋商结束后，</w:t>
      </w:r>
      <w:r>
        <w:rPr>
          <w:rFonts w:hint="eastAsia" w:ascii="宋体" w:hAnsi="宋体" w:eastAsia="宋体" w:cs="宋体"/>
          <w:color w:val="auto"/>
          <w:sz w:val="24"/>
          <w:highlight w:val="none"/>
          <w:lang w:val="en-US" w:eastAsia="zh-CN"/>
        </w:rPr>
        <w:t>采购人及</w:t>
      </w:r>
      <w:r>
        <w:rPr>
          <w:rFonts w:hint="eastAsia" w:ascii="宋体" w:hAnsi="宋体" w:eastAsia="宋体" w:cs="宋体"/>
          <w:color w:val="auto"/>
          <w:sz w:val="24"/>
          <w:highlight w:val="none"/>
        </w:rPr>
        <w:t>采购代理机构将在</w:t>
      </w:r>
      <w:r>
        <w:rPr>
          <w:rFonts w:hint="eastAsia" w:ascii="宋体" w:hAnsi="宋体" w:eastAsia="宋体" w:cs="宋体"/>
          <w:color w:val="auto"/>
          <w:sz w:val="24"/>
          <w:highlight w:val="none"/>
          <w:lang w:val="en-US" w:eastAsia="zh-CN"/>
        </w:rPr>
        <w:t>六安市水利局</w:t>
      </w:r>
      <w:r>
        <w:rPr>
          <w:rFonts w:hint="eastAsia" w:ascii="宋体" w:hAnsi="宋体" w:eastAsia="宋体" w:cs="宋体"/>
          <w:color w:val="auto"/>
          <w:sz w:val="24"/>
          <w:highlight w:val="none"/>
        </w:rPr>
        <w:t>（https://slj.luan.gov.cn/）</w:t>
      </w:r>
      <w:r>
        <w:rPr>
          <w:rFonts w:hint="eastAsia" w:ascii="宋体" w:hAnsi="宋体" w:eastAsia="宋体" w:cs="宋体"/>
          <w:color w:val="auto"/>
          <w:sz w:val="24"/>
          <w:highlight w:val="none"/>
          <w:lang w:val="en-US" w:eastAsia="zh-CN"/>
        </w:rPr>
        <w:t>网站</w:t>
      </w:r>
      <w:r>
        <w:rPr>
          <w:rFonts w:hint="eastAsia" w:ascii="宋体" w:hAnsi="宋体" w:eastAsia="宋体" w:cs="宋体"/>
          <w:color w:val="auto"/>
          <w:sz w:val="24"/>
          <w:highlight w:val="none"/>
        </w:rPr>
        <w:t>上发布成交结果公告。</w:t>
      </w:r>
    </w:p>
    <w:p w14:paraId="7F8C2F5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22.2成交结果公告内容应当包括采购人及其委托的采购代理机构的名称、地址、联系方式，项目名称和项目编号，成交供应商名称、地址和成交金额，主要成交标的的名称、规格型号、数量、单价、服务要求，成交结果公告期限以及</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中约定进行公告的内容。</w:t>
      </w:r>
    </w:p>
    <w:p w14:paraId="07D92E8C">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23.成交通知书</w:t>
      </w:r>
    </w:p>
    <w:p w14:paraId="09758E9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23.1采购代理机构发布成交结果公告的同时以</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规定的形式向成交供应商发出成交通知书。</w:t>
      </w:r>
    </w:p>
    <w:p w14:paraId="27D7E82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23.2成交通知书对采购人和成交供应商具有同等法律效力。成交通知书发出以后，采购人改变成交结果或者成交供应商放弃成交资格，应当承担相应的法律责任。</w:t>
      </w:r>
    </w:p>
    <w:p w14:paraId="2519404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23.3成交通知书是合同的组成部分。</w:t>
      </w:r>
    </w:p>
    <w:p w14:paraId="0EB8C9B0">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24.告知磋商结果</w:t>
      </w:r>
    </w:p>
    <w:p w14:paraId="7B8BCC0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24.1在公告成交结果的同时，采购代理机构同时以</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规定的形式告知未成交供应商本人的评审得分和排序。</w:t>
      </w:r>
    </w:p>
    <w:p w14:paraId="110E258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24.2采购代理机构对未成交的供应商不做未成交原因的解释。</w:t>
      </w:r>
    </w:p>
    <w:p w14:paraId="772E2779">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25.履约保证金</w:t>
      </w:r>
    </w:p>
    <w:p w14:paraId="6C1834C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25.1成交供应商应按照</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规定缴纳履约保证金。</w:t>
      </w:r>
    </w:p>
    <w:p w14:paraId="4966489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25.2如果成交供应商没有按照上述履约保证金的规定执行，将视为放弃成交资格。在此情况下，采购人可确定下一成交候选供应商为成交供应商，也可以重新开展采购活动。</w:t>
      </w:r>
    </w:p>
    <w:p w14:paraId="42DB8785">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26.代理费用</w:t>
      </w:r>
    </w:p>
    <w:p w14:paraId="44602C6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26.1本项目代理费用的收取按</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的规定执行。</w:t>
      </w:r>
    </w:p>
    <w:p w14:paraId="576EFF7A">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27.签订合同</w:t>
      </w:r>
    </w:p>
    <w:p w14:paraId="320FDA8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27.1</w:t>
      </w:r>
      <w:r>
        <w:rPr>
          <w:rFonts w:hint="eastAsia" w:ascii="宋体" w:hAnsi="宋体" w:eastAsia="宋体" w:cs="宋体"/>
          <w:color w:val="auto"/>
          <w:sz w:val="24"/>
          <w:szCs w:val="24"/>
          <w:highlight w:val="none"/>
        </w:rPr>
        <w:t>采购人与成交供应商应当按照</w:t>
      </w:r>
      <w:r>
        <w:rPr>
          <w:rFonts w:hint="eastAsia" w:ascii="宋体" w:hAnsi="宋体" w:eastAsia="宋体" w:cs="宋体"/>
          <w:color w:val="auto"/>
          <w:sz w:val="24"/>
          <w:szCs w:val="24"/>
          <w:highlight w:val="none"/>
          <w:u w:val="single"/>
        </w:rPr>
        <w:t>供应商须知前附表</w:t>
      </w:r>
      <w:r>
        <w:rPr>
          <w:rFonts w:hint="eastAsia" w:ascii="宋体" w:hAnsi="宋体" w:eastAsia="宋体" w:cs="宋体"/>
          <w:color w:val="auto"/>
          <w:sz w:val="24"/>
          <w:szCs w:val="24"/>
          <w:highlight w:val="none"/>
        </w:rPr>
        <w:t>规定的时间内完成政府采购合同签订及合同公告。</w:t>
      </w:r>
    </w:p>
    <w:p w14:paraId="1F73EB1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27.2磋商文件、成交供应商的响应文件及其澄清文件等，均为签订合同的依据。</w:t>
      </w:r>
    </w:p>
    <w:p w14:paraId="7A6B300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27.3成交供应商拒绝与采购人签订合同的，采购人可以按照评审报告推荐的成交候选供应商名单排序，确定下一成交候选供应商为成交供应商，也可以重新开展采购活动。成交供应商拒绝签订政府采购合同的不得参加对该项目重新开展的采购活动。</w:t>
      </w:r>
    </w:p>
    <w:p w14:paraId="1CCA79AE">
      <w:pPr>
        <w:spacing w:line="360" w:lineRule="auto"/>
        <w:ind w:firstLine="470" w:firstLineChars="196"/>
        <w:rPr>
          <w:rFonts w:hint="eastAsia" w:ascii="宋体" w:hAnsi="宋体" w:eastAsia="宋体" w:cs="宋体"/>
          <w:color w:val="auto"/>
          <w:sz w:val="24"/>
          <w:highlight w:val="none"/>
        </w:rPr>
      </w:pPr>
      <w:bookmarkStart w:id="89" w:name="_Hlk60264926"/>
      <w:r>
        <w:rPr>
          <w:rFonts w:hint="eastAsia" w:ascii="宋体" w:hAnsi="宋体" w:eastAsia="宋体" w:cs="宋体"/>
          <w:color w:val="auto"/>
          <w:sz w:val="24"/>
          <w:highlight w:val="none"/>
        </w:rPr>
        <w:t>27.4依据《政府采购促进中小企业发展管理办法》（财库〔2020〕46号）规定享受扶持政策获得政府采购合同的，小微企业不得将合同分包给大中型企业，中型企业不得将合同分包给大型企业。</w:t>
      </w:r>
      <w:bookmarkEnd w:id="89"/>
    </w:p>
    <w:p w14:paraId="45ED967B">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28.廉洁自律规定</w:t>
      </w:r>
    </w:p>
    <w:p w14:paraId="16C699D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28.1采购代理机构工作人员不得以不正当手段获取政府采购代理业务，不得与采购人、供应商恶意串通。</w:t>
      </w:r>
    </w:p>
    <w:p w14:paraId="7945778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28.2采购代理机构工作人员不得接受采购人或者供应商组织的宴请、旅游、娱乐，不得收受礼品、现金、有价证券等，不得向采购人或者供应商报销应当由个人承担的费用。</w:t>
      </w:r>
    </w:p>
    <w:p w14:paraId="06EB7F41">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29.质疑的提出与接收</w:t>
      </w:r>
    </w:p>
    <w:p w14:paraId="6E58A76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29.1供应商认为磋商文件、采购过程和成交结果使自己的权益受到损害的，可以在知道或者应知其权益受到损害之日起七个工作日内，以书面形式向采购人或其委托的采购代理机构提出质疑。</w:t>
      </w:r>
    </w:p>
    <w:p w14:paraId="6D0E36A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29.2质疑供应商应按照财政部制定的《政府采购质疑函范本》格式（详见磋商文件）和《政府采购质疑和投诉办法》的要求，在法定质疑期内以书面形式提出质疑，超出法定质疑期提交的质疑将被拒绝。针对同一采购程序环节的质疑应一次性提出。</w:t>
      </w:r>
    </w:p>
    <w:p w14:paraId="37E2C99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29.3质疑函</w:t>
      </w:r>
      <w:r>
        <w:rPr>
          <w:rFonts w:hint="eastAsia" w:ascii="宋体" w:hAnsi="宋体" w:eastAsia="宋体" w:cs="宋体"/>
          <w:color w:val="auto"/>
          <w:sz w:val="24"/>
          <w:highlight w:val="none"/>
          <w:lang w:val="en-US" w:eastAsia="zh-CN"/>
        </w:rPr>
        <w:t>递交方式</w:t>
      </w:r>
      <w:r>
        <w:rPr>
          <w:rFonts w:hint="eastAsia" w:ascii="宋体" w:hAnsi="宋体" w:eastAsia="宋体" w:cs="宋体"/>
          <w:color w:val="auto"/>
          <w:sz w:val="24"/>
          <w:highlight w:val="none"/>
        </w:rPr>
        <w:t>见</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w:t>
      </w:r>
    </w:p>
    <w:p w14:paraId="2C49304E">
      <w:pPr>
        <w:spacing w:line="360" w:lineRule="auto"/>
        <w:ind w:firstLine="437"/>
        <w:outlineLvl w:val="2"/>
        <w:rPr>
          <w:rFonts w:hint="eastAsia" w:ascii="宋体" w:hAnsi="宋体" w:eastAsia="宋体" w:cs="宋体"/>
          <w:b/>
          <w:color w:val="auto"/>
          <w:sz w:val="28"/>
          <w:highlight w:val="none"/>
        </w:rPr>
      </w:pPr>
      <w:r>
        <w:rPr>
          <w:rFonts w:hint="eastAsia" w:ascii="宋体" w:hAnsi="宋体" w:eastAsia="宋体" w:cs="宋体"/>
          <w:color w:val="auto"/>
          <w:sz w:val="24"/>
          <w:highlight w:val="none"/>
        </w:rPr>
        <w:br w:type="page"/>
      </w:r>
    </w:p>
    <w:p w14:paraId="27FDFBD7">
      <w:pPr>
        <w:spacing w:line="360" w:lineRule="auto"/>
        <w:jc w:val="center"/>
        <w:outlineLvl w:val="0"/>
        <w:rPr>
          <w:rFonts w:hint="eastAsia" w:ascii="宋体" w:hAnsi="宋体" w:eastAsia="宋体" w:cs="宋体"/>
          <w:b/>
          <w:color w:val="auto"/>
          <w:sz w:val="28"/>
          <w:highlight w:val="none"/>
        </w:rPr>
      </w:pPr>
      <w:bookmarkStart w:id="90" w:name="_Toc19656"/>
      <w:r>
        <w:rPr>
          <w:rFonts w:hint="eastAsia" w:ascii="宋体" w:hAnsi="宋体" w:eastAsia="宋体" w:cs="宋体"/>
          <w:b/>
          <w:color w:val="auto"/>
          <w:sz w:val="28"/>
          <w:highlight w:val="none"/>
        </w:rPr>
        <w:t>第三章  采购需求</w:t>
      </w:r>
      <w:bookmarkEnd w:id="90"/>
    </w:p>
    <w:p w14:paraId="52196C25">
      <w:pPr>
        <w:spacing w:line="360" w:lineRule="auto"/>
        <w:ind w:firstLine="437"/>
        <w:outlineLvl w:val="1"/>
        <w:rPr>
          <w:rFonts w:hint="eastAsia" w:ascii="宋体" w:hAnsi="宋体" w:eastAsia="宋体" w:cs="宋体"/>
          <w:b/>
          <w:color w:val="auto"/>
          <w:sz w:val="24"/>
          <w:szCs w:val="18"/>
          <w:highlight w:val="none"/>
        </w:rPr>
      </w:pPr>
      <w:bookmarkStart w:id="91" w:name="_Toc7699"/>
      <w:bookmarkStart w:id="92" w:name="_Toc1479"/>
      <w:bookmarkStart w:id="93" w:name="_Toc26349"/>
      <w:bookmarkStart w:id="94" w:name="_Toc7805"/>
      <w:r>
        <w:rPr>
          <w:rFonts w:hint="eastAsia" w:ascii="宋体" w:hAnsi="宋体" w:eastAsia="宋体" w:cs="宋体"/>
          <w:b/>
          <w:color w:val="auto"/>
          <w:sz w:val="24"/>
          <w:szCs w:val="18"/>
          <w:highlight w:val="none"/>
        </w:rPr>
        <w:t>一、采购需求前附表</w:t>
      </w:r>
      <w:bookmarkEnd w:id="91"/>
      <w:bookmarkEnd w:id="92"/>
      <w:bookmarkEnd w:id="93"/>
      <w:bookmarkEnd w:id="94"/>
    </w:p>
    <w:tbl>
      <w:tblPr>
        <w:tblStyle w:val="24"/>
        <w:tblW w:w="50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79" w:type="dxa"/>
          <w:bottom w:w="0" w:type="dxa"/>
          <w:right w:w="79" w:type="dxa"/>
        </w:tblCellMar>
      </w:tblPr>
      <w:tblGrid>
        <w:gridCol w:w="704"/>
        <w:gridCol w:w="1426"/>
        <w:gridCol w:w="7227"/>
      </w:tblGrid>
      <w:tr w14:paraId="0E3B0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87" w:hRule="atLeast"/>
          <w:jc w:val="center"/>
        </w:trPr>
        <w:tc>
          <w:tcPr>
            <w:tcW w:w="376" w:type="pct"/>
            <w:vAlign w:val="center"/>
          </w:tcPr>
          <w:p w14:paraId="14E48FB9">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宋体" w:hAnsi="宋体" w:eastAsia="宋体" w:cs="宋体"/>
                <w:b/>
                <w:color w:val="auto"/>
                <w:kern w:val="2"/>
                <w:highlight w:val="none"/>
              </w:rPr>
            </w:pPr>
            <w:bookmarkStart w:id="95" w:name="_Hlk16461016"/>
            <w:r>
              <w:rPr>
                <w:rFonts w:hint="eastAsia" w:ascii="宋体" w:hAnsi="宋体" w:eastAsia="宋体" w:cs="宋体"/>
                <w:b/>
                <w:color w:val="auto"/>
                <w:kern w:val="2"/>
                <w:highlight w:val="none"/>
              </w:rPr>
              <w:t>序号</w:t>
            </w:r>
          </w:p>
        </w:tc>
        <w:tc>
          <w:tcPr>
            <w:tcW w:w="762" w:type="pct"/>
            <w:vAlign w:val="center"/>
          </w:tcPr>
          <w:p w14:paraId="55720072">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textAlignment w:val="auto"/>
              <w:rPr>
                <w:rFonts w:hint="eastAsia" w:ascii="宋体" w:hAnsi="宋体" w:eastAsia="宋体" w:cs="宋体"/>
                <w:bCs w:val="0"/>
                <w:color w:val="auto"/>
                <w:sz w:val="24"/>
                <w:highlight w:val="none"/>
              </w:rPr>
            </w:pPr>
            <w:r>
              <w:rPr>
                <w:rFonts w:hint="eastAsia" w:ascii="宋体" w:hAnsi="宋体" w:eastAsia="宋体" w:cs="宋体"/>
                <w:bCs w:val="0"/>
                <w:color w:val="auto"/>
                <w:sz w:val="24"/>
                <w:highlight w:val="none"/>
              </w:rPr>
              <w:t>条款名称</w:t>
            </w:r>
          </w:p>
        </w:tc>
        <w:tc>
          <w:tcPr>
            <w:tcW w:w="3861" w:type="pct"/>
            <w:vAlign w:val="center"/>
          </w:tcPr>
          <w:p w14:paraId="02A42FED">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center"/>
              <w:textAlignment w:val="auto"/>
              <w:rPr>
                <w:rFonts w:hint="eastAsia" w:ascii="宋体" w:hAnsi="宋体" w:eastAsia="宋体" w:cs="宋体"/>
                <w:bCs w:val="0"/>
                <w:color w:val="auto"/>
                <w:sz w:val="24"/>
                <w:highlight w:val="none"/>
              </w:rPr>
            </w:pPr>
            <w:r>
              <w:rPr>
                <w:rFonts w:hint="eastAsia" w:ascii="宋体" w:hAnsi="宋体" w:eastAsia="宋体" w:cs="宋体"/>
                <w:bCs w:val="0"/>
                <w:color w:val="auto"/>
                <w:sz w:val="24"/>
                <w:highlight w:val="none"/>
              </w:rPr>
              <w:t>内容、说明与要求</w:t>
            </w:r>
          </w:p>
        </w:tc>
      </w:tr>
      <w:tr w14:paraId="01B70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376" w:type="pct"/>
            <w:vAlign w:val="center"/>
          </w:tcPr>
          <w:p w14:paraId="74B7BEEE">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1</w:t>
            </w:r>
          </w:p>
        </w:tc>
        <w:tc>
          <w:tcPr>
            <w:tcW w:w="762" w:type="pct"/>
            <w:vAlign w:val="center"/>
          </w:tcPr>
          <w:p w14:paraId="5CBD690D">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付款方式</w:t>
            </w:r>
          </w:p>
        </w:tc>
        <w:tc>
          <w:tcPr>
            <w:tcW w:w="3861" w:type="pct"/>
            <w:vAlign w:val="center"/>
          </w:tcPr>
          <w:p w14:paraId="703D467F">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合同签订后付</w:t>
            </w:r>
            <w:r>
              <w:rPr>
                <w:rFonts w:hint="eastAsia" w:ascii="宋体" w:hAnsi="宋体" w:eastAsia="宋体" w:cs="宋体"/>
                <w:b/>
                <w:bCs/>
                <w:color w:val="auto"/>
                <w:sz w:val="24"/>
                <w:highlight w:val="none"/>
                <w:lang w:val="en-US" w:eastAsia="zh-CN"/>
              </w:rPr>
              <w:t>4</w:t>
            </w:r>
            <w:r>
              <w:rPr>
                <w:rFonts w:hint="eastAsia" w:ascii="宋体" w:hAnsi="宋体" w:eastAsia="宋体" w:cs="宋体"/>
                <w:b/>
                <w:bCs/>
                <w:color w:val="auto"/>
                <w:sz w:val="24"/>
                <w:highlight w:val="none"/>
              </w:rPr>
              <w:t>0%预付款（供应商需提交等额的</w:t>
            </w:r>
            <w:r>
              <w:rPr>
                <w:rFonts w:hint="eastAsia" w:ascii="宋体" w:hAnsi="宋体" w:eastAsia="宋体" w:cs="宋体"/>
                <w:b/>
                <w:bCs/>
                <w:color w:val="auto"/>
                <w:sz w:val="24"/>
                <w:highlight w:val="none"/>
                <w:lang w:val="en-US" w:eastAsia="zh-CN"/>
              </w:rPr>
              <w:t>见索即付</w:t>
            </w:r>
            <w:r>
              <w:rPr>
                <w:rFonts w:hint="eastAsia" w:ascii="宋体" w:hAnsi="宋体" w:eastAsia="宋体" w:cs="宋体"/>
                <w:b/>
                <w:bCs/>
                <w:color w:val="auto"/>
                <w:sz w:val="24"/>
                <w:highlight w:val="none"/>
              </w:rPr>
              <w:t>预付款保函），</w:t>
            </w:r>
            <w:r>
              <w:rPr>
                <w:rFonts w:hint="eastAsia" w:ascii="宋体" w:hAnsi="宋体" w:eastAsia="宋体" w:cs="宋体"/>
                <w:b/>
                <w:bCs/>
                <w:color w:val="auto"/>
                <w:sz w:val="24"/>
                <w:highlight w:val="none"/>
                <w:lang w:val="en-US" w:eastAsia="zh-CN"/>
              </w:rPr>
              <w:t>验收合格后，付款至结算总价款的100%</w:t>
            </w:r>
            <w:r>
              <w:rPr>
                <w:rFonts w:hint="eastAsia" w:ascii="宋体" w:hAnsi="宋体" w:eastAsia="宋体" w:cs="宋体"/>
                <w:b/>
                <w:bCs/>
                <w:color w:val="auto"/>
                <w:sz w:val="24"/>
                <w:highlight w:val="none"/>
              </w:rPr>
              <w:t>（供应商需提交</w:t>
            </w:r>
            <w:r>
              <w:rPr>
                <w:rFonts w:hint="eastAsia" w:ascii="宋体" w:hAnsi="宋体" w:eastAsia="宋体" w:cs="宋体"/>
                <w:b/>
                <w:bCs/>
                <w:color w:val="auto"/>
                <w:sz w:val="24"/>
                <w:highlight w:val="none"/>
                <w:lang w:val="en-US" w:eastAsia="zh-CN"/>
              </w:rPr>
              <w:t>结算价款2%</w:t>
            </w:r>
            <w:r>
              <w:rPr>
                <w:rFonts w:hint="eastAsia" w:ascii="宋体" w:hAnsi="宋体" w:eastAsia="宋体" w:cs="宋体"/>
                <w:b/>
                <w:bCs/>
                <w:color w:val="auto"/>
                <w:sz w:val="24"/>
                <w:highlight w:val="none"/>
              </w:rPr>
              <w:t>的</w:t>
            </w:r>
            <w:r>
              <w:rPr>
                <w:rFonts w:hint="eastAsia" w:ascii="宋体" w:hAnsi="宋体" w:eastAsia="宋体" w:cs="宋体"/>
                <w:b/>
                <w:bCs/>
                <w:color w:val="auto"/>
                <w:sz w:val="24"/>
                <w:highlight w:val="none"/>
                <w:lang w:val="en-US" w:eastAsia="zh-CN"/>
              </w:rPr>
              <w:t>见索即付质保金</w:t>
            </w:r>
            <w:r>
              <w:rPr>
                <w:rFonts w:hint="eastAsia" w:ascii="宋体" w:hAnsi="宋体" w:eastAsia="宋体" w:cs="宋体"/>
                <w:b/>
                <w:bCs/>
                <w:color w:val="auto"/>
                <w:sz w:val="24"/>
                <w:highlight w:val="none"/>
              </w:rPr>
              <w:t>保函）；</w:t>
            </w:r>
          </w:p>
          <w:p w14:paraId="6678A396">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（供应商提交的响应文件中如有关于付款条件的表述与磋商文件规定不符，将被视为实质性不响应，将导致响应无效）</w:t>
            </w:r>
          </w:p>
        </w:tc>
      </w:tr>
      <w:tr w14:paraId="77DAA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88" w:hRule="atLeast"/>
          <w:jc w:val="center"/>
        </w:trPr>
        <w:tc>
          <w:tcPr>
            <w:tcW w:w="376" w:type="pct"/>
            <w:vAlign w:val="center"/>
          </w:tcPr>
          <w:p w14:paraId="4DF8282E">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2</w:t>
            </w:r>
          </w:p>
        </w:tc>
        <w:tc>
          <w:tcPr>
            <w:tcW w:w="762" w:type="pct"/>
            <w:vAlign w:val="center"/>
          </w:tcPr>
          <w:p w14:paraId="27F3C4F4">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服务地点</w:t>
            </w:r>
          </w:p>
        </w:tc>
        <w:tc>
          <w:tcPr>
            <w:tcW w:w="3861" w:type="pct"/>
            <w:vAlign w:val="center"/>
          </w:tcPr>
          <w:p w14:paraId="4DFEF5C1">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both"/>
              <w:textAlignment w:val="auto"/>
              <w:rPr>
                <w:rFonts w:hint="default"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lang w:val="en-US" w:eastAsia="zh-CN"/>
              </w:rPr>
              <w:t>六安市</w:t>
            </w:r>
          </w:p>
        </w:tc>
      </w:tr>
      <w:tr w14:paraId="374FB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61" w:hRule="atLeast"/>
          <w:jc w:val="center"/>
        </w:trPr>
        <w:tc>
          <w:tcPr>
            <w:tcW w:w="376" w:type="pct"/>
            <w:vAlign w:val="center"/>
          </w:tcPr>
          <w:p w14:paraId="3DC1367F">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3</w:t>
            </w:r>
          </w:p>
        </w:tc>
        <w:tc>
          <w:tcPr>
            <w:tcW w:w="762" w:type="pct"/>
            <w:vAlign w:val="center"/>
          </w:tcPr>
          <w:p w14:paraId="3A7E8D3D">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服务期限</w:t>
            </w:r>
          </w:p>
        </w:tc>
        <w:tc>
          <w:tcPr>
            <w:tcW w:w="3861" w:type="pct"/>
            <w:vAlign w:val="center"/>
          </w:tcPr>
          <w:p w14:paraId="45A713C7">
            <w:pPr>
              <w:pageBreakBefore w:val="0"/>
              <w:widowControl/>
              <w:kinsoku/>
              <w:wordWrap/>
              <w:overflowPunct/>
              <w:topLinePunct w:val="0"/>
              <w:autoSpaceDE/>
              <w:autoSpaceDN/>
              <w:bidi w:val="0"/>
              <w:adjustRightInd/>
              <w:snapToGrid/>
              <w:spacing w:line="560" w:lineRule="exact"/>
              <w:jc w:val="both"/>
              <w:textAlignment w:val="auto"/>
              <w:rPr>
                <w:rFonts w:hint="default" w:ascii="宋体" w:hAnsi="宋体" w:eastAsia="宋体" w:cs="宋体"/>
                <w:b w:val="0"/>
                <w:color w:val="auto"/>
                <w:sz w:val="24"/>
                <w:highlight w:val="none"/>
                <w:lang w:val="en-US" w:eastAsia="zh-CN"/>
              </w:rPr>
            </w:pPr>
            <w:r>
              <w:rPr>
                <w:rFonts w:hint="eastAsia" w:ascii="宋体" w:hAnsi="宋体" w:eastAsia="宋体" w:cs="宋体"/>
                <w:color w:val="auto"/>
                <w:sz w:val="24"/>
                <w:highlight w:val="none"/>
                <w:lang w:val="en-US" w:eastAsia="zh-CN"/>
              </w:rPr>
              <w:t>自合同签订之日起45日历天内完成完成返厂维修服务。</w:t>
            </w:r>
          </w:p>
        </w:tc>
      </w:tr>
      <w:tr w14:paraId="02650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376" w:type="pct"/>
            <w:vAlign w:val="center"/>
          </w:tcPr>
          <w:p w14:paraId="4B835E64">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4</w:t>
            </w:r>
          </w:p>
        </w:tc>
        <w:tc>
          <w:tcPr>
            <w:tcW w:w="762" w:type="pct"/>
            <w:vAlign w:val="center"/>
          </w:tcPr>
          <w:p w14:paraId="14C2A079">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本项目采购标的名称及所属行业</w:t>
            </w:r>
          </w:p>
        </w:tc>
        <w:tc>
          <w:tcPr>
            <w:tcW w:w="3861" w:type="pct"/>
            <w:vAlign w:val="center"/>
          </w:tcPr>
          <w:p w14:paraId="75CEDD1A">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标的名称：</w:t>
            </w:r>
            <w:r>
              <w:rPr>
                <w:rFonts w:hint="eastAsia" w:ascii="宋体" w:hAnsi="宋体" w:eastAsia="宋体" w:cs="宋体"/>
                <w:color w:val="auto"/>
                <w:sz w:val="24"/>
                <w:highlight w:val="none"/>
                <w:lang w:eastAsia="zh-CN"/>
              </w:rPr>
              <w:t>苏大堰排涝站水泵故障维修</w:t>
            </w:r>
          </w:p>
          <w:p w14:paraId="60968EAF">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b w:val="0"/>
                <w:color w:val="auto"/>
                <w:sz w:val="24"/>
                <w:highlight w:val="none"/>
                <w:u w:val="single"/>
              </w:rPr>
            </w:pPr>
            <w:r>
              <w:rPr>
                <w:rFonts w:hint="eastAsia" w:ascii="宋体" w:hAnsi="宋体" w:eastAsia="宋体" w:cs="宋体"/>
                <w:color w:val="auto"/>
                <w:sz w:val="24"/>
                <w:highlight w:val="none"/>
              </w:rPr>
              <w:t>所属行业：建筑业</w:t>
            </w:r>
          </w:p>
        </w:tc>
      </w:tr>
      <w:tr w14:paraId="31A38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376" w:type="pct"/>
            <w:vAlign w:val="center"/>
          </w:tcPr>
          <w:p w14:paraId="57D38E65">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5</w:t>
            </w:r>
          </w:p>
        </w:tc>
        <w:tc>
          <w:tcPr>
            <w:tcW w:w="762" w:type="pct"/>
            <w:vAlign w:val="center"/>
          </w:tcPr>
          <w:p w14:paraId="3BA9ED73">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w:t>
            </w:r>
          </w:p>
        </w:tc>
        <w:tc>
          <w:tcPr>
            <w:tcW w:w="3861" w:type="pct"/>
            <w:vAlign w:val="center"/>
          </w:tcPr>
          <w:p w14:paraId="2FB9748B">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both"/>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w:t>
            </w:r>
          </w:p>
        </w:tc>
      </w:tr>
    </w:tbl>
    <w:p w14:paraId="7E168E53">
      <w:pPr>
        <w:spacing w:line="360" w:lineRule="auto"/>
        <w:ind w:firstLine="437"/>
        <w:outlineLvl w:val="1"/>
        <w:rPr>
          <w:rFonts w:hint="eastAsia" w:ascii="宋体" w:hAnsi="宋体" w:eastAsia="宋体" w:cs="宋体"/>
          <w:b/>
          <w:color w:val="auto"/>
          <w:sz w:val="24"/>
          <w:szCs w:val="18"/>
          <w:highlight w:val="none"/>
        </w:rPr>
      </w:pPr>
      <w:bookmarkStart w:id="96" w:name="_Toc8308"/>
      <w:bookmarkStart w:id="97" w:name="_Toc23116"/>
      <w:bookmarkStart w:id="98" w:name="_Toc25144"/>
    </w:p>
    <w:p w14:paraId="3307E865">
      <w:pPr>
        <w:spacing w:line="360" w:lineRule="auto"/>
        <w:ind w:firstLine="437"/>
        <w:outlineLvl w:val="1"/>
        <w:rPr>
          <w:rFonts w:hint="eastAsia" w:ascii="宋体" w:hAnsi="宋体" w:eastAsia="宋体" w:cs="宋体"/>
          <w:b/>
          <w:color w:val="auto"/>
          <w:sz w:val="24"/>
          <w:szCs w:val="18"/>
          <w:highlight w:val="none"/>
          <w:lang w:eastAsia="zh-CN"/>
        </w:rPr>
      </w:pPr>
      <w:bookmarkStart w:id="99" w:name="_Toc3257"/>
      <w:r>
        <w:rPr>
          <w:rFonts w:hint="eastAsia" w:ascii="宋体" w:hAnsi="宋体" w:eastAsia="宋体" w:cs="宋体"/>
          <w:b/>
          <w:color w:val="auto"/>
          <w:sz w:val="24"/>
          <w:szCs w:val="18"/>
          <w:highlight w:val="none"/>
        </w:rPr>
        <w:t>二、</w:t>
      </w:r>
      <w:bookmarkEnd w:id="96"/>
      <w:bookmarkEnd w:id="97"/>
      <w:bookmarkEnd w:id="98"/>
      <w:bookmarkEnd w:id="99"/>
      <w:r>
        <w:rPr>
          <w:rFonts w:hint="eastAsia" w:ascii="宋体" w:hAnsi="宋体" w:eastAsia="宋体" w:cs="宋体"/>
          <w:b/>
          <w:color w:val="auto"/>
          <w:sz w:val="24"/>
          <w:szCs w:val="18"/>
          <w:highlight w:val="none"/>
          <w:lang w:val="en-US" w:eastAsia="zh-CN"/>
        </w:rPr>
        <w:t>项目概况</w:t>
      </w:r>
    </w:p>
    <w:p w14:paraId="113ACCE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highlight w:val="none"/>
          <w:lang w:val="en-US" w:eastAsia="zh-CN"/>
        </w:rPr>
      </w:pPr>
      <w:bookmarkStart w:id="100" w:name="_Toc8586"/>
      <w:bookmarkStart w:id="101" w:name="_Toc21757"/>
      <w:bookmarkStart w:id="102" w:name="_Toc16068"/>
      <w:bookmarkStart w:id="103" w:name="_Toc17736"/>
      <w:r>
        <w:rPr>
          <w:rFonts w:hint="eastAsia" w:ascii="宋体" w:hAnsi="宋体"/>
          <w:color w:val="auto"/>
          <w:sz w:val="24"/>
          <w:szCs w:val="24"/>
          <w:highlight w:val="none"/>
          <w:lang w:val="en-US" w:eastAsia="zh-CN"/>
        </w:rPr>
        <w:t>苏大堰排涝站6号、7号水泵机组故障，水泵监测控制器报警提示水泵内腔漏水、线盒漏水。为保障水泵运行安全，对苏大堰排涝站2台500KW/10KV潜水轴流泵返厂维修，彻底消除水泵运行隐患。</w:t>
      </w:r>
    </w:p>
    <w:p w14:paraId="65097DE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auto"/>
          <w:sz w:val="28"/>
          <w:szCs w:val="28"/>
          <w:highlight w:val="none"/>
          <w:lang w:val="en-US" w:eastAsia="zh-CN"/>
        </w:rPr>
      </w:pPr>
    </w:p>
    <w:p w14:paraId="3B342FC0">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color w:val="auto"/>
          <w:sz w:val="24"/>
          <w:szCs w:val="18"/>
          <w:highlight w:val="none"/>
        </w:rPr>
        <w:t>三、</w:t>
      </w:r>
      <w:bookmarkEnd w:id="100"/>
      <w:bookmarkEnd w:id="101"/>
      <w:bookmarkEnd w:id="102"/>
      <w:bookmarkEnd w:id="103"/>
      <w:r>
        <w:rPr>
          <w:rFonts w:hint="eastAsia" w:ascii="宋体" w:hAnsi="宋体" w:eastAsia="宋体" w:cs="宋体"/>
          <w:b/>
          <w:bCs/>
          <w:color w:val="auto"/>
          <w:sz w:val="24"/>
          <w:szCs w:val="24"/>
          <w:highlight w:val="none"/>
          <w:lang w:val="en-US" w:eastAsia="zh-CN"/>
        </w:rPr>
        <w:t>采购内容</w:t>
      </w:r>
    </w:p>
    <w:p w14:paraId="39DA2FF0">
      <w:pPr>
        <w:keepNext w:val="0"/>
        <w:keepLines w:val="0"/>
        <w:pageBreakBefore w:val="0"/>
        <w:kinsoku/>
        <w:wordWrap/>
        <w:overflowPunct/>
        <w:topLinePunct w:val="0"/>
        <w:autoSpaceDE/>
        <w:autoSpaceDN/>
        <w:bidi w:val="0"/>
        <w:adjustRightInd/>
        <w:snapToGrid/>
        <w:spacing w:line="360" w:lineRule="auto"/>
        <w:ind w:firstLine="241" w:firstLineChars="100"/>
        <w:textAlignment w:val="auto"/>
        <w:rPr>
          <w:rFonts w:hint="eastAsia" w:ascii="宋体" w:hAnsi="宋体" w:cs="宋体"/>
          <w:b/>
          <w:bCs w:val="0"/>
          <w:color w:val="auto"/>
          <w:sz w:val="24"/>
          <w:szCs w:val="24"/>
          <w:highlight w:val="none"/>
          <w:lang w:eastAsia="zh-CN"/>
        </w:rPr>
      </w:pPr>
      <w:r>
        <w:rPr>
          <w:rFonts w:hint="eastAsia" w:ascii="宋体" w:hAnsi="宋体" w:cs="宋体"/>
          <w:b/>
          <w:bCs w:val="0"/>
          <w:color w:val="auto"/>
          <w:sz w:val="24"/>
          <w:szCs w:val="24"/>
          <w:highlight w:val="none"/>
          <w:lang w:val="en-US" w:eastAsia="zh-CN"/>
        </w:rPr>
        <w:t>1、</w:t>
      </w:r>
      <w:r>
        <w:rPr>
          <w:rFonts w:hint="eastAsia" w:ascii="宋体" w:hAnsi="宋体" w:cs="宋体"/>
          <w:b/>
          <w:bCs w:val="0"/>
          <w:color w:val="auto"/>
          <w:sz w:val="24"/>
          <w:szCs w:val="24"/>
          <w:highlight w:val="none"/>
        </w:rPr>
        <w:t>返厂维</w:t>
      </w:r>
      <w:r>
        <w:rPr>
          <w:rFonts w:hint="eastAsia" w:ascii="宋体" w:hAnsi="宋体" w:cs="宋体"/>
          <w:b/>
          <w:bCs w:val="0"/>
          <w:color w:val="auto"/>
          <w:sz w:val="24"/>
          <w:szCs w:val="24"/>
          <w:highlight w:val="none"/>
          <w:lang w:val="en-US" w:eastAsia="zh-CN"/>
        </w:rPr>
        <w:t>修</w:t>
      </w:r>
      <w:r>
        <w:rPr>
          <w:rFonts w:hint="eastAsia" w:ascii="宋体" w:hAnsi="宋体" w:cs="宋体"/>
          <w:b/>
          <w:bCs w:val="0"/>
          <w:color w:val="auto"/>
          <w:sz w:val="24"/>
          <w:szCs w:val="24"/>
          <w:highlight w:val="none"/>
        </w:rPr>
        <w:t>内容</w:t>
      </w:r>
      <w:r>
        <w:rPr>
          <w:rFonts w:hint="eastAsia" w:ascii="宋体" w:hAnsi="宋体" w:cs="宋体"/>
          <w:b/>
          <w:bCs w:val="0"/>
          <w:color w:val="auto"/>
          <w:sz w:val="24"/>
          <w:szCs w:val="24"/>
          <w:highlight w:val="none"/>
          <w:lang w:eastAsia="zh-CN"/>
        </w:rPr>
        <w:t>：</w:t>
      </w:r>
    </w:p>
    <w:p w14:paraId="12EEEB85">
      <w:pPr>
        <w:pStyle w:val="2"/>
        <w:ind w:left="0" w:leftChars="0" w:firstLine="0" w:firstLineChars="0"/>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lang w:val="en-US" w:eastAsia="zh-CN"/>
        </w:rPr>
        <w:t>1</w:t>
      </w:r>
      <w:r>
        <w:rPr>
          <w:rFonts w:hint="eastAsia" w:ascii="宋体" w:hAnsi="宋体" w:eastAsia="宋体" w:cs="宋体"/>
          <w:b w:val="0"/>
          <w:bCs/>
          <w:color w:val="auto"/>
          <w:kern w:val="2"/>
          <w:sz w:val="24"/>
          <w:szCs w:val="24"/>
          <w:highlight w:val="none"/>
          <w:lang w:val="en-US" w:eastAsia="zh-CN" w:bidi="ar-SA"/>
        </w:rPr>
        <w:t>）现场设备拆除、起吊、运输、回装与调试；</w:t>
      </w:r>
    </w:p>
    <w:p w14:paraId="74086E5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电机拆卸、水泵拆卸解体,清洗，去锈，防锈处理，底漆，零部件检测并记录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按《潜水电泵检查维修手册》执行；</w:t>
      </w:r>
    </w:p>
    <w:p w14:paraId="4108619A">
      <w:pPr>
        <w:pStyle w:val="2"/>
        <w:ind w:left="0" w:leftChars="0" w:firstLine="0" w:firstLineChars="0"/>
        <w:rPr>
          <w:rFonts w:hint="eastAsia"/>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电机绝缘检测，并出具修理前和经烘干后真空压力浸漆后的检测报告；</w:t>
      </w:r>
    </w:p>
    <w:p w14:paraId="16D7991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清理电机定子，并进行烘干后真空压力浸漆</w:t>
      </w:r>
      <w:r>
        <w:rPr>
          <w:rFonts w:hint="eastAsia" w:ascii="宋体" w:hAnsi="宋体" w:eastAsia="宋体" w:cs="宋体"/>
          <w:color w:val="auto"/>
          <w:sz w:val="24"/>
          <w:szCs w:val="24"/>
          <w:highlight w:val="none"/>
          <w:lang w:eastAsia="zh-CN"/>
        </w:rPr>
        <w:t>（清洗油污、去潮后检查绕组的绝缘电阻；采用真空压力浸渍工艺浸漆；更换各项传感元件）</w:t>
      </w:r>
      <w:r>
        <w:rPr>
          <w:rFonts w:hint="eastAsia" w:ascii="宋体" w:hAnsi="宋体" w:eastAsia="宋体" w:cs="宋体"/>
          <w:color w:val="auto"/>
          <w:sz w:val="24"/>
          <w:szCs w:val="24"/>
          <w:highlight w:val="none"/>
        </w:rPr>
        <w:t>；</w:t>
      </w:r>
    </w:p>
    <w:p w14:paraId="76382D9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转子清理、烘干及转子断排检查、轴挡检查、校验转子平衡；</w:t>
      </w:r>
    </w:p>
    <w:p w14:paraId="391E09A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更换动力电缆密封、信号线密封（皮碗密封）；如电缆及信号线损坏需更换；</w:t>
      </w:r>
    </w:p>
    <w:p w14:paraId="608F54FF">
      <w:pPr>
        <w:pStyle w:val="2"/>
        <w:ind w:left="0" w:leftChars="0" w:firstLine="0" w:firstLineChars="0"/>
        <w:rPr>
          <w:rFonts w:hint="eastAsia" w:eastAsia="宋体"/>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eastAsia="zh-CN"/>
        </w:rPr>
        <w:t>）更换水泵保护监测探头及元件；</w:t>
      </w:r>
    </w:p>
    <w:p w14:paraId="5C9C233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更换轴承，材质采用</w:t>
      </w:r>
      <w:r>
        <w:rPr>
          <w:rFonts w:hint="eastAsia" w:ascii="宋体" w:hAnsi="宋体" w:eastAsia="宋体" w:cs="宋体"/>
          <w:color w:val="auto"/>
          <w:sz w:val="24"/>
          <w:szCs w:val="24"/>
          <w:highlight w:val="none"/>
          <w:lang w:val="en-US" w:eastAsia="zh-CN"/>
        </w:rPr>
        <w:t>国产优质品牌</w:t>
      </w:r>
      <w:r>
        <w:rPr>
          <w:rFonts w:hint="eastAsia" w:ascii="宋体" w:hAnsi="宋体" w:eastAsia="宋体" w:cs="宋体"/>
          <w:color w:val="auto"/>
          <w:sz w:val="24"/>
          <w:szCs w:val="24"/>
          <w:highlight w:val="none"/>
        </w:rPr>
        <w:t>，如原泵是进口轴承的必须更换成同统一品牌的进口轴承；</w:t>
      </w:r>
    </w:p>
    <w:p w14:paraId="68665BA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更换所有静态密封、骨架油封</w:t>
      </w:r>
      <w:r>
        <w:rPr>
          <w:rFonts w:hint="eastAsia" w:ascii="宋体" w:hAnsi="宋体" w:eastAsia="宋体" w:cs="宋体"/>
          <w:color w:val="auto"/>
          <w:sz w:val="24"/>
          <w:szCs w:val="24"/>
          <w:highlight w:val="none"/>
          <w:lang w:eastAsia="zh-CN"/>
        </w:rPr>
        <w:t>，水泵部件检测修复(叶 轮、导叶体、吸水室)</w:t>
      </w:r>
      <w:r>
        <w:rPr>
          <w:rFonts w:hint="eastAsia" w:ascii="宋体" w:hAnsi="宋体" w:eastAsia="宋体" w:cs="宋体"/>
          <w:color w:val="auto"/>
          <w:sz w:val="24"/>
          <w:szCs w:val="24"/>
          <w:highlight w:val="none"/>
        </w:rPr>
        <w:t>；</w:t>
      </w:r>
    </w:p>
    <w:p w14:paraId="71FF4E8C">
      <w:pPr>
        <w:pStyle w:val="2"/>
        <w:ind w:left="0" w:leftChars="0" w:firstLine="0" w:firstLineChars="0"/>
        <w:rPr>
          <w:rFonts w:hint="eastAsia" w:eastAsia="宋体"/>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lang w:eastAsia="zh-CN"/>
        </w:rPr>
        <w:t>）更换不锈钢紧固件；</w:t>
      </w:r>
    </w:p>
    <w:p w14:paraId="48F03A0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更换机械密封（三套），在运行条件下能承受所有轴向和径向负荷，使用寿命大于10000小时；原泵是进口机械密封的必须更换成同统一品牌的进口机械密封；</w:t>
      </w:r>
    </w:p>
    <w:p w14:paraId="6A276DCA">
      <w:pPr>
        <w:keepNext w:val="0"/>
        <w:keepLines w:val="0"/>
        <w:pageBreakBefore w:val="0"/>
        <w:kinsoku/>
        <w:wordWrap/>
        <w:overflowPunct/>
        <w:topLinePunct w:val="0"/>
        <w:autoSpaceDE/>
        <w:autoSpaceDN/>
        <w:bidi w:val="0"/>
        <w:adjustRightInd/>
        <w:snapToGrid/>
        <w:spacing w:line="360" w:lineRule="auto"/>
        <w:textAlignment w:val="auto"/>
        <w:rPr>
          <w:rFonts w:hint="eastAsia"/>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更换润滑油、润滑脂；</w:t>
      </w:r>
    </w:p>
    <w:p w14:paraId="4FA1094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13）</w:t>
      </w:r>
      <w:r>
        <w:rPr>
          <w:rFonts w:hint="eastAsia" w:ascii="宋体" w:hAnsi="宋体" w:eastAsia="宋体" w:cs="宋体"/>
          <w:color w:val="auto"/>
          <w:sz w:val="24"/>
          <w:szCs w:val="24"/>
          <w:highlight w:val="none"/>
        </w:rPr>
        <w:t>电机转子导条探伤检査、转子、叶轮动平衡试验；</w:t>
      </w:r>
    </w:p>
    <w:p w14:paraId="185B0B6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14）</w:t>
      </w:r>
      <w:r>
        <w:rPr>
          <w:rFonts w:hint="eastAsia" w:ascii="宋体" w:hAnsi="宋体" w:eastAsia="宋体" w:cs="宋体"/>
          <w:color w:val="auto"/>
          <w:kern w:val="0"/>
          <w:sz w:val="24"/>
          <w:szCs w:val="24"/>
          <w:highlight w:val="none"/>
        </w:rPr>
        <w:t>潜水电机定子耐压试验</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按《潜水电泵检查维修手册》执行；</w:t>
      </w:r>
    </w:p>
    <w:p w14:paraId="61730EE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15）</w:t>
      </w:r>
      <w:r>
        <w:rPr>
          <w:rFonts w:hint="eastAsia" w:ascii="宋体" w:hAnsi="宋体" w:eastAsia="宋体" w:cs="宋体"/>
          <w:color w:val="auto"/>
          <w:kern w:val="0"/>
          <w:sz w:val="24"/>
          <w:szCs w:val="24"/>
          <w:highlight w:val="none"/>
        </w:rPr>
        <w:t>整机装配及潜水电机气密试验</w:t>
      </w:r>
      <w:r>
        <w:rPr>
          <w:rFonts w:hint="eastAsia" w:ascii="宋体" w:hAnsi="宋体" w:eastAsia="宋体" w:cs="宋体"/>
          <w:color w:val="auto"/>
          <w:kern w:val="0"/>
          <w:sz w:val="24"/>
          <w:szCs w:val="24"/>
          <w:highlight w:val="none"/>
          <w:lang w:eastAsia="zh-CN"/>
        </w:rPr>
        <w:t>，按“潜水电机工艺过程流程”要求组装电泵,按规定做气密试验</w:t>
      </w:r>
      <w:r>
        <w:rPr>
          <w:rFonts w:hint="eastAsia" w:ascii="宋体" w:hAnsi="宋体" w:eastAsia="宋体" w:cs="宋体"/>
          <w:color w:val="auto"/>
          <w:kern w:val="0"/>
          <w:sz w:val="24"/>
          <w:szCs w:val="24"/>
          <w:highlight w:val="none"/>
        </w:rPr>
        <w:t>；</w:t>
      </w:r>
    </w:p>
    <w:p w14:paraId="2C6E07A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16）</w:t>
      </w:r>
      <w:r>
        <w:rPr>
          <w:rFonts w:hint="eastAsia" w:ascii="宋体" w:hAnsi="宋体" w:eastAsia="宋体" w:cs="宋体"/>
          <w:color w:val="auto"/>
          <w:sz w:val="24"/>
          <w:szCs w:val="24"/>
          <w:highlight w:val="none"/>
        </w:rPr>
        <w:t>水泵整体全面防腐处理及全面油漆（油漆表面要求平整光滑美观；与原厂家油漆一致）。</w:t>
      </w:r>
    </w:p>
    <w:p w14:paraId="6822A44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17）</w:t>
      </w:r>
      <w:r>
        <w:rPr>
          <w:rFonts w:hint="eastAsia" w:ascii="宋体" w:hAnsi="宋体" w:eastAsia="宋体" w:cs="宋体"/>
          <w:color w:val="auto"/>
          <w:kern w:val="0"/>
          <w:sz w:val="24"/>
          <w:szCs w:val="24"/>
          <w:highlight w:val="none"/>
        </w:rPr>
        <w:t>潜水泵整机试验(做各类检测试验达到国家标准)；并出具检测报告，各项数据应符合原整机出厂标准；</w:t>
      </w:r>
    </w:p>
    <w:p w14:paraId="616CCF8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18</w:t>
      </w:r>
      <w:r>
        <w:rPr>
          <w:rFonts w:hint="eastAsia" w:ascii="宋体" w:hAnsi="宋体" w:eastAsia="宋体" w:cs="宋体"/>
          <w:color w:val="auto"/>
          <w:kern w:val="0"/>
          <w:sz w:val="24"/>
          <w:szCs w:val="24"/>
          <w:highlight w:val="none"/>
          <w:lang w:eastAsia="zh-CN"/>
        </w:rPr>
        <w:t>）检查电机上下端盖、轴承档、轴承座、机封座等（检测同心度、公差尺寸，对缺陷进行修复）；</w:t>
      </w:r>
    </w:p>
    <w:p w14:paraId="4197C33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19</w:t>
      </w:r>
      <w:r>
        <w:rPr>
          <w:rFonts w:hint="eastAsia" w:ascii="宋体" w:hAnsi="宋体" w:eastAsia="宋体" w:cs="宋体"/>
          <w:color w:val="auto"/>
          <w:kern w:val="0"/>
          <w:sz w:val="24"/>
          <w:szCs w:val="24"/>
          <w:highlight w:val="none"/>
          <w:lang w:eastAsia="zh-CN"/>
        </w:rPr>
        <w:t>）检查水力部件（主轴检查修复），将泵段部分拆开，检查叶片、叶轮外壳内衬、叶轮毂的汽蚀情况，对中度或以上汽蚀，按汽蚀损坏处理方案处理；</w:t>
      </w:r>
    </w:p>
    <w:p w14:paraId="53480F3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20）水泵房大门拆除及安装；</w:t>
      </w:r>
    </w:p>
    <w:p w14:paraId="7573972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21）</w:t>
      </w:r>
      <w:r>
        <w:rPr>
          <w:rFonts w:hint="eastAsia" w:ascii="宋体" w:hAnsi="宋体" w:eastAsia="宋体" w:cs="宋体"/>
          <w:color w:val="auto"/>
          <w:kern w:val="0"/>
          <w:sz w:val="24"/>
          <w:szCs w:val="24"/>
          <w:highlight w:val="none"/>
        </w:rPr>
        <w:t>更换下来的电机、主轴、叶轮、轴承、机械密封应随同维修后的水泵一同返回给采购人。</w:t>
      </w:r>
    </w:p>
    <w:p w14:paraId="3EEF5B4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4"/>
          <w:highlight w:val="none"/>
          <w:lang w:eastAsia="zh-CN"/>
        </w:rPr>
      </w:pPr>
      <w:r>
        <w:rPr>
          <w:rFonts w:hint="eastAsia" w:ascii="宋体" w:hAnsi="宋体" w:cs="宋体"/>
          <w:b/>
          <w:color w:val="auto"/>
          <w:sz w:val="24"/>
          <w:szCs w:val="24"/>
          <w:highlight w:val="none"/>
          <w:lang w:val="en-US" w:eastAsia="zh-CN"/>
        </w:rPr>
        <w:t>2、</w:t>
      </w:r>
      <w:r>
        <w:rPr>
          <w:rFonts w:hint="eastAsia" w:ascii="宋体" w:hAnsi="宋体" w:cs="宋体"/>
          <w:b/>
          <w:color w:val="auto"/>
          <w:sz w:val="24"/>
          <w:szCs w:val="24"/>
          <w:highlight w:val="none"/>
        </w:rPr>
        <w:t>技术要求</w:t>
      </w:r>
      <w:r>
        <w:rPr>
          <w:rFonts w:hint="eastAsia" w:ascii="宋体" w:hAnsi="宋体" w:cs="宋体"/>
          <w:b/>
          <w:color w:val="auto"/>
          <w:sz w:val="24"/>
          <w:szCs w:val="24"/>
          <w:highlight w:val="none"/>
          <w:lang w:eastAsia="zh-CN"/>
        </w:rPr>
        <w:t>：</w:t>
      </w:r>
    </w:p>
    <w:p w14:paraId="017CA3BA">
      <w:pPr>
        <w:pStyle w:val="50"/>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hint="eastAsia" w:ascii="宋体" w:eastAsia="宋体" w:cs="宋体"/>
          <w:b w:val="0"/>
          <w:bCs w:val="0"/>
          <w:color w:val="auto"/>
          <w:sz w:val="24"/>
          <w:szCs w:val="24"/>
          <w:highlight w:val="none"/>
          <w:lang w:eastAsia="zh-CN"/>
        </w:rPr>
      </w:pPr>
      <w:r>
        <w:rPr>
          <w:rFonts w:hint="eastAsia" w:ascii="宋体" w:hAnsi="宋体" w:cs="宋体"/>
          <w:b w:val="0"/>
          <w:bCs w:val="0"/>
          <w:color w:val="auto"/>
          <w:sz w:val="24"/>
          <w:szCs w:val="24"/>
          <w:highlight w:val="none"/>
        </w:rPr>
        <w:t>项目实施要求</w:t>
      </w:r>
      <w:r>
        <w:rPr>
          <w:rFonts w:hint="eastAsia" w:ascii="宋体" w:hAnsi="宋体" w:cs="宋体"/>
          <w:b w:val="0"/>
          <w:bCs w:val="0"/>
          <w:color w:val="auto"/>
          <w:sz w:val="24"/>
          <w:szCs w:val="24"/>
          <w:highlight w:val="none"/>
          <w:lang w:eastAsia="zh-CN"/>
        </w:rPr>
        <w:t>：</w:t>
      </w:r>
    </w:p>
    <w:p w14:paraId="461DE024">
      <w:pPr>
        <w:pStyle w:val="50"/>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ascii="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水泵经维</w:t>
      </w:r>
      <w:r>
        <w:rPr>
          <w:rFonts w:hint="eastAsia" w:ascii="宋体" w:hAnsi="宋体" w:cs="宋体"/>
          <w:color w:val="auto"/>
          <w:sz w:val="24"/>
          <w:szCs w:val="24"/>
          <w:highlight w:val="none"/>
          <w:lang w:val="en-US" w:eastAsia="zh-CN"/>
        </w:rPr>
        <w:t>修</w:t>
      </w:r>
      <w:r>
        <w:rPr>
          <w:rFonts w:hint="eastAsia" w:ascii="宋体" w:hAnsi="宋体" w:cs="宋体"/>
          <w:color w:val="auto"/>
          <w:sz w:val="24"/>
          <w:szCs w:val="24"/>
          <w:highlight w:val="none"/>
        </w:rPr>
        <w:t>后其性能须达到或高于原出厂技术要求（如运行电流、绝缘值、防护等级等）</w:t>
      </w:r>
    </w:p>
    <w:p w14:paraId="172F2050">
      <w:pPr>
        <w:keepNext w:val="0"/>
        <w:keepLines w:val="0"/>
        <w:pageBreakBefore w:val="0"/>
        <w:kinsoku/>
        <w:wordWrap/>
        <w:overflowPunct/>
        <w:topLinePunct w:val="0"/>
        <w:autoSpaceDE/>
        <w:autoSpaceDN/>
        <w:bidi w:val="0"/>
        <w:adjustRightInd/>
        <w:snapToGrid/>
        <w:spacing w:line="360" w:lineRule="auto"/>
        <w:textAlignment w:val="auto"/>
        <w:rPr>
          <w:rFonts w:ascii="宋体"/>
          <w:b/>
          <w:bCs/>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成交</w:t>
      </w:r>
      <w:r>
        <w:rPr>
          <w:rFonts w:hint="eastAsia" w:ascii="宋体" w:hAnsi="宋体" w:cs="宋体"/>
          <w:color w:val="auto"/>
          <w:sz w:val="24"/>
          <w:szCs w:val="24"/>
          <w:highlight w:val="none"/>
          <w:lang w:val="en-US" w:eastAsia="zh-CN"/>
        </w:rPr>
        <w:t>供应商</w:t>
      </w:r>
      <w:r>
        <w:rPr>
          <w:rFonts w:hint="eastAsia" w:ascii="宋体" w:hAnsi="宋体" w:cs="宋体"/>
          <w:color w:val="auto"/>
          <w:sz w:val="24"/>
          <w:szCs w:val="24"/>
          <w:highlight w:val="none"/>
        </w:rPr>
        <w:t>在采购合同签订后</w:t>
      </w:r>
      <w:r>
        <w:rPr>
          <w:rFonts w:ascii="宋体" w:hAnsi="宋体" w:cs="宋体"/>
          <w:color w:val="auto"/>
          <w:sz w:val="24"/>
          <w:szCs w:val="24"/>
          <w:highlight w:val="none"/>
        </w:rPr>
        <w:t>5</w:t>
      </w:r>
      <w:r>
        <w:rPr>
          <w:rFonts w:hint="eastAsia" w:ascii="宋体" w:hAnsi="宋体" w:cs="宋体"/>
          <w:color w:val="auto"/>
          <w:sz w:val="24"/>
          <w:szCs w:val="24"/>
          <w:highlight w:val="none"/>
        </w:rPr>
        <w:t>个工作日内，应根据自身情况，按照项目清单各分项内容，编制各分项工作具体的时间周期计划，内容涉及拆卸、吊装、运输、维修、供货、安装调试等方面。</w:t>
      </w:r>
    </w:p>
    <w:p w14:paraId="68267E8B">
      <w:pPr>
        <w:keepNext w:val="0"/>
        <w:keepLines w:val="0"/>
        <w:pageBreakBefore w:val="0"/>
        <w:kinsoku/>
        <w:wordWrap/>
        <w:overflowPunct/>
        <w:topLinePunct w:val="0"/>
        <w:autoSpaceDE/>
        <w:autoSpaceDN/>
        <w:bidi w:val="0"/>
        <w:adjustRightInd/>
        <w:snapToGrid/>
        <w:spacing w:line="360" w:lineRule="auto"/>
        <w:textAlignment w:val="auto"/>
        <w:rPr>
          <w:rFonts w:ascii="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维修的所有零、配件必须是正规生产厂家的合格产品，确保安装调试后，设备能正常运行。</w:t>
      </w:r>
    </w:p>
    <w:p w14:paraId="640230C2">
      <w:pPr>
        <w:keepNext w:val="0"/>
        <w:keepLines w:val="0"/>
        <w:pageBreakBefore w:val="0"/>
        <w:kinsoku/>
        <w:wordWrap/>
        <w:overflowPunct/>
        <w:topLinePunct w:val="0"/>
        <w:autoSpaceDE/>
        <w:autoSpaceDN/>
        <w:bidi w:val="0"/>
        <w:adjustRightInd/>
        <w:snapToGrid/>
        <w:spacing w:line="360" w:lineRule="auto"/>
        <w:textAlignment w:val="auto"/>
        <w:rPr>
          <w:rFonts w:ascii="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水泵在实施维修过程中,应及时进行记录并汇总提供给采购方作为项目完成验收的依据之一，包括但不限于以下内容：</w:t>
      </w:r>
      <w:r>
        <w:rPr>
          <w:rFonts w:ascii="宋体" w:hAnsi="宋体" w:cs="宋体"/>
          <w:color w:val="auto"/>
          <w:sz w:val="24"/>
          <w:szCs w:val="24"/>
          <w:highlight w:val="none"/>
        </w:rPr>
        <w:t xml:space="preserve"> </w:t>
      </w:r>
    </w:p>
    <w:p w14:paraId="531E78AA">
      <w:pPr>
        <w:keepNext w:val="0"/>
        <w:keepLines w:val="0"/>
        <w:pageBreakBefore w:val="0"/>
        <w:kinsoku/>
        <w:wordWrap/>
        <w:overflowPunct/>
        <w:topLinePunct w:val="0"/>
        <w:autoSpaceDE/>
        <w:autoSpaceDN/>
        <w:bidi w:val="0"/>
        <w:adjustRightInd/>
        <w:snapToGrid/>
        <w:spacing w:line="360" w:lineRule="auto"/>
        <w:ind w:firstLine="240" w:firstLineChars="100"/>
        <w:textAlignment w:val="auto"/>
        <w:rPr>
          <w:rFonts w:ascii="宋体"/>
          <w:bCs/>
          <w:color w:val="auto"/>
          <w:kern w:val="0"/>
          <w:sz w:val="24"/>
          <w:szCs w:val="24"/>
          <w:highlight w:val="none"/>
        </w:rPr>
      </w:pPr>
      <w:r>
        <w:rPr>
          <w:rFonts w:hint="eastAsia" w:ascii="宋体" w:hAnsi="宋体" w:cs="宋体"/>
          <w:color w:val="auto"/>
          <w:kern w:val="0"/>
          <w:sz w:val="24"/>
          <w:szCs w:val="24"/>
          <w:highlight w:val="none"/>
          <w:lang w:val="en-US" w:eastAsia="zh-CN"/>
        </w:rPr>
        <w:t>①</w:t>
      </w:r>
      <w:r>
        <w:rPr>
          <w:rFonts w:hint="eastAsia" w:ascii="宋体" w:hAnsi="宋体" w:cs="宋体"/>
          <w:bCs/>
          <w:color w:val="auto"/>
          <w:kern w:val="0"/>
          <w:sz w:val="24"/>
          <w:szCs w:val="24"/>
          <w:highlight w:val="none"/>
        </w:rPr>
        <w:t>维修吊装记录表</w:t>
      </w:r>
      <w:r>
        <w:rPr>
          <w:rFonts w:hint="eastAsia" w:ascii="宋体" w:hAnsi="宋体" w:cs="宋体"/>
          <w:color w:val="auto"/>
          <w:kern w:val="0"/>
          <w:sz w:val="24"/>
          <w:szCs w:val="24"/>
          <w:highlight w:val="none"/>
        </w:rPr>
        <w:t>：内容应包括设备所在泵站名称、编号；设备型号及参数；故障现象；</w:t>
      </w:r>
      <w:r>
        <w:rPr>
          <w:rFonts w:hint="eastAsia" w:ascii="宋体" w:hAnsi="宋体" w:cs="宋体"/>
          <w:color w:val="auto"/>
          <w:sz w:val="24"/>
          <w:szCs w:val="24"/>
          <w:highlight w:val="none"/>
        </w:rPr>
        <w:t>成交</w:t>
      </w:r>
      <w:r>
        <w:rPr>
          <w:rFonts w:hint="eastAsia" w:ascii="宋体" w:hAnsi="宋体" w:cs="宋体"/>
          <w:color w:val="auto"/>
          <w:sz w:val="24"/>
          <w:szCs w:val="24"/>
          <w:highlight w:val="none"/>
          <w:lang w:val="en-US" w:eastAsia="zh-CN"/>
        </w:rPr>
        <w:t>供应商</w:t>
      </w:r>
      <w:r>
        <w:rPr>
          <w:rFonts w:hint="eastAsia" w:ascii="宋体" w:hAnsi="宋体" w:cs="宋体"/>
          <w:color w:val="auto"/>
          <w:kern w:val="0"/>
          <w:sz w:val="24"/>
          <w:szCs w:val="24"/>
          <w:highlight w:val="none"/>
        </w:rPr>
        <w:t>及采购人双方负责人；吊装日期等信息：</w:t>
      </w:r>
    </w:p>
    <w:p w14:paraId="6F8C3A99">
      <w:pPr>
        <w:keepNext w:val="0"/>
        <w:keepLines w:val="0"/>
        <w:pageBreakBefore w:val="0"/>
        <w:kinsoku/>
        <w:wordWrap/>
        <w:overflowPunct/>
        <w:topLinePunct w:val="0"/>
        <w:autoSpaceDE/>
        <w:autoSpaceDN/>
        <w:bidi w:val="0"/>
        <w:adjustRightInd/>
        <w:snapToGrid/>
        <w:spacing w:line="360" w:lineRule="auto"/>
        <w:ind w:firstLine="240" w:firstLineChars="100"/>
        <w:textAlignment w:val="auto"/>
        <w:rPr>
          <w:rFonts w:ascii="宋体"/>
          <w:color w:val="auto"/>
          <w:kern w:val="0"/>
          <w:sz w:val="24"/>
          <w:szCs w:val="24"/>
          <w:highlight w:val="none"/>
        </w:rPr>
      </w:pPr>
      <w:r>
        <w:rPr>
          <w:rFonts w:hint="eastAsia" w:ascii="宋体" w:hAnsi="宋体" w:cs="宋体"/>
          <w:color w:val="auto"/>
          <w:kern w:val="0"/>
          <w:sz w:val="24"/>
          <w:szCs w:val="24"/>
          <w:highlight w:val="none"/>
          <w:lang w:val="en-US" w:eastAsia="zh-CN"/>
        </w:rPr>
        <w:t>②</w:t>
      </w:r>
      <w:r>
        <w:rPr>
          <w:rFonts w:hint="eastAsia" w:ascii="宋体" w:hAnsi="宋体" w:cs="宋体"/>
          <w:bCs/>
          <w:color w:val="auto"/>
          <w:kern w:val="0"/>
          <w:sz w:val="24"/>
          <w:szCs w:val="24"/>
          <w:highlight w:val="none"/>
        </w:rPr>
        <w:t>设备维修记录表</w:t>
      </w:r>
      <w:r>
        <w:rPr>
          <w:rFonts w:hint="eastAsia" w:ascii="宋体" w:hAnsi="宋体" w:cs="宋体"/>
          <w:color w:val="auto"/>
          <w:kern w:val="0"/>
          <w:sz w:val="24"/>
          <w:szCs w:val="24"/>
          <w:highlight w:val="none"/>
        </w:rPr>
        <w:t>：详细内容包括以上项目维修前的分项详细情况；检查工作的具体内容；更换的电机、主轴、叶轮、轴承、机械密封数量及型号；维修后的效果及结论；维修日期及具体</w:t>
      </w:r>
      <w:r>
        <w:rPr>
          <w:rFonts w:hint="eastAsia" w:ascii="宋体" w:hAnsi="宋体" w:cs="宋体"/>
          <w:color w:val="auto"/>
          <w:kern w:val="0"/>
          <w:sz w:val="24"/>
          <w:szCs w:val="24"/>
          <w:highlight w:val="none"/>
          <w:lang w:val="en-US" w:eastAsia="zh-CN"/>
        </w:rPr>
        <w:t>维修</w:t>
      </w:r>
      <w:r>
        <w:rPr>
          <w:rFonts w:hint="eastAsia" w:ascii="宋体" w:hAnsi="宋体" w:cs="宋体"/>
          <w:color w:val="auto"/>
          <w:kern w:val="0"/>
          <w:sz w:val="24"/>
          <w:szCs w:val="24"/>
          <w:highlight w:val="none"/>
        </w:rPr>
        <w:t>人：</w:t>
      </w:r>
    </w:p>
    <w:p w14:paraId="37AA8FB2">
      <w:pPr>
        <w:keepNext w:val="0"/>
        <w:keepLines w:val="0"/>
        <w:pageBreakBefore w:val="0"/>
        <w:kinsoku/>
        <w:wordWrap/>
        <w:overflowPunct/>
        <w:topLinePunct w:val="0"/>
        <w:autoSpaceDE/>
        <w:autoSpaceDN/>
        <w:bidi w:val="0"/>
        <w:adjustRightInd/>
        <w:snapToGrid/>
        <w:spacing w:line="360" w:lineRule="auto"/>
        <w:ind w:firstLine="240" w:firstLineChars="100"/>
        <w:textAlignment w:val="auto"/>
        <w:rPr>
          <w:rFonts w:ascii="宋体"/>
          <w:color w:val="auto"/>
          <w:kern w:val="0"/>
          <w:sz w:val="24"/>
          <w:szCs w:val="24"/>
          <w:highlight w:val="none"/>
        </w:rPr>
      </w:pPr>
      <w:r>
        <w:rPr>
          <w:rFonts w:hint="eastAsia" w:ascii="宋体" w:hAnsi="宋体" w:cs="宋体"/>
          <w:color w:val="auto"/>
          <w:kern w:val="0"/>
          <w:sz w:val="24"/>
          <w:szCs w:val="24"/>
          <w:highlight w:val="none"/>
          <w:lang w:val="en-US" w:eastAsia="zh-CN"/>
        </w:rPr>
        <w:t>③</w:t>
      </w:r>
      <w:r>
        <w:rPr>
          <w:rFonts w:hint="eastAsia" w:ascii="宋体" w:hAnsi="宋体" w:cs="宋体"/>
          <w:bCs/>
          <w:color w:val="auto"/>
          <w:kern w:val="0"/>
          <w:sz w:val="24"/>
          <w:szCs w:val="24"/>
          <w:highlight w:val="none"/>
        </w:rPr>
        <w:t>主要部件检查状况报告</w:t>
      </w:r>
      <w:r>
        <w:rPr>
          <w:rFonts w:hint="eastAsia" w:ascii="宋体" w:hAnsi="宋体" w:cs="宋体"/>
          <w:color w:val="auto"/>
          <w:kern w:val="0"/>
          <w:sz w:val="24"/>
          <w:szCs w:val="24"/>
          <w:highlight w:val="none"/>
        </w:rPr>
        <w:t>（包括但不限于以下内容：信号保护装置、电缆及密封、定子、转子、电机及叶轮轴、所有轴承、机械及静态密封、叶轮、耐磨环、各类油品），每台泵须出具</w:t>
      </w:r>
      <w:r>
        <w:rPr>
          <w:rFonts w:hint="eastAsia" w:ascii="宋体" w:hAnsi="宋体" w:cs="宋体"/>
          <w:color w:val="auto"/>
          <w:kern w:val="0"/>
          <w:sz w:val="24"/>
          <w:szCs w:val="24"/>
          <w:highlight w:val="none"/>
          <w:lang w:val="en-US" w:eastAsia="zh-CN"/>
        </w:rPr>
        <w:t>维修</w:t>
      </w:r>
      <w:r>
        <w:rPr>
          <w:rFonts w:hint="eastAsia" w:ascii="宋体" w:hAnsi="宋体" w:cs="宋体"/>
          <w:color w:val="auto"/>
          <w:kern w:val="0"/>
          <w:sz w:val="24"/>
          <w:szCs w:val="24"/>
          <w:highlight w:val="none"/>
        </w:rPr>
        <w:t>前、后主要部件状况报告；</w:t>
      </w:r>
    </w:p>
    <w:p w14:paraId="6733540F">
      <w:pPr>
        <w:keepNext w:val="0"/>
        <w:keepLines w:val="0"/>
        <w:pageBreakBefore w:val="0"/>
        <w:kinsoku/>
        <w:wordWrap/>
        <w:overflowPunct/>
        <w:topLinePunct w:val="0"/>
        <w:autoSpaceDE/>
        <w:autoSpaceDN/>
        <w:bidi w:val="0"/>
        <w:adjustRightInd/>
        <w:snapToGrid/>
        <w:spacing w:line="360" w:lineRule="auto"/>
        <w:ind w:firstLine="240" w:firstLineChars="100"/>
        <w:textAlignment w:val="auto"/>
        <w:rPr>
          <w:rFonts w:ascii="宋体"/>
          <w:color w:val="auto"/>
          <w:kern w:val="0"/>
          <w:sz w:val="24"/>
          <w:szCs w:val="24"/>
          <w:highlight w:val="none"/>
        </w:rPr>
      </w:pPr>
      <w:r>
        <w:rPr>
          <w:rFonts w:hint="eastAsia" w:ascii="宋体" w:hAnsi="宋体" w:cs="宋体"/>
          <w:color w:val="auto"/>
          <w:kern w:val="0"/>
          <w:sz w:val="24"/>
          <w:szCs w:val="24"/>
          <w:highlight w:val="none"/>
          <w:lang w:val="en-US" w:eastAsia="zh-CN"/>
        </w:rPr>
        <w:t>④</w:t>
      </w:r>
      <w:r>
        <w:rPr>
          <w:rFonts w:hint="eastAsia" w:ascii="宋体" w:hAnsi="宋体" w:cs="宋体"/>
          <w:bCs/>
          <w:color w:val="auto"/>
          <w:kern w:val="0"/>
          <w:sz w:val="24"/>
          <w:szCs w:val="24"/>
          <w:highlight w:val="none"/>
        </w:rPr>
        <w:t>叶轮动平衡试验报告及整机检测报告；</w:t>
      </w:r>
    </w:p>
    <w:p w14:paraId="294BB803">
      <w:pPr>
        <w:keepNext w:val="0"/>
        <w:keepLines w:val="0"/>
        <w:pageBreakBefore w:val="0"/>
        <w:kinsoku/>
        <w:wordWrap/>
        <w:overflowPunct/>
        <w:topLinePunct w:val="0"/>
        <w:autoSpaceDE/>
        <w:autoSpaceDN/>
        <w:bidi w:val="0"/>
        <w:adjustRightInd/>
        <w:snapToGrid/>
        <w:spacing w:line="360" w:lineRule="auto"/>
        <w:ind w:firstLine="240" w:firstLineChars="100"/>
        <w:textAlignment w:val="auto"/>
        <w:rPr>
          <w:rFonts w:ascii="宋体"/>
          <w:color w:val="auto"/>
          <w:kern w:val="0"/>
          <w:sz w:val="24"/>
          <w:szCs w:val="24"/>
          <w:highlight w:val="none"/>
        </w:rPr>
      </w:pPr>
      <w:r>
        <w:rPr>
          <w:rFonts w:hint="eastAsia" w:ascii="宋体" w:hAnsi="宋体" w:cs="宋体"/>
          <w:color w:val="auto"/>
          <w:kern w:val="0"/>
          <w:sz w:val="24"/>
          <w:szCs w:val="24"/>
          <w:highlight w:val="none"/>
          <w:lang w:val="en-US" w:eastAsia="zh-CN"/>
        </w:rPr>
        <w:t>⑤</w:t>
      </w:r>
      <w:r>
        <w:rPr>
          <w:rFonts w:hint="eastAsia" w:ascii="宋体" w:hAnsi="宋体" w:cs="宋体"/>
          <w:bCs/>
          <w:color w:val="auto"/>
          <w:kern w:val="0"/>
          <w:sz w:val="24"/>
          <w:szCs w:val="24"/>
          <w:highlight w:val="none"/>
        </w:rPr>
        <w:t>电机绝缘检测报告及结论；</w:t>
      </w:r>
    </w:p>
    <w:p w14:paraId="68435815">
      <w:pPr>
        <w:keepNext w:val="0"/>
        <w:keepLines w:val="0"/>
        <w:pageBreakBefore w:val="0"/>
        <w:kinsoku/>
        <w:wordWrap/>
        <w:overflowPunct/>
        <w:topLinePunct w:val="0"/>
        <w:autoSpaceDE/>
        <w:autoSpaceDN/>
        <w:bidi w:val="0"/>
        <w:adjustRightInd/>
        <w:snapToGrid/>
        <w:spacing w:line="360" w:lineRule="auto"/>
        <w:ind w:firstLine="240" w:firstLineChars="100"/>
        <w:textAlignment w:val="auto"/>
        <w:rPr>
          <w:rFonts w:hint="eastAsia" w:ascii="宋体" w:eastAsia="宋体"/>
          <w:color w:val="auto"/>
          <w:kern w:val="0"/>
          <w:sz w:val="24"/>
          <w:szCs w:val="24"/>
          <w:highlight w:val="none"/>
          <w:lang w:eastAsia="zh-CN"/>
        </w:rPr>
      </w:pPr>
      <w:r>
        <w:rPr>
          <w:rFonts w:hint="eastAsia" w:ascii="宋体" w:hAnsi="宋体" w:cs="宋体"/>
          <w:color w:val="auto"/>
          <w:kern w:val="0"/>
          <w:sz w:val="24"/>
          <w:szCs w:val="24"/>
          <w:highlight w:val="none"/>
          <w:lang w:val="en-US" w:eastAsia="zh-CN"/>
        </w:rPr>
        <w:t>⑥</w:t>
      </w:r>
      <w:r>
        <w:rPr>
          <w:rFonts w:hint="eastAsia" w:ascii="宋体" w:hAnsi="宋体" w:cs="宋体"/>
          <w:bCs/>
          <w:color w:val="auto"/>
          <w:kern w:val="0"/>
          <w:sz w:val="24"/>
          <w:szCs w:val="24"/>
          <w:highlight w:val="none"/>
        </w:rPr>
        <w:t>设备维修过程中的图片或视频文件</w:t>
      </w:r>
      <w:r>
        <w:rPr>
          <w:rFonts w:hint="eastAsia" w:ascii="宋体" w:hAnsi="宋体" w:cs="宋体"/>
          <w:bCs/>
          <w:color w:val="auto"/>
          <w:kern w:val="0"/>
          <w:sz w:val="24"/>
          <w:szCs w:val="24"/>
          <w:highlight w:val="none"/>
          <w:lang w:eastAsia="zh-CN"/>
        </w:rPr>
        <w:t>。</w:t>
      </w:r>
    </w:p>
    <w:p w14:paraId="04D6C7C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eastAsia="宋体"/>
          <w:b w:val="0"/>
          <w:bCs w:val="0"/>
          <w:color w:val="auto"/>
          <w:sz w:val="24"/>
          <w:szCs w:val="24"/>
          <w:highlight w:val="none"/>
          <w:lang w:eastAsia="zh-CN"/>
        </w:rPr>
      </w:pPr>
      <w:r>
        <w:rPr>
          <w:rFonts w:hint="eastAsia" w:ascii="宋体" w:hAnsi="宋体" w:cs="宋体"/>
          <w:b w:val="0"/>
          <w:bCs w:val="0"/>
          <w:color w:val="auto"/>
          <w:sz w:val="24"/>
          <w:szCs w:val="24"/>
          <w:highlight w:val="none"/>
        </w:rPr>
        <w:t>产品运输、保险及保管</w:t>
      </w:r>
      <w:r>
        <w:rPr>
          <w:rFonts w:hint="eastAsia" w:ascii="宋体" w:hAnsi="宋体" w:cs="宋体"/>
          <w:b w:val="0"/>
          <w:bCs w:val="0"/>
          <w:color w:val="auto"/>
          <w:sz w:val="24"/>
          <w:szCs w:val="24"/>
          <w:highlight w:val="none"/>
          <w:lang w:eastAsia="zh-CN"/>
        </w:rPr>
        <w:t>：</w:t>
      </w:r>
    </w:p>
    <w:p w14:paraId="0AEF1341">
      <w:pPr>
        <w:keepNext w:val="0"/>
        <w:keepLines w:val="0"/>
        <w:pageBreakBefore w:val="0"/>
        <w:kinsoku/>
        <w:wordWrap/>
        <w:overflowPunct/>
        <w:topLinePunct w:val="0"/>
        <w:autoSpaceDE/>
        <w:autoSpaceDN/>
        <w:bidi w:val="0"/>
        <w:adjustRightInd/>
        <w:snapToGrid/>
        <w:spacing w:line="360" w:lineRule="auto"/>
        <w:textAlignment w:val="auto"/>
        <w:rPr>
          <w:rFonts w:ascii="宋体"/>
          <w:color w:val="auto"/>
          <w:kern w:val="0"/>
          <w:sz w:val="24"/>
          <w:szCs w:val="24"/>
          <w:highlight w:val="none"/>
        </w:rPr>
      </w:pP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1）</w:t>
      </w:r>
      <w:r>
        <w:rPr>
          <w:rFonts w:hint="eastAsia" w:ascii="宋体" w:hAnsi="宋体" w:cs="宋体"/>
          <w:color w:val="auto"/>
          <w:sz w:val="24"/>
          <w:szCs w:val="24"/>
          <w:highlight w:val="none"/>
        </w:rPr>
        <w:t>成交</w:t>
      </w:r>
      <w:r>
        <w:rPr>
          <w:rFonts w:hint="eastAsia" w:ascii="宋体" w:hAnsi="宋体" w:cs="宋体"/>
          <w:color w:val="auto"/>
          <w:sz w:val="24"/>
          <w:szCs w:val="24"/>
          <w:highlight w:val="none"/>
          <w:lang w:val="en-US" w:eastAsia="zh-CN"/>
        </w:rPr>
        <w:t>供应商</w:t>
      </w:r>
      <w:r>
        <w:rPr>
          <w:rFonts w:hint="eastAsia" w:ascii="宋体" w:hAnsi="宋体" w:cs="宋体"/>
          <w:color w:val="auto"/>
          <w:kern w:val="0"/>
          <w:sz w:val="24"/>
          <w:szCs w:val="24"/>
          <w:highlight w:val="none"/>
        </w:rPr>
        <w:t>负责产品到施工地点的全部运输，包括装卸及现场搬运等。</w:t>
      </w:r>
    </w:p>
    <w:p w14:paraId="3BB610D3">
      <w:pPr>
        <w:keepNext w:val="0"/>
        <w:keepLines w:val="0"/>
        <w:pageBreakBefore w:val="0"/>
        <w:kinsoku/>
        <w:wordWrap/>
        <w:overflowPunct/>
        <w:topLinePunct w:val="0"/>
        <w:autoSpaceDE/>
        <w:autoSpaceDN/>
        <w:bidi w:val="0"/>
        <w:adjustRightInd/>
        <w:snapToGrid/>
        <w:spacing w:line="360" w:lineRule="auto"/>
        <w:textAlignment w:val="auto"/>
        <w:rPr>
          <w:rFonts w:ascii="宋体"/>
          <w:color w:val="auto"/>
          <w:kern w:val="0"/>
          <w:sz w:val="24"/>
          <w:szCs w:val="24"/>
          <w:highlight w:val="none"/>
        </w:rPr>
      </w:pP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2）</w:t>
      </w:r>
      <w:r>
        <w:rPr>
          <w:rFonts w:hint="eastAsia" w:ascii="宋体" w:hAnsi="宋体" w:cs="宋体"/>
          <w:color w:val="auto"/>
          <w:sz w:val="24"/>
          <w:szCs w:val="24"/>
          <w:highlight w:val="none"/>
        </w:rPr>
        <w:t>成交</w:t>
      </w:r>
      <w:r>
        <w:rPr>
          <w:rFonts w:hint="eastAsia" w:ascii="宋体" w:hAnsi="宋体" w:cs="宋体"/>
          <w:color w:val="auto"/>
          <w:sz w:val="24"/>
          <w:szCs w:val="24"/>
          <w:highlight w:val="none"/>
          <w:lang w:val="en-US" w:eastAsia="zh-CN"/>
        </w:rPr>
        <w:t>供应商</w:t>
      </w:r>
      <w:r>
        <w:rPr>
          <w:rFonts w:hint="eastAsia" w:ascii="宋体" w:hAnsi="宋体" w:cs="宋体"/>
          <w:color w:val="auto"/>
          <w:kern w:val="0"/>
          <w:sz w:val="24"/>
          <w:szCs w:val="24"/>
          <w:highlight w:val="none"/>
        </w:rPr>
        <w:t>负责产品在施工地点的保管，直至项目验收合格。</w:t>
      </w:r>
    </w:p>
    <w:p w14:paraId="56B5E30E">
      <w:pPr>
        <w:keepNext w:val="0"/>
        <w:keepLines w:val="0"/>
        <w:pageBreakBefore w:val="0"/>
        <w:kinsoku/>
        <w:wordWrap/>
        <w:overflowPunct/>
        <w:topLinePunct w:val="0"/>
        <w:autoSpaceDE/>
        <w:autoSpaceDN/>
        <w:bidi w:val="0"/>
        <w:adjustRightInd/>
        <w:snapToGrid/>
        <w:spacing w:line="360" w:lineRule="auto"/>
        <w:textAlignment w:val="auto"/>
        <w:rPr>
          <w:rFonts w:ascii="宋体"/>
          <w:color w:val="auto"/>
          <w:kern w:val="0"/>
          <w:sz w:val="24"/>
          <w:szCs w:val="24"/>
          <w:highlight w:val="none"/>
        </w:rPr>
      </w:pP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3）</w:t>
      </w:r>
      <w:r>
        <w:rPr>
          <w:rFonts w:hint="eastAsia" w:ascii="宋体" w:hAnsi="宋体" w:cs="宋体"/>
          <w:color w:val="auto"/>
          <w:sz w:val="24"/>
          <w:szCs w:val="24"/>
          <w:highlight w:val="none"/>
        </w:rPr>
        <w:t>成交</w:t>
      </w:r>
      <w:r>
        <w:rPr>
          <w:rFonts w:hint="eastAsia" w:ascii="宋体" w:hAnsi="宋体" w:cs="宋体"/>
          <w:color w:val="auto"/>
          <w:sz w:val="24"/>
          <w:szCs w:val="24"/>
          <w:highlight w:val="none"/>
          <w:lang w:val="en-US" w:eastAsia="zh-CN"/>
        </w:rPr>
        <w:t>供应商</w:t>
      </w:r>
      <w:r>
        <w:rPr>
          <w:rFonts w:hint="eastAsia" w:ascii="宋体" w:hAnsi="宋体" w:cs="宋体"/>
          <w:color w:val="auto"/>
          <w:kern w:val="0"/>
          <w:sz w:val="24"/>
          <w:szCs w:val="24"/>
          <w:highlight w:val="none"/>
        </w:rPr>
        <w:t>负责其派出的施工人员的人身意外保险。</w:t>
      </w:r>
    </w:p>
    <w:p w14:paraId="4FB63CA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eastAsia="宋体"/>
          <w:b w:val="0"/>
          <w:bCs w:val="0"/>
          <w:color w:val="auto"/>
          <w:sz w:val="24"/>
          <w:szCs w:val="24"/>
          <w:highlight w:val="none"/>
          <w:lang w:eastAsia="zh-CN"/>
        </w:rPr>
      </w:pPr>
      <w:bookmarkStart w:id="104" w:name="_Toc397068359"/>
      <w:r>
        <w:rPr>
          <w:rFonts w:hint="eastAsia" w:ascii="宋体" w:hAnsi="宋体" w:cs="宋体"/>
          <w:b w:val="0"/>
          <w:bCs w:val="0"/>
          <w:color w:val="auto"/>
          <w:sz w:val="24"/>
          <w:szCs w:val="24"/>
          <w:highlight w:val="none"/>
        </w:rPr>
        <w:t>安装调试</w:t>
      </w:r>
      <w:bookmarkEnd w:id="104"/>
      <w:r>
        <w:rPr>
          <w:rFonts w:hint="eastAsia" w:ascii="宋体" w:hAnsi="宋体" w:cs="宋体"/>
          <w:b w:val="0"/>
          <w:bCs w:val="0"/>
          <w:color w:val="auto"/>
          <w:sz w:val="24"/>
          <w:szCs w:val="24"/>
          <w:highlight w:val="none"/>
          <w:lang w:eastAsia="zh-CN"/>
        </w:rPr>
        <w:t>：</w:t>
      </w:r>
    </w:p>
    <w:p w14:paraId="03B97287">
      <w:pPr>
        <w:keepNext w:val="0"/>
        <w:keepLines w:val="0"/>
        <w:pageBreakBefore w:val="0"/>
        <w:kinsoku/>
        <w:wordWrap/>
        <w:overflowPunct/>
        <w:topLinePunct w:val="0"/>
        <w:autoSpaceDE/>
        <w:autoSpaceDN/>
        <w:bidi w:val="0"/>
        <w:adjustRightInd/>
        <w:snapToGrid/>
        <w:spacing w:line="360" w:lineRule="auto"/>
        <w:textAlignment w:val="auto"/>
        <w:rPr>
          <w:rFonts w:ascii="宋体"/>
          <w:color w:val="auto"/>
          <w:kern w:val="0"/>
          <w:sz w:val="24"/>
          <w:szCs w:val="24"/>
          <w:highlight w:val="none"/>
        </w:rPr>
      </w:pP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1）</w:t>
      </w:r>
      <w:r>
        <w:rPr>
          <w:rFonts w:hint="eastAsia" w:ascii="宋体" w:hAnsi="宋体" w:cs="宋体"/>
          <w:color w:val="auto"/>
          <w:sz w:val="24"/>
          <w:szCs w:val="24"/>
          <w:highlight w:val="none"/>
        </w:rPr>
        <w:t>成交</w:t>
      </w:r>
      <w:r>
        <w:rPr>
          <w:rFonts w:hint="eastAsia" w:ascii="宋体" w:hAnsi="宋体" w:cs="宋体"/>
          <w:color w:val="auto"/>
          <w:sz w:val="24"/>
          <w:szCs w:val="24"/>
          <w:highlight w:val="none"/>
          <w:lang w:val="en-US" w:eastAsia="zh-CN"/>
        </w:rPr>
        <w:t>供应商</w:t>
      </w:r>
      <w:r>
        <w:rPr>
          <w:rFonts w:hint="eastAsia" w:ascii="宋体" w:hAnsi="宋体" w:cs="宋体"/>
          <w:color w:val="auto"/>
          <w:kern w:val="0"/>
          <w:sz w:val="24"/>
          <w:szCs w:val="24"/>
          <w:highlight w:val="none"/>
        </w:rPr>
        <w:t>须加强施工的组织管理，所有施工人员须遵守文明安全施工的有关规章制度。</w:t>
      </w:r>
    </w:p>
    <w:p w14:paraId="378E333A">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2）</w:t>
      </w:r>
      <w:r>
        <w:rPr>
          <w:rFonts w:hint="eastAsia" w:ascii="宋体" w:hAnsi="宋体" w:cs="宋体"/>
          <w:color w:val="auto"/>
          <w:kern w:val="0"/>
          <w:sz w:val="24"/>
          <w:szCs w:val="24"/>
          <w:highlight w:val="none"/>
        </w:rPr>
        <w:t>项目完成后，</w:t>
      </w:r>
      <w:r>
        <w:rPr>
          <w:rFonts w:hint="eastAsia" w:ascii="宋体" w:hAnsi="宋体" w:cs="宋体"/>
          <w:color w:val="auto"/>
          <w:sz w:val="24"/>
          <w:szCs w:val="24"/>
          <w:highlight w:val="none"/>
        </w:rPr>
        <w:t>成交</w:t>
      </w:r>
      <w:r>
        <w:rPr>
          <w:rFonts w:hint="eastAsia" w:ascii="宋体" w:hAnsi="宋体" w:cs="宋体"/>
          <w:color w:val="auto"/>
          <w:sz w:val="24"/>
          <w:szCs w:val="24"/>
          <w:highlight w:val="none"/>
          <w:lang w:val="en-US" w:eastAsia="zh-CN"/>
        </w:rPr>
        <w:t>供应商</w:t>
      </w:r>
      <w:r>
        <w:rPr>
          <w:rFonts w:hint="eastAsia" w:ascii="宋体" w:hAnsi="宋体" w:cs="宋体"/>
          <w:color w:val="auto"/>
          <w:kern w:val="0"/>
          <w:sz w:val="24"/>
          <w:szCs w:val="24"/>
          <w:highlight w:val="none"/>
        </w:rPr>
        <w:t>应将项目有关的全部资料，包括产品资料（提供详细清单，包含名称、规格型号、数量、厂家、安装位置等内容）、技术文档、施工图纸等，移交采购人。</w:t>
      </w:r>
    </w:p>
    <w:p w14:paraId="5D2B52C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宋体" w:hAnsi="宋体" w:cs="宋体"/>
          <w:color w:val="auto"/>
          <w:kern w:val="0"/>
          <w:sz w:val="24"/>
          <w:szCs w:val="24"/>
          <w:highlight w:val="none"/>
          <w:lang w:val="en-US" w:eastAsia="zh-CN"/>
        </w:rPr>
      </w:pPr>
    </w:p>
    <w:p w14:paraId="6C5B9589">
      <w:pPr>
        <w:spacing w:line="360" w:lineRule="auto"/>
        <w:ind w:firstLine="437"/>
        <w:outlineLvl w:val="1"/>
        <w:rPr>
          <w:rFonts w:hint="eastAsia" w:ascii="宋体" w:hAnsi="宋体" w:eastAsia="宋体" w:cs="宋体"/>
          <w:b/>
          <w:color w:val="auto"/>
          <w:sz w:val="24"/>
          <w:szCs w:val="18"/>
          <w:highlight w:val="none"/>
        </w:rPr>
      </w:pPr>
      <w:bookmarkStart w:id="105" w:name="_Toc21334"/>
      <w:bookmarkStart w:id="106" w:name="_Toc32239"/>
      <w:bookmarkStart w:id="107" w:name="_Toc18052"/>
      <w:bookmarkStart w:id="108" w:name="_Toc12910"/>
      <w:r>
        <w:rPr>
          <w:rFonts w:hint="eastAsia" w:ascii="宋体" w:hAnsi="宋体" w:eastAsia="宋体" w:cs="宋体"/>
          <w:b/>
          <w:color w:val="auto"/>
          <w:sz w:val="24"/>
          <w:szCs w:val="18"/>
          <w:highlight w:val="none"/>
        </w:rPr>
        <w:t>四、报价要求</w:t>
      </w:r>
      <w:bookmarkEnd w:id="105"/>
      <w:bookmarkEnd w:id="106"/>
      <w:bookmarkEnd w:id="107"/>
      <w:bookmarkEnd w:id="108"/>
    </w:p>
    <w:p w14:paraId="3A85739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bookmarkStart w:id="109" w:name="_Toc32125"/>
      <w:bookmarkStart w:id="110" w:name="_Toc3530"/>
      <w:bookmarkStart w:id="111" w:name="_Toc23590"/>
      <w:r>
        <w:rPr>
          <w:rFonts w:hint="eastAsia" w:ascii="宋体" w:hAnsi="宋体" w:eastAsia="宋体" w:cs="宋体"/>
          <w:color w:val="auto"/>
          <w:kern w:val="2"/>
          <w:sz w:val="24"/>
          <w:szCs w:val="24"/>
          <w:highlight w:val="none"/>
          <w:lang w:val="en-US" w:eastAsia="zh-CN" w:bidi="ar-SA"/>
        </w:rPr>
        <w:t>工程量清单:详见附件。</w:t>
      </w:r>
    </w:p>
    <w:p w14:paraId="7FC9D89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供应商的响应报价须包含上述所有工程服务内容和国家规定的税金，合同执行中不再另行支付。</w:t>
      </w:r>
    </w:p>
    <w:p w14:paraId="66EAA9F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p>
    <w:p w14:paraId="4B94CFB9">
      <w:pPr>
        <w:spacing w:line="360" w:lineRule="auto"/>
        <w:ind w:firstLine="437"/>
        <w:outlineLvl w:val="1"/>
        <w:rPr>
          <w:rFonts w:hint="eastAsia" w:ascii="宋体" w:hAnsi="宋体" w:eastAsia="宋体" w:cs="宋体"/>
          <w:b/>
          <w:color w:val="auto"/>
          <w:sz w:val="24"/>
          <w:szCs w:val="18"/>
          <w:highlight w:val="none"/>
        </w:rPr>
      </w:pPr>
      <w:bookmarkStart w:id="112" w:name="_Toc700"/>
      <w:r>
        <w:rPr>
          <w:rFonts w:hint="eastAsia" w:ascii="宋体" w:hAnsi="宋体" w:eastAsia="宋体" w:cs="宋体"/>
          <w:b/>
          <w:color w:val="auto"/>
          <w:sz w:val="24"/>
          <w:szCs w:val="18"/>
          <w:highlight w:val="none"/>
        </w:rPr>
        <w:t>五、其他要求</w:t>
      </w:r>
      <w:bookmarkEnd w:id="109"/>
      <w:bookmarkEnd w:id="110"/>
      <w:bookmarkEnd w:id="111"/>
      <w:bookmarkEnd w:id="112"/>
    </w:p>
    <w:bookmarkEnd w:id="95"/>
    <w:p w14:paraId="7120A9E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1、项目质保</w:t>
      </w:r>
    </w:p>
    <w:p w14:paraId="0FA94A8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本项目质保期1年，质保期内出现非人为损坏，成交供应商需提供维修方案，经采购人同意后由成交供应商免费维修，费用由成交供应商承担。</w:t>
      </w:r>
    </w:p>
    <w:p w14:paraId="67423A1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成交供应商需在工程结算时提供质量保证金保函，保证金额为</w:t>
      </w:r>
      <w:r>
        <w:rPr>
          <w:rFonts w:hint="eastAsia" w:ascii="宋体" w:hAnsi="宋体" w:eastAsia="宋体" w:cs="宋体"/>
          <w:color w:val="auto"/>
          <w:kern w:val="2"/>
          <w:sz w:val="24"/>
          <w:szCs w:val="24"/>
          <w:highlight w:val="none"/>
          <w:u w:val="single"/>
          <w:lang w:val="en-US" w:eastAsia="zh-CN" w:bidi="ar-SA"/>
        </w:rPr>
        <w:t xml:space="preserve"> 2% </w:t>
      </w:r>
      <w:r>
        <w:rPr>
          <w:rFonts w:hint="eastAsia" w:ascii="宋体" w:hAnsi="宋体" w:eastAsia="宋体" w:cs="宋体"/>
          <w:color w:val="auto"/>
          <w:kern w:val="2"/>
          <w:sz w:val="24"/>
          <w:szCs w:val="24"/>
          <w:highlight w:val="none"/>
          <w:lang w:val="en-US" w:eastAsia="zh-CN" w:bidi="ar-SA"/>
        </w:rPr>
        <w:t>的结算价款。</w:t>
      </w:r>
    </w:p>
    <w:p w14:paraId="1292879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p>
    <w:p w14:paraId="1B97F04E">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1E0D8258">
      <w:pPr>
        <w:spacing w:line="360" w:lineRule="auto"/>
        <w:jc w:val="center"/>
        <w:outlineLvl w:val="0"/>
        <w:rPr>
          <w:rFonts w:hint="eastAsia" w:ascii="宋体" w:hAnsi="宋体" w:eastAsia="宋体" w:cs="宋体"/>
          <w:b/>
          <w:color w:val="auto"/>
          <w:sz w:val="28"/>
          <w:highlight w:val="none"/>
        </w:rPr>
      </w:pPr>
      <w:bookmarkStart w:id="113" w:name="_Toc9944"/>
      <w:r>
        <w:rPr>
          <w:rFonts w:hint="eastAsia" w:ascii="宋体" w:hAnsi="宋体" w:eastAsia="宋体" w:cs="宋体"/>
          <w:b/>
          <w:color w:val="auto"/>
          <w:sz w:val="28"/>
          <w:highlight w:val="none"/>
        </w:rPr>
        <w:t>第四章  评审方法和标准</w:t>
      </w:r>
      <w:bookmarkEnd w:id="113"/>
    </w:p>
    <w:p w14:paraId="1681CA13">
      <w:pPr>
        <w:spacing w:line="360" w:lineRule="auto"/>
        <w:ind w:firstLine="437"/>
        <w:outlineLvl w:val="1"/>
        <w:rPr>
          <w:rFonts w:hint="eastAsia" w:ascii="宋体" w:hAnsi="宋体" w:eastAsia="宋体" w:cs="宋体"/>
          <w:b/>
          <w:color w:val="auto"/>
          <w:sz w:val="24"/>
          <w:highlight w:val="none"/>
        </w:rPr>
      </w:pPr>
      <w:bookmarkStart w:id="114" w:name="_Toc12199"/>
      <w:bookmarkStart w:id="115" w:name="_Toc21211"/>
      <w:bookmarkStart w:id="116" w:name="_Toc30385"/>
      <w:bookmarkStart w:id="117" w:name="_Toc6595"/>
      <w:r>
        <w:rPr>
          <w:rFonts w:hint="eastAsia" w:ascii="宋体" w:hAnsi="宋体" w:eastAsia="宋体" w:cs="宋体"/>
          <w:b/>
          <w:color w:val="auto"/>
          <w:sz w:val="24"/>
          <w:highlight w:val="none"/>
        </w:rPr>
        <w:t>一、总则</w:t>
      </w:r>
      <w:bookmarkEnd w:id="114"/>
      <w:bookmarkEnd w:id="115"/>
      <w:bookmarkEnd w:id="116"/>
      <w:bookmarkEnd w:id="117"/>
    </w:p>
    <w:p w14:paraId="3EC82A0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本项目将按照磋商文件第二章 供应商须知的相关要求及本章的规定评审。</w:t>
      </w:r>
    </w:p>
    <w:p w14:paraId="76C94637">
      <w:pPr>
        <w:spacing w:line="360" w:lineRule="auto"/>
        <w:ind w:firstLine="437"/>
        <w:outlineLvl w:val="1"/>
        <w:rPr>
          <w:rFonts w:hint="eastAsia" w:ascii="宋体" w:hAnsi="宋体" w:eastAsia="宋体" w:cs="宋体"/>
          <w:b/>
          <w:color w:val="auto"/>
          <w:sz w:val="24"/>
          <w:highlight w:val="none"/>
        </w:rPr>
      </w:pPr>
      <w:bookmarkStart w:id="118" w:name="_Toc13039"/>
      <w:bookmarkStart w:id="119" w:name="_Toc12171"/>
      <w:bookmarkStart w:id="120" w:name="_Toc6032"/>
      <w:bookmarkStart w:id="121" w:name="_Toc16885"/>
      <w:r>
        <w:rPr>
          <w:rFonts w:hint="eastAsia" w:ascii="宋体" w:hAnsi="宋体" w:eastAsia="宋体" w:cs="宋体"/>
          <w:b/>
          <w:color w:val="auto"/>
          <w:sz w:val="24"/>
          <w:highlight w:val="none"/>
        </w:rPr>
        <w:t>二、评审方法</w:t>
      </w:r>
      <w:bookmarkEnd w:id="118"/>
      <w:bookmarkEnd w:id="119"/>
      <w:bookmarkEnd w:id="120"/>
      <w:bookmarkEnd w:id="121"/>
    </w:p>
    <w:p w14:paraId="02BA281A">
      <w:pPr>
        <w:spacing w:line="360" w:lineRule="auto"/>
        <w:ind w:firstLine="435"/>
        <w:outlineLvl w:val="2"/>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2.1初审</w:t>
      </w:r>
    </w:p>
    <w:tbl>
      <w:tblPr>
        <w:tblStyle w:val="24"/>
        <w:tblW w:w="56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689"/>
        <w:gridCol w:w="1860"/>
        <w:gridCol w:w="4164"/>
        <w:gridCol w:w="3634"/>
      </w:tblGrid>
      <w:tr w14:paraId="3C87C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20" w:hRule="atLeast"/>
          <w:jc w:val="center"/>
        </w:trPr>
        <w:tc>
          <w:tcPr>
            <w:tcW w:w="5000" w:type="pct"/>
            <w:gridSpan w:val="4"/>
            <w:tcBorders>
              <w:bottom w:val="single" w:color="auto" w:sz="4" w:space="0"/>
            </w:tcBorders>
            <w:vAlign w:val="center"/>
          </w:tcPr>
          <w:p w14:paraId="01B60345">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b/>
                <w:color w:val="auto"/>
                <w:sz w:val="24"/>
                <w:szCs w:val="22"/>
                <w:highlight w:val="none"/>
              </w:rPr>
              <w:t>初审表</w:t>
            </w:r>
          </w:p>
        </w:tc>
      </w:tr>
      <w:tr w14:paraId="01A04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20" w:hRule="atLeast"/>
          <w:jc w:val="center"/>
        </w:trPr>
        <w:tc>
          <w:tcPr>
            <w:tcW w:w="5000" w:type="pct"/>
            <w:gridSpan w:val="4"/>
            <w:tcBorders>
              <w:bottom w:val="single" w:color="auto" w:sz="4" w:space="0"/>
            </w:tcBorders>
            <w:vAlign w:val="center"/>
          </w:tcPr>
          <w:p w14:paraId="0739C60B">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b/>
                <w:color w:val="auto"/>
                <w:sz w:val="24"/>
                <w:szCs w:val="22"/>
                <w:highlight w:val="none"/>
                <w:lang w:val="en-US" w:eastAsia="zh-CN"/>
              </w:rPr>
            </w:pPr>
            <w:r>
              <w:rPr>
                <w:rFonts w:hint="eastAsia" w:ascii="宋体" w:hAnsi="宋体" w:eastAsia="宋体" w:cs="宋体"/>
                <w:b/>
                <w:color w:val="auto"/>
                <w:sz w:val="24"/>
                <w:szCs w:val="22"/>
                <w:highlight w:val="none"/>
                <w:lang w:val="en-US" w:eastAsia="zh-CN"/>
              </w:rPr>
              <w:t>资格审查</w:t>
            </w:r>
          </w:p>
        </w:tc>
      </w:tr>
      <w:tr w14:paraId="572B4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85" w:hRule="atLeast"/>
          <w:jc w:val="center"/>
        </w:trPr>
        <w:tc>
          <w:tcPr>
            <w:tcW w:w="332" w:type="pct"/>
            <w:tcBorders>
              <w:bottom w:val="single" w:color="auto" w:sz="4" w:space="0"/>
            </w:tcBorders>
            <w:vAlign w:val="center"/>
          </w:tcPr>
          <w:p w14:paraId="405771BB">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序号</w:t>
            </w:r>
          </w:p>
        </w:tc>
        <w:tc>
          <w:tcPr>
            <w:tcW w:w="898" w:type="pct"/>
            <w:tcBorders>
              <w:bottom w:val="single" w:color="auto" w:sz="4" w:space="0"/>
            </w:tcBorders>
            <w:vAlign w:val="center"/>
          </w:tcPr>
          <w:p w14:paraId="7A5F2E06">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snapToGrid w:val="0"/>
              <w:spacing w:line="360" w:lineRule="exact"/>
              <w:ind w:right="0"/>
              <w:textAlignment w:val="auto"/>
              <w:rPr>
                <w:rFonts w:hint="eastAsia" w:ascii="宋体" w:hAnsi="宋体" w:eastAsia="宋体" w:cs="宋体"/>
                <w:b/>
                <w:bCs/>
                <w:color w:val="auto"/>
                <w:kern w:val="2"/>
                <w:szCs w:val="24"/>
                <w:highlight w:val="none"/>
              </w:rPr>
            </w:pPr>
            <w:r>
              <w:rPr>
                <w:rFonts w:hint="eastAsia" w:ascii="宋体" w:hAnsi="宋体" w:eastAsia="宋体" w:cs="宋体"/>
                <w:b/>
                <w:bCs/>
                <w:color w:val="auto"/>
                <w:kern w:val="2"/>
                <w:szCs w:val="24"/>
                <w:highlight w:val="none"/>
              </w:rPr>
              <w:t>审查指标</w:t>
            </w:r>
          </w:p>
        </w:tc>
        <w:tc>
          <w:tcPr>
            <w:tcW w:w="2012" w:type="pct"/>
            <w:tcBorders>
              <w:bottom w:val="single" w:color="auto" w:sz="4" w:space="0"/>
            </w:tcBorders>
            <w:vAlign w:val="center"/>
          </w:tcPr>
          <w:p w14:paraId="5B726253">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审查标准</w:t>
            </w:r>
          </w:p>
        </w:tc>
        <w:tc>
          <w:tcPr>
            <w:tcW w:w="1756" w:type="pct"/>
            <w:tcBorders>
              <w:bottom w:val="single" w:color="auto" w:sz="4" w:space="0"/>
            </w:tcBorders>
            <w:vAlign w:val="center"/>
          </w:tcPr>
          <w:p w14:paraId="00A2EEEB">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格式要求</w:t>
            </w:r>
          </w:p>
        </w:tc>
      </w:tr>
      <w:tr w14:paraId="2EB58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835" w:hRule="atLeast"/>
          <w:jc w:val="center"/>
        </w:trPr>
        <w:tc>
          <w:tcPr>
            <w:tcW w:w="332" w:type="pct"/>
            <w:tcBorders>
              <w:bottom w:val="single" w:color="auto" w:sz="4" w:space="0"/>
            </w:tcBorders>
            <w:vAlign w:val="center"/>
          </w:tcPr>
          <w:p w14:paraId="572573A3">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898" w:type="pct"/>
            <w:tcBorders>
              <w:bottom w:val="single" w:color="auto" w:sz="4" w:space="0"/>
            </w:tcBorders>
            <w:vAlign w:val="center"/>
          </w:tcPr>
          <w:p w14:paraId="7E1B72B2">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pacing w:val="9"/>
                <w:sz w:val="24"/>
                <w:szCs w:val="24"/>
                <w:highlight w:val="none"/>
              </w:rPr>
              <w:t>营业执照等证明</w:t>
            </w:r>
            <w:r>
              <w:rPr>
                <w:rFonts w:hint="eastAsia" w:ascii="宋体" w:hAnsi="宋体" w:eastAsia="宋体" w:cs="宋体"/>
                <w:color w:val="auto"/>
                <w:spacing w:val="-3"/>
                <w:sz w:val="24"/>
                <w:szCs w:val="24"/>
                <w:highlight w:val="none"/>
              </w:rPr>
              <w:t>文件</w:t>
            </w:r>
          </w:p>
        </w:tc>
        <w:tc>
          <w:tcPr>
            <w:tcW w:w="2012" w:type="pct"/>
            <w:tcBorders>
              <w:bottom w:val="single" w:color="auto" w:sz="4" w:space="0"/>
            </w:tcBorders>
            <w:vAlign w:val="center"/>
          </w:tcPr>
          <w:p w14:paraId="2D2F0A53">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（1）供应商为企业（包括合伙企业）的，应提供有效的营业执照；</w:t>
            </w:r>
          </w:p>
          <w:p w14:paraId="6AD72DD5">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（2）供应商为事业单位的，应提供有效的事业单位法人证书；</w:t>
            </w:r>
          </w:p>
          <w:p w14:paraId="3D66B630">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（3）供应商是非企业机构的，应提供有效的执业许可证或登记证书等证明文件；</w:t>
            </w:r>
          </w:p>
          <w:p w14:paraId="3D9CD264">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（4）供应商是个体工商户的，应提供有效的个体工商户营业执照；</w:t>
            </w:r>
          </w:p>
          <w:p w14:paraId="14AC5263">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4"/>
                <w:highlight w:val="none"/>
              </w:rPr>
              <w:t>（5）供应商是自然人的，应提供有效的自然人身份证明。</w:t>
            </w:r>
          </w:p>
        </w:tc>
        <w:tc>
          <w:tcPr>
            <w:tcW w:w="1756" w:type="pct"/>
            <w:vAlign w:val="center"/>
          </w:tcPr>
          <w:p w14:paraId="746B7372">
            <w:pPr>
              <w:keepNext w:val="0"/>
              <w:keepLines w:val="0"/>
              <w:pageBreakBefore w:val="0"/>
              <w:widowControl w:val="0"/>
              <w:kinsoku/>
              <w:wordWrap/>
              <w:overflowPunct/>
              <w:topLinePunct w:val="0"/>
              <w:autoSpaceDE/>
              <w:autoSpaceDN/>
              <w:bidi w:val="0"/>
              <w:spacing w:line="360" w:lineRule="exact"/>
              <w:ind w:right="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rPr>
              <w:t>提供材料扫描件或电子证照，应完整的体现出材料或电子证照全部内容。</w:t>
            </w:r>
          </w:p>
        </w:tc>
      </w:tr>
      <w:tr w14:paraId="7DEB3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136" w:hRule="atLeast"/>
          <w:jc w:val="center"/>
        </w:trPr>
        <w:tc>
          <w:tcPr>
            <w:tcW w:w="332" w:type="pct"/>
            <w:tcBorders>
              <w:bottom w:val="single" w:color="auto" w:sz="4" w:space="0"/>
            </w:tcBorders>
            <w:vAlign w:val="center"/>
          </w:tcPr>
          <w:p w14:paraId="6C578BE3">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898" w:type="pct"/>
            <w:tcBorders>
              <w:bottom w:val="single" w:color="auto" w:sz="4" w:space="0"/>
            </w:tcBorders>
            <w:vAlign w:val="center"/>
          </w:tcPr>
          <w:p w14:paraId="3AA9F674">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lang w:val="en-US" w:eastAsia="zh-CN"/>
              </w:rPr>
            </w:pPr>
            <w:r>
              <w:rPr>
                <w:rFonts w:hint="eastAsia" w:ascii="宋体" w:hAnsi="宋体" w:eastAsia="宋体" w:cs="宋体"/>
                <w:color w:val="auto"/>
                <w:sz w:val="24"/>
                <w:szCs w:val="18"/>
                <w:highlight w:val="none"/>
              </w:rPr>
              <w:t>供应商资格声明书</w:t>
            </w:r>
            <w:r>
              <w:rPr>
                <w:rFonts w:hint="eastAsia" w:ascii="宋体" w:hAnsi="宋体" w:eastAsia="宋体" w:cs="宋体"/>
                <w:color w:val="auto"/>
                <w:sz w:val="24"/>
                <w:szCs w:val="18"/>
                <w:highlight w:val="none"/>
                <w:lang w:eastAsia="zh-CN"/>
              </w:rPr>
              <w:t>、</w:t>
            </w:r>
            <w:r>
              <w:rPr>
                <w:rFonts w:hint="eastAsia" w:ascii="宋体" w:hAnsi="宋体" w:eastAsia="宋体" w:cs="宋体"/>
                <w:color w:val="auto"/>
                <w:sz w:val="24"/>
                <w:szCs w:val="18"/>
                <w:highlight w:val="none"/>
                <w:lang w:val="en-US" w:eastAsia="zh-CN"/>
              </w:rPr>
              <w:t>资格承诺</w:t>
            </w:r>
          </w:p>
        </w:tc>
        <w:tc>
          <w:tcPr>
            <w:tcW w:w="2012" w:type="pct"/>
            <w:tcBorders>
              <w:bottom w:val="single" w:color="auto" w:sz="4" w:space="0"/>
            </w:tcBorders>
            <w:vAlign w:val="center"/>
          </w:tcPr>
          <w:p w14:paraId="24A5E87C">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4"/>
                <w:highlight w:val="none"/>
              </w:rPr>
              <w:t>提供符合磋商文件要求的《供应商资格声明书》《无重大违法记录声明函、无不良信用记录承诺函》</w:t>
            </w:r>
          </w:p>
        </w:tc>
        <w:tc>
          <w:tcPr>
            <w:tcW w:w="1756" w:type="pct"/>
            <w:vAlign w:val="center"/>
          </w:tcPr>
          <w:p w14:paraId="4B1B0633">
            <w:pPr>
              <w:keepNext w:val="0"/>
              <w:keepLines w:val="0"/>
              <w:pageBreakBefore w:val="0"/>
              <w:widowControl w:val="0"/>
              <w:kinsoku/>
              <w:wordWrap/>
              <w:overflowPunct/>
              <w:topLinePunct w:val="0"/>
              <w:autoSpaceDE/>
              <w:autoSpaceDN/>
              <w:bidi w:val="0"/>
              <w:spacing w:line="360" w:lineRule="exact"/>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详见第六章响应文件格式。</w:t>
            </w:r>
          </w:p>
        </w:tc>
      </w:tr>
      <w:tr w14:paraId="6D802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tcBorders>
              <w:bottom w:val="single" w:color="auto" w:sz="4" w:space="0"/>
            </w:tcBorders>
            <w:vAlign w:val="center"/>
          </w:tcPr>
          <w:p w14:paraId="179E6D25">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898" w:type="pct"/>
            <w:tcBorders>
              <w:bottom w:val="single" w:color="auto" w:sz="4" w:space="0"/>
            </w:tcBorders>
            <w:vAlign w:val="center"/>
          </w:tcPr>
          <w:p w14:paraId="077E73D2">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18"/>
                <w:highlight w:val="none"/>
              </w:rPr>
              <w:t>供应商</w:t>
            </w:r>
            <w:r>
              <w:rPr>
                <w:rFonts w:hint="eastAsia" w:ascii="宋体" w:hAnsi="宋体" w:eastAsia="宋体" w:cs="宋体"/>
                <w:color w:val="auto"/>
                <w:sz w:val="24"/>
                <w:szCs w:val="24"/>
                <w:highlight w:val="none"/>
              </w:rPr>
              <w:t>信用记录</w:t>
            </w:r>
          </w:p>
        </w:tc>
        <w:tc>
          <w:tcPr>
            <w:tcW w:w="2012" w:type="pct"/>
            <w:tcBorders>
              <w:bottom w:val="single" w:color="auto" w:sz="4" w:space="0"/>
            </w:tcBorders>
            <w:vAlign w:val="center"/>
          </w:tcPr>
          <w:p w14:paraId="7E323196">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lang w:val="zh-CN"/>
              </w:rPr>
              <w:t>不得存在</w:t>
            </w: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lang w:val="zh-CN"/>
              </w:rPr>
              <w:t>须知正文第1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条中</w:t>
            </w:r>
            <w:r>
              <w:rPr>
                <w:rFonts w:hint="eastAsia" w:ascii="宋体" w:hAnsi="宋体" w:eastAsia="宋体" w:cs="宋体"/>
                <w:color w:val="auto"/>
                <w:sz w:val="24"/>
                <w:szCs w:val="28"/>
                <w:highlight w:val="none"/>
              </w:rPr>
              <w:t>的</w:t>
            </w:r>
            <w:r>
              <w:rPr>
                <w:rFonts w:hint="eastAsia" w:ascii="宋体" w:hAnsi="宋体" w:eastAsia="宋体" w:cs="宋体"/>
                <w:color w:val="auto"/>
                <w:sz w:val="24"/>
                <w:szCs w:val="18"/>
                <w:highlight w:val="none"/>
              </w:rPr>
              <w:t>不良信用记录情形</w:t>
            </w:r>
          </w:p>
        </w:tc>
        <w:tc>
          <w:tcPr>
            <w:tcW w:w="1756" w:type="pct"/>
            <w:tcBorders>
              <w:bottom w:val="single" w:color="auto" w:sz="4" w:space="0"/>
            </w:tcBorders>
            <w:vAlign w:val="center"/>
          </w:tcPr>
          <w:p w14:paraId="0446C30F">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lang w:eastAsia="zh-CN"/>
              </w:rPr>
              <w:t>无需提供证明材料。</w:t>
            </w:r>
            <w:r>
              <w:rPr>
                <w:rFonts w:hint="eastAsia" w:ascii="宋体" w:hAnsi="宋体" w:eastAsia="宋体" w:cs="宋体"/>
                <w:color w:val="auto"/>
                <w:sz w:val="24"/>
                <w:szCs w:val="24"/>
                <w:highlight w:val="none"/>
              </w:rPr>
              <w:t>投标截止时间后至评审结束前</w:t>
            </w:r>
            <w:r>
              <w:rPr>
                <w:rFonts w:hint="eastAsia" w:ascii="宋体" w:hAnsi="宋体" w:eastAsia="宋体" w:cs="宋体"/>
                <w:color w:val="auto"/>
                <w:sz w:val="24"/>
                <w:szCs w:val="24"/>
                <w:highlight w:val="none"/>
                <w:lang w:eastAsia="zh-CN"/>
              </w:rPr>
              <w:t>，以</w:t>
            </w:r>
            <w:r>
              <w:rPr>
                <w:rFonts w:hint="eastAsia" w:ascii="宋体" w:hAnsi="宋体" w:eastAsia="宋体" w:cs="宋体"/>
                <w:color w:val="auto"/>
                <w:sz w:val="24"/>
                <w:szCs w:val="24"/>
                <w:highlight w:val="none"/>
              </w:rPr>
              <w:t>“信用中国(www.creditchina.gov.cn)”</w:t>
            </w:r>
            <w:r>
              <w:rPr>
                <w:rFonts w:hint="eastAsia" w:ascii="宋体" w:hAnsi="宋体" w:eastAsia="宋体" w:cs="宋体"/>
                <w:color w:val="auto"/>
                <w:sz w:val="24"/>
                <w:szCs w:val="24"/>
                <w:highlight w:val="none"/>
                <w:lang w:eastAsia="zh-CN"/>
              </w:rPr>
              <w:t>网站</w:t>
            </w:r>
            <w:r>
              <w:rPr>
                <w:rFonts w:hint="eastAsia" w:ascii="宋体" w:hAnsi="宋体" w:eastAsia="宋体" w:cs="宋体"/>
                <w:color w:val="auto"/>
                <w:sz w:val="24"/>
                <w:szCs w:val="24"/>
                <w:highlight w:val="none"/>
              </w:rPr>
              <w:t>人工查询为准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现场对查询结果截图存档</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人工查询有故障的，则此项</w:t>
            </w:r>
            <w:r>
              <w:rPr>
                <w:rFonts w:hint="eastAsia" w:ascii="宋体" w:hAnsi="宋体" w:eastAsia="宋体" w:cs="宋体"/>
                <w:color w:val="auto"/>
                <w:sz w:val="24"/>
                <w:szCs w:val="24"/>
                <w:highlight w:val="none"/>
                <w:lang w:eastAsia="zh-CN"/>
              </w:rPr>
              <w:t>评审</w:t>
            </w:r>
            <w:r>
              <w:rPr>
                <w:rFonts w:hint="eastAsia" w:ascii="宋体" w:hAnsi="宋体" w:eastAsia="宋体" w:cs="宋体"/>
                <w:color w:val="auto"/>
                <w:sz w:val="24"/>
                <w:szCs w:val="24"/>
                <w:highlight w:val="none"/>
              </w:rPr>
              <w:t>时不作要求</w:t>
            </w:r>
            <w:r>
              <w:rPr>
                <w:rFonts w:hint="eastAsia" w:ascii="宋体" w:hAnsi="宋体" w:eastAsia="宋体" w:cs="宋体"/>
                <w:color w:val="auto"/>
                <w:sz w:val="24"/>
                <w:szCs w:val="24"/>
                <w:highlight w:val="none"/>
                <w:lang w:eastAsia="zh-CN"/>
              </w:rPr>
              <w:t>，现场</w:t>
            </w:r>
            <w:r>
              <w:rPr>
                <w:rFonts w:hint="eastAsia" w:ascii="宋体" w:hAnsi="宋体" w:eastAsia="宋体" w:cs="宋体"/>
                <w:color w:val="auto"/>
                <w:sz w:val="24"/>
                <w:szCs w:val="24"/>
                <w:highlight w:val="none"/>
              </w:rPr>
              <w:t>对故障页面证据截图存档</w:t>
            </w:r>
            <w:r>
              <w:rPr>
                <w:rFonts w:hint="eastAsia" w:ascii="宋体" w:hAnsi="宋体" w:eastAsia="宋体" w:cs="宋体"/>
                <w:color w:val="auto"/>
                <w:sz w:val="24"/>
                <w:szCs w:val="24"/>
                <w:highlight w:val="none"/>
                <w:lang w:eastAsia="zh-CN"/>
              </w:rPr>
              <w:t>。</w:t>
            </w:r>
          </w:p>
        </w:tc>
      </w:tr>
      <w:tr w14:paraId="609B2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tcBorders>
              <w:bottom w:val="single" w:color="auto" w:sz="4" w:space="0"/>
            </w:tcBorders>
            <w:vAlign w:val="center"/>
          </w:tcPr>
          <w:p w14:paraId="193FB3B9">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p>
        </w:tc>
        <w:tc>
          <w:tcPr>
            <w:tcW w:w="898" w:type="pct"/>
            <w:tcBorders>
              <w:bottom w:val="single" w:color="auto" w:sz="4" w:space="0"/>
            </w:tcBorders>
            <w:vAlign w:val="center"/>
          </w:tcPr>
          <w:p w14:paraId="29E69685">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中小企业证明文件</w:t>
            </w:r>
          </w:p>
        </w:tc>
        <w:tc>
          <w:tcPr>
            <w:tcW w:w="2012" w:type="pct"/>
            <w:tcBorders>
              <w:bottom w:val="single" w:color="auto" w:sz="4" w:space="0"/>
            </w:tcBorders>
          </w:tcPr>
          <w:p w14:paraId="7B78310E">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8"/>
                <w:highlight w:val="none"/>
              </w:rPr>
              <w:t>符合申请人的资格要求中落实政府采购政策需满足的资格要求：</w:t>
            </w:r>
          </w:p>
          <w:p w14:paraId="1C4C6160">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（1）专门面向中小企业采购的，供应商应提供《中小企业声明函》或《残疾人福利性单位声明函》或由省级以上监狱管理局、戒毒管理局（含新疆生产建设兵团）出具的属于监狱企业的证明文件。</w:t>
            </w:r>
          </w:p>
          <w:p w14:paraId="0C070624">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磋商文件要求以联合体形式参加或者要求合同分包的，且供应商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磋商文件关于预留份额的要求。</w:t>
            </w:r>
          </w:p>
        </w:tc>
        <w:tc>
          <w:tcPr>
            <w:tcW w:w="1756" w:type="pct"/>
            <w:tcBorders>
              <w:bottom w:val="single" w:color="auto" w:sz="4" w:space="0"/>
            </w:tcBorders>
            <w:vAlign w:val="center"/>
          </w:tcPr>
          <w:p w14:paraId="296BCBFC">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详见第六章响应文件格式。</w:t>
            </w:r>
          </w:p>
        </w:tc>
      </w:tr>
      <w:tr w14:paraId="3E4D3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tcBorders>
              <w:bottom w:val="single" w:color="auto" w:sz="4" w:space="0"/>
            </w:tcBorders>
            <w:vAlign w:val="center"/>
          </w:tcPr>
          <w:p w14:paraId="5A064783">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5</w:t>
            </w:r>
          </w:p>
        </w:tc>
        <w:tc>
          <w:tcPr>
            <w:tcW w:w="898" w:type="pct"/>
            <w:tcBorders>
              <w:bottom w:val="single" w:color="auto" w:sz="4" w:space="0"/>
            </w:tcBorders>
          </w:tcPr>
          <w:p w14:paraId="761434D4">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拟分包情况说明及分包意向协议</w:t>
            </w:r>
          </w:p>
        </w:tc>
        <w:tc>
          <w:tcPr>
            <w:tcW w:w="2012" w:type="pct"/>
            <w:tcBorders>
              <w:bottom w:val="single" w:color="auto" w:sz="4" w:space="0"/>
            </w:tcBorders>
            <w:vAlign w:val="center"/>
          </w:tcPr>
          <w:p w14:paraId="595D668F">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通过分包措施预留部分采购份额面向中小企业采购且供应商因落实政府采购政策拟进行分包的。</w:t>
            </w:r>
          </w:p>
        </w:tc>
        <w:tc>
          <w:tcPr>
            <w:tcW w:w="1756" w:type="pct"/>
            <w:tcBorders>
              <w:bottom w:val="single" w:color="auto" w:sz="4" w:space="0"/>
            </w:tcBorders>
            <w:vAlign w:val="center"/>
          </w:tcPr>
          <w:p w14:paraId="6158A319">
            <w:pPr>
              <w:keepNext w:val="0"/>
              <w:keepLines w:val="0"/>
              <w:pageBreakBefore w:val="0"/>
              <w:widowControl w:val="0"/>
              <w:kinsoku/>
              <w:wordWrap/>
              <w:overflowPunct/>
              <w:topLinePunct w:val="0"/>
              <w:autoSpaceDE/>
              <w:autoSpaceDN/>
              <w:bidi w:val="0"/>
              <w:spacing w:line="360" w:lineRule="exact"/>
              <w:ind w:right="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详见第六章响应文件格式。</w:t>
            </w:r>
          </w:p>
        </w:tc>
      </w:tr>
      <w:tr w14:paraId="30C95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tcBorders>
              <w:bottom w:val="single" w:color="auto" w:sz="4" w:space="0"/>
            </w:tcBorders>
            <w:vAlign w:val="center"/>
          </w:tcPr>
          <w:p w14:paraId="3011C041">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6</w:t>
            </w:r>
          </w:p>
        </w:tc>
        <w:tc>
          <w:tcPr>
            <w:tcW w:w="898" w:type="pct"/>
            <w:tcBorders>
              <w:bottom w:val="single" w:color="auto" w:sz="4" w:space="0"/>
            </w:tcBorders>
            <w:vAlign w:val="center"/>
          </w:tcPr>
          <w:p w14:paraId="10992098">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其它落实政府采</w:t>
            </w:r>
            <w:r>
              <w:rPr>
                <w:rFonts w:hint="eastAsia" w:ascii="宋体" w:hAnsi="宋体" w:eastAsia="宋体" w:cs="宋体"/>
                <w:color w:val="auto"/>
                <w:spacing w:val="11"/>
                <w:sz w:val="24"/>
                <w:szCs w:val="24"/>
                <w:highlight w:val="none"/>
              </w:rPr>
              <w:t>购政策的资格要</w:t>
            </w:r>
            <w:r>
              <w:rPr>
                <w:rFonts w:hint="eastAsia" w:ascii="宋体" w:hAnsi="宋体" w:eastAsia="宋体" w:cs="宋体"/>
                <w:color w:val="auto"/>
                <w:sz w:val="24"/>
                <w:szCs w:val="24"/>
                <w:highlight w:val="none"/>
              </w:rPr>
              <w:t>求</w:t>
            </w:r>
          </w:p>
        </w:tc>
        <w:tc>
          <w:tcPr>
            <w:tcW w:w="2012" w:type="pct"/>
            <w:tcBorders>
              <w:bottom w:val="single" w:color="auto" w:sz="4" w:space="0"/>
            </w:tcBorders>
            <w:vAlign w:val="center"/>
          </w:tcPr>
          <w:p w14:paraId="6BB3386D">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如有，见第一章《</w:t>
            </w:r>
            <w:r>
              <w:rPr>
                <w:rFonts w:hint="eastAsia" w:ascii="宋体" w:hAnsi="宋体" w:eastAsia="宋体" w:cs="宋体"/>
                <w:color w:val="auto"/>
                <w:spacing w:val="-2"/>
                <w:sz w:val="24"/>
                <w:szCs w:val="24"/>
                <w:highlight w:val="none"/>
                <w:lang w:eastAsia="zh-CN"/>
              </w:rPr>
              <w:t>采购邀请</w:t>
            </w:r>
            <w:r>
              <w:rPr>
                <w:rFonts w:hint="eastAsia" w:ascii="宋体" w:hAnsi="宋体" w:eastAsia="宋体" w:cs="宋体"/>
                <w:color w:val="auto"/>
                <w:spacing w:val="-2"/>
                <w:sz w:val="24"/>
                <w:szCs w:val="24"/>
                <w:highlight w:val="none"/>
              </w:rPr>
              <w:t>》</w:t>
            </w:r>
          </w:p>
        </w:tc>
        <w:tc>
          <w:tcPr>
            <w:tcW w:w="1756" w:type="pct"/>
            <w:tcBorders>
              <w:bottom w:val="single" w:color="auto" w:sz="4" w:space="0"/>
            </w:tcBorders>
            <w:vAlign w:val="center"/>
          </w:tcPr>
          <w:p w14:paraId="1FEC7812">
            <w:pPr>
              <w:keepNext w:val="0"/>
              <w:keepLines w:val="0"/>
              <w:pageBreakBefore w:val="0"/>
              <w:widowControl w:val="0"/>
              <w:kinsoku/>
              <w:wordWrap/>
              <w:overflowPunct/>
              <w:topLinePunct w:val="0"/>
              <w:autoSpaceDE/>
              <w:autoSpaceDN/>
              <w:bidi w:val="0"/>
              <w:spacing w:line="360" w:lineRule="exact"/>
              <w:ind w:right="0"/>
              <w:textAlignment w:val="auto"/>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rPr>
              <w:t>提供材料扫描件或电子证照，应完整体现出材料或电子证照全部内容。</w:t>
            </w:r>
          </w:p>
        </w:tc>
      </w:tr>
      <w:tr w14:paraId="59A1F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tcBorders>
              <w:bottom w:val="single" w:color="auto" w:sz="4" w:space="0"/>
            </w:tcBorders>
            <w:vAlign w:val="center"/>
          </w:tcPr>
          <w:p w14:paraId="02B7B4B1">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7</w:t>
            </w:r>
          </w:p>
        </w:tc>
        <w:tc>
          <w:tcPr>
            <w:tcW w:w="898" w:type="pct"/>
            <w:tcBorders>
              <w:bottom w:val="single" w:color="auto" w:sz="4" w:space="0"/>
            </w:tcBorders>
            <w:vAlign w:val="center"/>
          </w:tcPr>
          <w:p w14:paraId="6607B6C2">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pacing w:val="10"/>
                <w:sz w:val="24"/>
                <w:szCs w:val="24"/>
                <w:highlight w:val="none"/>
              </w:rPr>
              <w:t>本项目对于联合</w:t>
            </w:r>
            <w:r>
              <w:rPr>
                <w:rFonts w:hint="eastAsia" w:ascii="宋体" w:hAnsi="宋体" w:eastAsia="宋体" w:cs="宋体"/>
                <w:color w:val="auto"/>
                <w:spacing w:val="-2"/>
                <w:sz w:val="24"/>
                <w:szCs w:val="24"/>
                <w:highlight w:val="none"/>
              </w:rPr>
              <w:t>体的要求</w:t>
            </w:r>
          </w:p>
        </w:tc>
        <w:tc>
          <w:tcPr>
            <w:tcW w:w="2012" w:type="pct"/>
            <w:tcBorders>
              <w:bottom w:val="single" w:color="auto" w:sz="4" w:space="0"/>
            </w:tcBorders>
            <w:vAlign w:val="center"/>
          </w:tcPr>
          <w:p w14:paraId="18F0E3E9">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联合体磋商的</w:t>
            </w:r>
            <w:r>
              <w:rPr>
                <w:rFonts w:hint="eastAsia" w:ascii="宋体" w:hAnsi="宋体" w:eastAsia="宋体" w:cs="宋体"/>
                <w:color w:val="auto"/>
                <w:spacing w:val="10"/>
                <w:sz w:val="24"/>
                <w:szCs w:val="24"/>
                <w:highlight w:val="none"/>
              </w:rPr>
              <w:t>详见</w:t>
            </w: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lang w:val="zh-CN"/>
              </w:rPr>
              <w:t>须知正文第</w:t>
            </w:r>
            <w:r>
              <w:rPr>
                <w:rFonts w:hint="eastAsia" w:ascii="宋体" w:hAnsi="宋体" w:eastAsia="宋体" w:cs="宋体"/>
                <w:color w:val="auto"/>
                <w:sz w:val="24"/>
                <w:szCs w:val="24"/>
                <w:highlight w:val="none"/>
              </w:rPr>
              <w:t>1.5，且</w:t>
            </w:r>
            <w:r>
              <w:rPr>
                <w:rFonts w:hint="eastAsia" w:ascii="宋体" w:hAnsi="宋体" w:eastAsia="宋体" w:cs="宋体"/>
                <w:color w:val="auto"/>
                <w:spacing w:val="10"/>
                <w:sz w:val="24"/>
                <w:szCs w:val="24"/>
                <w:highlight w:val="none"/>
              </w:rPr>
              <w:t>提供《联合协议》。</w:t>
            </w:r>
          </w:p>
        </w:tc>
        <w:tc>
          <w:tcPr>
            <w:tcW w:w="1756" w:type="pct"/>
            <w:tcBorders>
              <w:bottom w:val="single" w:color="auto" w:sz="4" w:space="0"/>
            </w:tcBorders>
            <w:vAlign w:val="center"/>
          </w:tcPr>
          <w:p w14:paraId="45067A3C">
            <w:pPr>
              <w:keepNext w:val="0"/>
              <w:keepLines w:val="0"/>
              <w:pageBreakBefore w:val="0"/>
              <w:widowControl w:val="0"/>
              <w:kinsoku/>
              <w:wordWrap/>
              <w:overflowPunct/>
              <w:topLinePunct w:val="0"/>
              <w:autoSpaceDE/>
              <w:autoSpaceDN/>
              <w:bidi w:val="0"/>
              <w:spacing w:line="360" w:lineRule="exact"/>
              <w:ind w:right="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《联合协议》</w:t>
            </w:r>
            <w:r>
              <w:rPr>
                <w:rFonts w:hint="eastAsia" w:ascii="宋体" w:hAnsi="宋体" w:eastAsia="宋体" w:cs="宋体"/>
                <w:color w:val="auto"/>
                <w:sz w:val="24"/>
                <w:highlight w:val="none"/>
              </w:rPr>
              <w:t>详见第六章响应文件格式。</w:t>
            </w:r>
          </w:p>
        </w:tc>
      </w:tr>
      <w:tr w14:paraId="1773B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vAlign w:val="center"/>
          </w:tcPr>
          <w:p w14:paraId="2EC941D8">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8</w:t>
            </w:r>
          </w:p>
        </w:tc>
        <w:tc>
          <w:tcPr>
            <w:tcW w:w="898" w:type="pct"/>
            <w:vAlign w:val="center"/>
          </w:tcPr>
          <w:p w14:paraId="70A97098">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pacing w:val="10"/>
                <w:sz w:val="24"/>
                <w:szCs w:val="24"/>
                <w:highlight w:val="none"/>
              </w:rPr>
              <w:t>其他特定资格要求</w:t>
            </w:r>
          </w:p>
        </w:tc>
        <w:tc>
          <w:tcPr>
            <w:tcW w:w="2012" w:type="pct"/>
            <w:vAlign w:val="center"/>
          </w:tcPr>
          <w:p w14:paraId="46ECCF3A">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pacing w:val="10"/>
                <w:sz w:val="24"/>
                <w:szCs w:val="24"/>
                <w:highlight w:val="none"/>
              </w:rPr>
              <w:t>如有，见第一章《</w:t>
            </w:r>
            <w:r>
              <w:rPr>
                <w:rFonts w:hint="eastAsia" w:ascii="宋体" w:hAnsi="宋体" w:eastAsia="宋体" w:cs="宋体"/>
                <w:color w:val="auto"/>
                <w:spacing w:val="10"/>
                <w:sz w:val="24"/>
                <w:szCs w:val="24"/>
                <w:highlight w:val="none"/>
                <w:lang w:eastAsia="zh-CN"/>
              </w:rPr>
              <w:t>采购邀请</w:t>
            </w:r>
            <w:r>
              <w:rPr>
                <w:rFonts w:hint="eastAsia" w:ascii="宋体" w:hAnsi="宋体" w:eastAsia="宋体" w:cs="宋体"/>
                <w:color w:val="auto"/>
                <w:spacing w:val="10"/>
                <w:sz w:val="24"/>
                <w:szCs w:val="24"/>
                <w:highlight w:val="none"/>
              </w:rPr>
              <w:t>》</w:t>
            </w:r>
          </w:p>
        </w:tc>
        <w:tc>
          <w:tcPr>
            <w:tcW w:w="1756" w:type="pct"/>
            <w:vAlign w:val="center"/>
          </w:tcPr>
          <w:p w14:paraId="6627EF44">
            <w:pPr>
              <w:keepNext w:val="0"/>
              <w:keepLines w:val="0"/>
              <w:pageBreakBefore w:val="0"/>
              <w:widowControl w:val="0"/>
              <w:kinsoku/>
              <w:wordWrap/>
              <w:overflowPunct/>
              <w:topLinePunct w:val="0"/>
              <w:autoSpaceDE/>
              <w:autoSpaceDN/>
              <w:bidi w:val="0"/>
              <w:spacing w:line="360" w:lineRule="exact"/>
              <w:ind w:right="0"/>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提供材料扫描件或电子证照，应完整体现出材料或电子证照全部内容。</w:t>
            </w:r>
          </w:p>
        </w:tc>
      </w:tr>
      <w:tr w14:paraId="65F61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50" w:hRule="atLeast"/>
          <w:jc w:val="center"/>
        </w:trPr>
        <w:tc>
          <w:tcPr>
            <w:tcW w:w="5000" w:type="pct"/>
            <w:gridSpan w:val="4"/>
            <w:vAlign w:val="center"/>
          </w:tcPr>
          <w:p w14:paraId="239F38C5">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符合性评审</w:t>
            </w:r>
          </w:p>
        </w:tc>
      </w:tr>
      <w:tr w14:paraId="2AD77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00" w:hRule="atLeast"/>
          <w:jc w:val="center"/>
        </w:trPr>
        <w:tc>
          <w:tcPr>
            <w:tcW w:w="332" w:type="pct"/>
            <w:shd w:val="clear" w:color="auto" w:fill="auto"/>
            <w:vAlign w:val="center"/>
          </w:tcPr>
          <w:p w14:paraId="4D1011E5">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b/>
                <w:bCs/>
                <w:color w:val="auto"/>
                <w:kern w:val="2"/>
                <w:sz w:val="24"/>
                <w:highlight w:val="none"/>
                <w:lang w:val="en-US" w:eastAsia="zh-CN" w:bidi="ar-SA"/>
              </w:rPr>
            </w:pPr>
            <w:r>
              <w:rPr>
                <w:rFonts w:hint="eastAsia" w:ascii="宋体" w:hAnsi="宋体" w:eastAsia="宋体" w:cs="宋体"/>
                <w:b/>
                <w:bCs/>
                <w:color w:val="auto"/>
                <w:sz w:val="24"/>
                <w:highlight w:val="none"/>
              </w:rPr>
              <w:t>序号</w:t>
            </w:r>
          </w:p>
        </w:tc>
        <w:tc>
          <w:tcPr>
            <w:tcW w:w="898" w:type="pct"/>
            <w:shd w:val="clear" w:color="auto" w:fill="auto"/>
            <w:vAlign w:val="center"/>
          </w:tcPr>
          <w:p w14:paraId="72A8A205">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snapToGrid w:val="0"/>
              <w:spacing w:line="360" w:lineRule="exact"/>
              <w:ind w:right="0" w:rightChars="0"/>
              <w:jc w:val="center"/>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Cs w:val="24"/>
                <w:highlight w:val="none"/>
              </w:rPr>
              <w:t>审查指标</w:t>
            </w:r>
          </w:p>
        </w:tc>
        <w:tc>
          <w:tcPr>
            <w:tcW w:w="2012" w:type="pct"/>
            <w:shd w:val="clear" w:color="auto" w:fill="auto"/>
            <w:vAlign w:val="center"/>
          </w:tcPr>
          <w:p w14:paraId="3F65AC27">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b/>
                <w:bCs/>
                <w:color w:val="auto"/>
                <w:kern w:val="2"/>
                <w:sz w:val="24"/>
                <w:highlight w:val="none"/>
                <w:lang w:val="en-US" w:eastAsia="zh-CN" w:bidi="ar-SA"/>
              </w:rPr>
            </w:pPr>
            <w:r>
              <w:rPr>
                <w:rFonts w:hint="eastAsia" w:ascii="宋体" w:hAnsi="宋体" w:eastAsia="宋体" w:cs="宋体"/>
                <w:b/>
                <w:bCs/>
                <w:color w:val="auto"/>
                <w:sz w:val="24"/>
                <w:highlight w:val="none"/>
              </w:rPr>
              <w:t>审查标准</w:t>
            </w:r>
          </w:p>
        </w:tc>
        <w:tc>
          <w:tcPr>
            <w:tcW w:w="1756" w:type="pct"/>
            <w:shd w:val="clear" w:color="auto" w:fill="auto"/>
            <w:vAlign w:val="center"/>
          </w:tcPr>
          <w:p w14:paraId="4032F00A">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b/>
                <w:bCs/>
                <w:color w:val="auto"/>
                <w:kern w:val="2"/>
                <w:sz w:val="24"/>
                <w:highlight w:val="none"/>
                <w:lang w:val="en-US" w:eastAsia="zh-CN" w:bidi="ar-SA"/>
              </w:rPr>
            </w:pPr>
            <w:r>
              <w:rPr>
                <w:rFonts w:hint="eastAsia" w:ascii="宋体" w:hAnsi="宋体" w:eastAsia="宋体" w:cs="宋体"/>
                <w:b/>
                <w:bCs/>
                <w:color w:val="auto"/>
                <w:sz w:val="24"/>
                <w:highlight w:val="none"/>
              </w:rPr>
              <w:t>格式要求</w:t>
            </w:r>
          </w:p>
        </w:tc>
      </w:tr>
      <w:tr w14:paraId="2F181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vAlign w:val="center"/>
          </w:tcPr>
          <w:p w14:paraId="2597803D">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9</w:t>
            </w:r>
          </w:p>
        </w:tc>
        <w:tc>
          <w:tcPr>
            <w:tcW w:w="898" w:type="pct"/>
            <w:vAlign w:val="center"/>
          </w:tcPr>
          <w:p w14:paraId="6A74119D">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磋商响应函</w:t>
            </w:r>
          </w:p>
        </w:tc>
        <w:tc>
          <w:tcPr>
            <w:tcW w:w="2012" w:type="pct"/>
            <w:vAlign w:val="center"/>
          </w:tcPr>
          <w:p w14:paraId="2F9DF45D">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格式、填写要求符合磋商文件规定并加盖供应商签章</w:t>
            </w:r>
          </w:p>
        </w:tc>
        <w:tc>
          <w:tcPr>
            <w:tcW w:w="1756" w:type="pct"/>
            <w:vAlign w:val="center"/>
          </w:tcPr>
          <w:p w14:paraId="1EA5D4FF">
            <w:pPr>
              <w:keepNext w:val="0"/>
              <w:keepLines w:val="0"/>
              <w:pageBreakBefore w:val="0"/>
              <w:widowControl w:val="0"/>
              <w:kinsoku/>
              <w:wordWrap/>
              <w:overflowPunct/>
              <w:topLinePunct w:val="0"/>
              <w:autoSpaceDE/>
              <w:autoSpaceDN/>
              <w:bidi w:val="0"/>
              <w:adjustRightInd w:val="0"/>
              <w:snapToGrid w:val="0"/>
              <w:spacing w:line="360" w:lineRule="exact"/>
              <w:ind w:right="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详见第六章响应文件格式。</w:t>
            </w:r>
          </w:p>
        </w:tc>
      </w:tr>
      <w:tr w14:paraId="3024B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vAlign w:val="center"/>
          </w:tcPr>
          <w:p w14:paraId="6896D9E2">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10</w:t>
            </w:r>
          </w:p>
        </w:tc>
        <w:tc>
          <w:tcPr>
            <w:tcW w:w="898" w:type="pct"/>
            <w:vAlign w:val="center"/>
          </w:tcPr>
          <w:p w14:paraId="6E316547">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8"/>
                <w:highlight w:val="none"/>
              </w:rPr>
              <w:t>授权书</w:t>
            </w:r>
          </w:p>
        </w:tc>
        <w:tc>
          <w:tcPr>
            <w:tcW w:w="2012" w:type="pct"/>
            <w:vAlign w:val="center"/>
          </w:tcPr>
          <w:p w14:paraId="6D194122">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8"/>
                <w:highlight w:val="none"/>
              </w:rPr>
              <w:t>格式、填写要求符合</w:t>
            </w:r>
            <w:r>
              <w:rPr>
                <w:rFonts w:hint="eastAsia" w:ascii="宋体" w:hAnsi="宋体" w:eastAsia="宋体" w:cs="宋体"/>
                <w:color w:val="auto"/>
                <w:spacing w:val="10"/>
                <w:sz w:val="24"/>
                <w:szCs w:val="24"/>
                <w:highlight w:val="none"/>
              </w:rPr>
              <w:t>磋商</w:t>
            </w:r>
            <w:r>
              <w:rPr>
                <w:rFonts w:hint="eastAsia" w:ascii="宋体" w:hAnsi="宋体" w:eastAsia="宋体" w:cs="宋体"/>
                <w:color w:val="auto"/>
                <w:sz w:val="24"/>
                <w:szCs w:val="28"/>
                <w:highlight w:val="none"/>
              </w:rPr>
              <w:t>文件规定并加盖</w:t>
            </w:r>
            <w:r>
              <w:rPr>
                <w:rFonts w:hint="eastAsia" w:ascii="宋体" w:hAnsi="宋体" w:eastAsia="宋体" w:cs="宋体"/>
                <w:color w:val="auto"/>
                <w:sz w:val="24"/>
                <w:highlight w:val="none"/>
              </w:rPr>
              <w:t>供应商</w:t>
            </w:r>
            <w:r>
              <w:rPr>
                <w:rFonts w:hint="eastAsia" w:ascii="宋体" w:hAnsi="宋体" w:eastAsia="宋体" w:cs="宋体"/>
                <w:color w:val="auto"/>
                <w:sz w:val="24"/>
                <w:szCs w:val="28"/>
                <w:highlight w:val="none"/>
              </w:rPr>
              <w:t>签章</w:t>
            </w:r>
          </w:p>
        </w:tc>
        <w:tc>
          <w:tcPr>
            <w:tcW w:w="1756" w:type="pct"/>
            <w:vAlign w:val="center"/>
          </w:tcPr>
          <w:p w14:paraId="04BD6E37">
            <w:pPr>
              <w:keepNext w:val="0"/>
              <w:keepLines w:val="0"/>
              <w:pageBreakBefore w:val="0"/>
              <w:widowControl w:val="0"/>
              <w:kinsoku/>
              <w:wordWrap/>
              <w:overflowPunct/>
              <w:topLinePunct w:val="0"/>
              <w:autoSpaceDE/>
              <w:autoSpaceDN/>
              <w:bidi w:val="0"/>
              <w:adjustRightInd w:val="0"/>
              <w:snapToGrid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法定代表人参加磋商的无需此件，提供身份证明即可。详见第六章响应文件格式。</w:t>
            </w:r>
          </w:p>
        </w:tc>
      </w:tr>
      <w:tr w14:paraId="28A10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vAlign w:val="center"/>
          </w:tcPr>
          <w:p w14:paraId="681B94E7">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11</w:t>
            </w:r>
          </w:p>
        </w:tc>
        <w:tc>
          <w:tcPr>
            <w:tcW w:w="898" w:type="pct"/>
            <w:vAlign w:val="center"/>
          </w:tcPr>
          <w:p w14:paraId="2AF597C0">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8"/>
                <w:highlight w:val="none"/>
              </w:rPr>
              <w:t>磋商报价</w:t>
            </w:r>
          </w:p>
        </w:tc>
        <w:tc>
          <w:tcPr>
            <w:tcW w:w="2012" w:type="pct"/>
            <w:vAlign w:val="center"/>
          </w:tcPr>
          <w:p w14:paraId="3AE8FC9A">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8"/>
                <w:highlight w:val="none"/>
              </w:rPr>
              <w:t>符合</w:t>
            </w:r>
            <w:r>
              <w:rPr>
                <w:rFonts w:hint="eastAsia" w:ascii="宋体" w:hAnsi="宋体" w:eastAsia="宋体" w:cs="宋体"/>
                <w:color w:val="auto"/>
                <w:spacing w:val="10"/>
                <w:sz w:val="24"/>
                <w:szCs w:val="24"/>
                <w:highlight w:val="none"/>
              </w:rPr>
              <w:t>磋商</w:t>
            </w:r>
            <w:r>
              <w:rPr>
                <w:rFonts w:hint="eastAsia" w:ascii="宋体" w:hAnsi="宋体" w:eastAsia="宋体" w:cs="宋体"/>
                <w:color w:val="auto"/>
                <w:sz w:val="24"/>
                <w:highlight w:val="none"/>
              </w:rPr>
              <w:t>文件供应商须知正文第9条要求</w:t>
            </w:r>
          </w:p>
        </w:tc>
        <w:tc>
          <w:tcPr>
            <w:tcW w:w="1756" w:type="pct"/>
            <w:vAlign w:val="center"/>
          </w:tcPr>
          <w:p w14:paraId="25E59767">
            <w:pPr>
              <w:keepNext w:val="0"/>
              <w:keepLines w:val="0"/>
              <w:pageBreakBefore w:val="0"/>
              <w:widowControl w:val="0"/>
              <w:kinsoku/>
              <w:wordWrap/>
              <w:overflowPunct/>
              <w:topLinePunct w:val="0"/>
              <w:autoSpaceDE/>
              <w:autoSpaceDN/>
              <w:bidi w:val="0"/>
              <w:adjustRightInd w:val="0"/>
              <w:snapToGrid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详见第六章响应文件格式。</w:t>
            </w:r>
          </w:p>
        </w:tc>
      </w:tr>
      <w:tr w14:paraId="72AD2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vAlign w:val="center"/>
          </w:tcPr>
          <w:p w14:paraId="3CD4474B">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12</w:t>
            </w:r>
          </w:p>
        </w:tc>
        <w:tc>
          <w:tcPr>
            <w:tcW w:w="898" w:type="pct"/>
            <w:vAlign w:val="center"/>
          </w:tcPr>
          <w:p w14:paraId="0A4769AA">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8"/>
                <w:highlight w:val="none"/>
              </w:rPr>
              <w:t>商务响应情况</w:t>
            </w:r>
          </w:p>
        </w:tc>
        <w:tc>
          <w:tcPr>
            <w:tcW w:w="2012" w:type="pct"/>
            <w:vAlign w:val="center"/>
          </w:tcPr>
          <w:p w14:paraId="1CB64762">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8"/>
                <w:highlight w:val="none"/>
              </w:rPr>
              <w:t>符合</w:t>
            </w:r>
            <w:r>
              <w:rPr>
                <w:rFonts w:hint="eastAsia" w:ascii="宋体" w:hAnsi="宋体" w:eastAsia="宋体" w:cs="宋体"/>
                <w:color w:val="auto"/>
                <w:spacing w:val="10"/>
                <w:sz w:val="24"/>
                <w:szCs w:val="24"/>
                <w:highlight w:val="none"/>
              </w:rPr>
              <w:t>磋商</w:t>
            </w:r>
            <w:r>
              <w:rPr>
                <w:rFonts w:hint="eastAsia" w:ascii="宋体" w:hAnsi="宋体" w:eastAsia="宋体" w:cs="宋体"/>
                <w:color w:val="auto"/>
                <w:sz w:val="24"/>
                <w:szCs w:val="28"/>
                <w:highlight w:val="none"/>
              </w:rPr>
              <w:t>文件采购需求中对付款方式、服务地点、服务期限等实质性要求</w:t>
            </w:r>
          </w:p>
        </w:tc>
        <w:tc>
          <w:tcPr>
            <w:tcW w:w="1756" w:type="pct"/>
            <w:vAlign w:val="center"/>
          </w:tcPr>
          <w:p w14:paraId="35E70147">
            <w:pPr>
              <w:keepNext w:val="0"/>
              <w:keepLines w:val="0"/>
              <w:pageBreakBefore w:val="0"/>
              <w:widowControl w:val="0"/>
              <w:kinsoku/>
              <w:wordWrap/>
              <w:overflowPunct/>
              <w:topLinePunct w:val="0"/>
              <w:autoSpaceDE/>
              <w:autoSpaceDN/>
              <w:bidi w:val="0"/>
              <w:adjustRightInd w:val="0"/>
              <w:snapToGrid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详见第六章响应文件格式。</w:t>
            </w:r>
          </w:p>
        </w:tc>
      </w:tr>
      <w:tr w14:paraId="53896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vAlign w:val="center"/>
          </w:tcPr>
          <w:p w14:paraId="2E6CEE22">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3</w:t>
            </w:r>
          </w:p>
        </w:tc>
        <w:tc>
          <w:tcPr>
            <w:tcW w:w="898" w:type="pct"/>
            <w:vAlign w:val="center"/>
          </w:tcPr>
          <w:p w14:paraId="7CA8A3C5">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8"/>
                <w:highlight w:val="none"/>
              </w:rPr>
              <w:t>其他要求</w:t>
            </w:r>
          </w:p>
        </w:tc>
        <w:tc>
          <w:tcPr>
            <w:tcW w:w="2012" w:type="pct"/>
            <w:vAlign w:val="center"/>
          </w:tcPr>
          <w:p w14:paraId="6F8FDA4A">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8"/>
                <w:highlight w:val="none"/>
              </w:rPr>
              <w:t>符合法律、行政法规规定的其他条件或磋商文件列明的其他实质性要求</w:t>
            </w:r>
          </w:p>
        </w:tc>
        <w:tc>
          <w:tcPr>
            <w:tcW w:w="1756" w:type="pct"/>
            <w:vAlign w:val="center"/>
          </w:tcPr>
          <w:p w14:paraId="7AE371B1">
            <w:pPr>
              <w:keepNext w:val="0"/>
              <w:keepLines w:val="0"/>
              <w:pageBreakBefore w:val="0"/>
              <w:widowControl w:val="0"/>
              <w:kinsoku/>
              <w:wordWrap/>
              <w:overflowPunct/>
              <w:topLinePunct w:val="0"/>
              <w:autoSpaceDE/>
              <w:autoSpaceDN/>
              <w:bidi w:val="0"/>
              <w:adjustRightInd w:val="0"/>
              <w:snapToGrid w:val="0"/>
              <w:spacing w:line="360" w:lineRule="exact"/>
              <w:ind w:right="0"/>
              <w:jc w:val="both"/>
              <w:textAlignment w:val="auto"/>
              <w:rPr>
                <w:rFonts w:hint="eastAsia" w:ascii="宋体" w:hAnsi="宋体" w:eastAsia="宋体" w:cs="宋体"/>
                <w:color w:val="auto"/>
                <w:sz w:val="24"/>
                <w:szCs w:val="24"/>
                <w:highlight w:val="none"/>
              </w:rPr>
            </w:pPr>
          </w:p>
        </w:tc>
      </w:tr>
    </w:tbl>
    <w:p w14:paraId="3CB619FD">
      <w:pPr>
        <w:spacing w:line="360" w:lineRule="auto"/>
        <w:ind w:firstLine="435"/>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初审指标通过标准：</w:t>
      </w:r>
      <w:r>
        <w:rPr>
          <w:rFonts w:hint="eastAsia" w:ascii="宋体" w:hAnsi="宋体" w:eastAsia="宋体" w:cs="宋体"/>
          <w:color w:val="auto"/>
          <w:sz w:val="24"/>
          <w:highlight w:val="none"/>
        </w:rPr>
        <w:t>供应商必须通过初审表中的全部评审指标。</w:t>
      </w:r>
    </w:p>
    <w:p w14:paraId="6BD645F6">
      <w:pPr>
        <w:spacing w:line="360" w:lineRule="auto"/>
        <w:ind w:firstLine="435"/>
        <w:outlineLvl w:val="2"/>
        <w:rPr>
          <w:rFonts w:hint="eastAsia" w:ascii="宋体" w:hAnsi="宋体" w:eastAsia="宋体" w:cs="宋体"/>
          <w:b/>
          <w:color w:val="auto"/>
          <w:sz w:val="24"/>
          <w:highlight w:val="none"/>
        </w:rPr>
      </w:pPr>
    </w:p>
    <w:p w14:paraId="4F2C7815">
      <w:pPr>
        <w:spacing w:line="360" w:lineRule="auto"/>
        <w:ind w:firstLine="435"/>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2.2综合评分</w:t>
      </w:r>
    </w:p>
    <w:p w14:paraId="0A0BDC9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2.2.1磋商小组按照下表对进入综合评分的所有供应商的响应文件进行综合评分。</w:t>
      </w:r>
    </w:p>
    <w:p w14:paraId="1621EF8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2.2.2本项目综合评分满分为100分，其中：技术资信分值占总分值的权重为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70</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%，价格分值占总分值的权重为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30</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%。具体评分细则如下：</w:t>
      </w:r>
    </w:p>
    <w:tbl>
      <w:tblPr>
        <w:tblStyle w:val="24"/>
        <w:tblW w:w="92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1" w:type="dxa"/>
          <w:bottom w:w="28" w:type="dxa"/>
          <w:right w:w="51" w:type="dxa"/>
        </w:tblCellMar>
      </w:tblPr>
      <w:tblGrid>
        <w:gridCol w:w="1183"/>
        <w:gridCol w:w="1074"/>
        <w:gridCol w:w="6369"/>
        <w:gridCol w:w="653"/>
      </w:tblGrid>
      <w:tr w14:paraId="31AC1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789" w:hRule="atLeast"/>
          <w:jc w:val="center"/>
        </w:trPr>
        <w:tc>
          <w:tcPr>
            <w:tcW w:w="1183" w:type="dxa"/>
            <w:tcBorders>
              <w:top w:val="single" w:color="auto" w:sz="4" w:space="0"/>
              <w:left w:val="single" w:color="auto" w:sz="4" w:space="0"/>
              <w:bottom w:val="single" w:color="auto" w:sz="4" w:space="0"/>
              <w:right w:val="single" w:color="auto" w:sz="4" w:space="0"/>
            </w:tcBorders>
            <w:noWrap w:val="0"/>
            <w:vAlign w:val="center"/>
          </w:tcPr>
          <w:p w14:paraId="56E9CBCD">
            <w:pPr>
              <w:spacing w:line="400" w:lineRule="exact"/>
              <w:jc w:val="center"/>
              <w:rPr>
                <w:rFonts w:ascii="宋体" w:hAnsi="宋体" w:cs="宋体"/>
                <w:b/>
                <w:bCs/>
                <w:color w:val="auto"/>
                <w:sz w:val="24"/>
                <w:szCs w:val="24"/>
                <w:highlight w:val="none"/>
              </w:rPr>
            </w:pPr>
            <w:r>
              <w:rPr>
                <w:rFonts w:hint="eastAsia" w:ascii="宋体" w:hAnsi="宋体" w:cs="宋体"/>
                <w:b/>
                <w:bCs/>
                <w:color w:val="auto"/>
                <w:sz w:val="24"/>
                <w:szCs w:val="24"/>
                <w:highlight w:val="none"/>
              </w:rPr>
              <w:t>类别</w:t>
            </w:r>
          </w:p>
        </w:tc>
        <w:tc>
          <w:tcPr>
            <w:tcW w:w="1074" w:type="dxa"/>
            <w:tcBorders>
              <w:top w:val="single" w:color="auto" w:sz="4" w:space="0"/>
              <w:left w:val="single" w:color="auto" w:sz="4" w:space="0"/>
              <w:bottom w:val="single" w:color="auto" w:sz="4" w:space="0"/>
              <w:right w:val="single" w:color="auto" w:sz="4" w:space="0"/>
            </w:tcBorders>
            <w:noWrap w:val="0"/>
            <w:vAlign w:val="center"/>
          </w:tcPr>
          <w:p w14:paraId="26D0187F">
            <w:pPr>
              <w:spacing w:line="400" w:lineRule="exact"/>
              <w:jc w:val="center"/>
              <w:rPr>
                <w:rFonts w:ascii="宋体" w:hAnsi="宋体" w:cs="宋体"/>
                <w:b/>
                <w:bCs/>
                <w:color w:val="auto"/>
                <w:sz w:val="24"/>
                <w:szCs w:val="24"/>
                <w:highlight w:val="none"/>
              </w:rPr>
            </w:pPr>
            <w:r>
              <w:rPr>
                <w:rFonts w:hint="eastAsia" w:ascii="宋体" w:hAnsi="宋体" w:cs="宋体"/>
                <w:b/>
                <w:bCs/>
                <w:color w:val="auto"/>
                <w:sz w:val="24"/>
                <w:szCs w:val="24"/>
                <w:highlight w:val="none"/>
              </w:rPr>
              <w:t>评分内容</w:t>
            </w:r>
          </w:p>
        </w:tc>
        <w:tc>
          <w:tcPr>
            <w:tcW w:w="6369" w:type="dxa"/>
            <w:tcBorders>
              <w:top w:val="single" w:color="auto" w:sz="4" w:space="0"/>
              <w:left w:val="single" w:color="auto" w:sz="4" w:space="0"/>
              <w:bottom w:val="single" w:color="auto" w:sz="4" w:space="0"/>
              <w:right w:val="single" w:color="auto" w:sz="4" w:space="0"/>
            </w:tcBorders>
            <w:noWrap w:val="0"/>
            <w:vAlign w:val="center"/>
          </w:tcPr>
          <w:p w14:paraId="75CECAE2">
            <w:pPr>
              <w:spacing w:line="400" w:lineRule="exact"/>
              <w:jc w:val="center"/>
              <w:rPr>
                <w:rFonts w:ascii="宋体" w:hAnsi="宋体" w:cs="宋体"/>
                <w:b/>
                <w:bCs/>
                <w:color w:val="auto"/>
                <w:sz w:val="24"/>
                <w:szCs w:val="24"/>
                <w:highlight w:val="none"/>
              </w:rPr>
            </w:pPr>
            <w:r>
              <w:rPr>
                <w:rFonts w:hint="eastAsia" w:ascii="宋体" w:hAnsi="宋体" w:cs="宋体"/>
                <w:b/>
                <w:bCs/>
                <w:color w:val="auto"/>
                <w:sz w:val="24"/>
                <w:szCs w:val="24"/>
                <w:highlight w:val="none"/>
              </w:rPr>
              <w:t>评分标准</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5852F3DC">
            <w:pPr>
              <w:spacing w:line="400" w:lineRule="exact"/>
              <w:jc w:val="center"/>
              <w:rPr>
                <w:rFonts w:ascii="宋体" w:hAnsi="宋体" w:cs="宋体"/>
                <w:b/>
                <w:bCs/>
                <w:color w:val="auto"/>
                <w:sz w:val="24"/>
                <w:szCs w:val="24"/>
                <w:highlight w:val="none"/>
              </w:rPr>
            </w:pPr>
            <w:r>
              <w:rPr>
                <w:rFonts w:hint="eastAsia" w:ascii="宋体" w:hAnsi="宋体" w:cs="宋体"/>
                <w:b/>
                <w:bCs/>
                <w:color w:val="auto"/>
                <w:sz w:val="24"/>
                <w:szCs w:val="24"/>
                <w:highlight w:val="none"/>
              </w:rPr>
              <w:t>分值范围</w:t>
            </w:r>
          </w:p>
        </w:tc>
      </w:tr>
      <w:tr w14:paraId="61E4F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433" w:hRule="atLeast"/>
          <w:jc w:val="center"/>
        </w:trPr>
        <w:tc>
          <w:tcPr>
            <w:tcW w:w="1183" w:type="dxa"/>
            <w:vMerge w:val="restart"/>
            <w:tcBorders>
              <w:top w:val="single" w:color="auto" w:sz="4" w:space="0"/>
              <w:left w:val="single" w:color="auto" w:sz="4" w:space="0"/>
              <w:right w:val="single" w:color="auto" w:sz="4" w:space="0"/>
            </w:tcBorders>
            <w:noWrap w:val="0"/>
            <w:vAlign w:val="center"/>
          </w:tcPr>
          <w:p w14:paraId="10CCF98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技术资信分</w:t>
            </w:r>
          </w:p>
          <w:p w14:paraId="3B9171ED">
            <w:pPr>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lang w:val="en-US" w:eastAsia="zh-CN"/>
              </w:rPr>
              <w:t>9</w:t>
            </w:r>
            <w:r>
              <w:rPr>
                <w:rFonts w:hint="eastAsia" w:ascii="宋体" w:hAnsi="宋体" w:cs="宋体"/>
                <w:color w:val="auto"/>
                <w:sz w:val="24"/>
                <w:szCs w:val="24"/>
                <w:highlight w:val="none"/>
                <w:u w:val="single"/>
              </w:rPr>
              <w:t>0</w:t>
            </w:r>
            <w:r>
              <w:rPr>
                <w:rFonts w:hint="eastAsia" w:ascii="宋体" w:hAnsi="宋体" w:cs="宋体"/>
                <w:color w:val="auto"/>
                <w:sz w:val="24"/>
                <w:szCs w:val="24"/>
                <w:highlight w:val="none"/>
              </w:rPr>
              <w:t>分）</w:t>
            </w:r>
          </w:p>
        </w:tc>
        <w:tc>
          <w:tcPr>
            <w:tcW w:w="1074" w:type="dxa"/>
            <w:tcBorders>
              <w:top w:val="single" w:color="auto" w:sz="4" w:space="0"/>
              <w:left w:val="single" w:color="auto" w:sz="4" w:space="0"/>
              <w:right w:val="single" w:color="auto" w:sz="4" w:space="0"/>
            </w:tcBorders>
            <w:noWrap w:val="0"/>
            <w:vAlign w:val="center"/>
          </w:tcPr>
          <w:p w14:paraId="10441D09">
            <w:pPr>
              <w:widowControl/>
              <w:spacing w:line="400" w:lineRule="exact"/>
              <w:jc w:val="center"/>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供应商资信</w:t>
            </w:r>
          </w:p>
        </w:tc>
        <w:tc>
          <w:tcPr>
            <w:tcW w:w="6369" w:type="dxa"/>
            <w:tcBorders>
              <w:top w:val="single" w:color="auto" w:sz="4" w:space="0"/>
              <w:left w:val="single" w:color="auto" w:sz="4" w:space="0"/>
              <w:right w:val="single" w:color="auto" w:sz="4" w:space="0"/>
            </w:tcBorders>
            <w:noWrap w:val="0"/>
            <w:vAlign w:val="center"/>
          </w:tcPr>
          <w:p w14:paraId="7A9C492D">
            <w:pPr>
              <w:spacing w:line="520" w:lineRule="exact"/>
              <w:jc w:val="left"/>
              <w:rPr>
                <w:rFonts w:hint="eastAsia" w:ascii="宋体" w:hAnsi="宋体" w:cs="宋体"/>
                <w:bCs/>
                <w:color w:val="auto"/>
                <w:sz w:val="24"/>
                <w:szCs w:val="24"/>
                <w:highlight w:val="none"/>
              </w:rPr>
            </w:pPr>
            <w:r>
              <w:rPr>
                <w:rFonts w:hint="eastAsia" w:ascii="宋体" w:hAnsi="宋体" w:cs="宋体"/>
                <w:bCs/>
                <w:color w:val="auto"/>
                <w:sz w:val="24"/>
                <w:szCs w:val="24"/>
                <w:highlight w:val="none"/>
              </w:rPr>
              <w:t>1、供应商具备经中国国家认证认可监督管理委员会认可的认证机构颁发的有效期内的质量管理体系认证证书、环境管理体系认证证书和职业健康安全管理体系认证证书，每提供一个得 2 分，本项满分6 分。</w:t>
            </w:r>
          </w:p>
          <w:p w14:paraId="7B8CBEA0">
            <w:pPr>
              <w:spacing w:line="520" w:lineRule="exact"/>
              <w:jc w:val="left"/>
              <w:rPr>
                <w:rFonts w:hint="eastAsia" w:ascii="宋体" w:hAnsi="宋体" w:cs="宋体"/>
                <w:bCs/>
                <w:color w:val="auto"/>
                <w:sz w:val="24"/>
                <w:szCs w:val="24"/>
                <w:highlight w:val="none"/>
              </w:rPr>
            </w:pPr>
            <w:r>
              <w:rPr>
                <w:rFonts w:hint="eastAsia" w:ascii="宋体" w:hAnsi="宋体" w:cs="宋体"/>
                <w:bCs/>
                <w:color w:val="auto"/>
                <w:sz w:val="24"/>
                <w:szCs w:val="24"/>
                <w:highlight w:val="none"/>
              </w:rPr>
              <w:t>注：</w:t>
            </w:r>
            <w:r>
              <w:rPr>
                <w:rFonts w:hint="eastAsia" w:ascii="宋体" w:hAnsi="宋体" w:cs="宋体"/>
                <w:bCs/>
                <w:color w:val="auto"/>
                <w:sz w:val="24"/>
                <w:szCs w:val="24"/>
                <w:highlight w:val="none"/>
                <w:lang w:val="en-US" w:eastAsia="zh-CN"/>
              </w:rPr>
              <w:t>响应文件中</w:t>
            </w:r>
            <w:r>
              <w:rPr>
                <w:rFonts w:hint="eastAsia" w:ascii="宋体" w:hAnsi="宋体" w:cs="宋体"/>
                <w:bCs/>
                <w:color w:val="auto"/>
                <w:sz w:val="24"/>
                <w:szCs w:val="24"/>
                <w:highlight w:val="none"/>
              </w:rPr>
              <w:t>提供证书扫描件及全国认证认可信息公共服务平台网站证书查询截图。</w:t>
            </w:r>
          </w:p>
          <w:p w14:paraId="7CA951E4">
            <w:pPr>
              <w:spacing w:line="520" w:lineRule="exact"/>
              <w:jc w:val="left"/>
              <w:rPr>
                <w:rFonts w:hint="eastAsia" w:ascii="宋体" w:hAnsi="宋体" w:cs="宋体"/>
                <w:bCs/>
                <w:color w:val="auto"/>
                <w:sz w:val="24"/>
                <w:szCs w:val="24"/>
                <w:highlight w:val="none"/>
              </w:rPr>
            </w:pPr>
            <w:r>
              <w:rPr>
                <w:rFonts w:hint="eastAsia" w:ascii="宋体" w:hAnsi="宋体" w:cs="宋体"/>
                <w:bCs/>
                <w:color w:val="auto"/>
                <w:sz w:val="24"/>
                <w:szCs w:val="24"/>
                <w:highlight w:val="none"/>
              </w:rPr>
              <w:t>2、供应商具有电机、水泵安装维修保养服务企业一级资质证书的得</w:t>
            </w:r>
            <w:r>
              <w:rPr>
                <w:rFonts w:hint="eastAsia" w:ascii="宋体" w:hAnsi="宋体" w:cs="宋体"/>
                <w:bCs/>
                <w:color w:val="auto"/>
                <w:sz w:val="24"/>
                <w:szCs w:val="24"/>
                <w:highlight w:val="none"/>
                <w:lang w:val="en-US" w:eastAsia="zh-CN"/>
              </w:rPr>
              <w:t>5</w:t>
            </w:r>
            <w:r>
              <w:rPr>
                <w:rFonts w:hint="eastAsia" w:ascii="宋体" w:hAnsi="宋体" w:cs="宋体"/>
                <w:bCs/>
                <w:color w:val="auto"/>
                <w:sz w:val="24"/>
                <w:szCs w:val="24"/>
                <w:highlight w:val="none"/>
              </w:rPr>
              <w:t>分，没有不得分，本项满分</w:t>
            </w:r>
            <w:r>
              <w:rPr>
                <w:rFonts w:hint="eastAsia" w:ascii="宋体" w:hAnsi="宋体" w:cs="宋体"/>
                <w:bCs/>
                <w:color w:val="auto"/>
                <w:sz w:val="24"/>
                <w:szCs w:val="24"/>
                <w:highlight w:val="none"/>
                <w:lang w:val="en-US" w:eastAsia="zh-CN"/>
              </w:rPr>
              <w:t>5</w:t>
            </w:r>
            <w:r>
              <w:rPr>
                <w:rFonts w:hint="eastAsia" w:ascii="宋体" w:hAnsi="宋体" w:cs="宋体"/>
                <w:bCs/>
                <w:color w:val="auto"/>
                <w:sz w:val="24"/>
                <w:szCs w:val="24"/>
                <w:highlight w:val="none"/>
              </w:rPr>
              <w:t>分。</w:t>
            </w:r>
          </w:p>
          <w:p w14:paraId="4C667597">
            <w:pPr>
              <w:spacing w:line="520" w:lineRule="exact"/>
              <w:jc w:val="left"/>
              <w:rPr>
                <w:rFonts w:ascii="宋体" w:hAnsi="宋体" w:cs="宋体"/>
                <w:bCs/>
                <w:color w:val="auto"/>
                <w:sz w:val="24"/>
                <w:szCs w:val="24"/>
                <w:highlight w:val="none"/>
              </w:rPr>
            </w:pPr>
            <w:r>
              <w:rPr>
                <w:rFonts w:hint="eastAsia" w:ascii="宋体" w:hAnsi="宋体" w:cs="宋体"/>
                <w:bCs/>
                <w:color w:val="auto"/>
                <w:sz w:val="24"/>
                <w:szCs w:val="24"/>
                <w:highlight w:val="none"/>
              </w:rPr>
              <w:t>注:响应文件中提供证书扫描件。</w:t>
            </w:r>
          </w:p>
        </w:tc>
        <w:tc>
          <w:tcPr>
            <w:tcW w:w="653" w:type="dxa"/>
            <w:tcBorders>
              <w:top w:val="single" w:color="auto" w:sz="4" w:space="0"/>
              <w:left w:val="single" w:color="auto" w:sz="4" w:space="0"/>
              <w:right w:val="single" w:color="auto" w:sz="4" w:space="0"/>
            </w:tcBorders>
            <w:noWrap w:val="0"/>
            <w:vAlign w:val="center"/>
          </w:tcPr>
          <w:p w14:paraId="7A66D6C3">
            <w:pPr>
              <w:adjustRightInd w:val="0"/>
              <w:snapToGrid w:val="0"/>
              <w:spacing w:line="400" w:lineRule="exact"/>
              <w:jc w:val="center"/>
              <w:rPr>
                <w:rFonts w:hint="default" w:ascii="宋体" w:hAnsi="宋体" w:eastAsia="宋体" w:cs="宋体"/>
                <w:b/>
                <w:color w:val="auto"/>
                <w:sz w:val="24"/>
                <w:szCs w:val="24"/>
                <w:highlight w:val="none"/>
                <w:lang w:val="en-US" w:eastAsia="zh-CN"/>
              </w:rPr>
            </w:pPr>
            <w:r>
              <w:rPr>
                <w:rFonts w:hint="eastAsia" w:ascii="宋体" w:hAnsi="宋体" w:cs="宋体"/>
                <w:b w:val="0"/>
                <w:bCs/>
                <w:color w:val="auto"/>
                <w:sz w:val="24"/>
                <w:szCs w:val="24"/>
                <w:highlight w:val="none"/>
                <w:lang w:val="en-US" w:eastAsia="zh-CN"/>
              </w:rPr>
              <w:t>0-11</w:t>
            </w:r>
          </w:p>
        </w:tc>
      </w:tr>
      <w:tr w14:paraId="31CFE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455" w:hRule="atLeast"/>
          <w:jc w:val="center"/>
        </w:trPr>
        <w:tc>
          <w:tcPr>
            <w:tcW w:w="1183" w:type="dxa"/>
            <w:vMerge w:val="continue"/>
            <w:tcBorders>
              <w:left w:val="single" w:color="auto" w:sz="4" w:space="0"/>
              <w:right w:val="single" w:color="auto" w:sz="4" w:space="0"/>
            </w:tcBorders>
            <w:noWrap w:val="0"/>
            <w:vAlign w:val="center"/>
          </w:tcPr>
          <w:p w14:paraId="0BB83C3C">
            <w:pPr>
              <w:spacing w:line="400" w:lineRule="exact"/>
              <w:jc w:val="center"/>
              <w:rPr>
                <w:rFonts w:ascii="宋体" w:hAnsi="宋体" w:cs="宋体"/>
                <w:color w:val="auto"/>
                <w:sz w:val="24"/>
                <w:szCs w:val="24"/>
                <w:highlight w:val="none"/>
              </w:rPr>
            </w:pPr>
          </w:p>
        </w:tc>
        <w:tc>
          <w:tcPr>
            <w:tcW w:w="1074" w:type="dxa"/>
            <w:tcBorders>
              <w:left w:val="single" w:color="auto" w:sz="4" w:space="0"/>
              <w:right w:val="single" w:color="auto" w:sz="4" w:space="0"/>
            </w:tcBorders>
            <w:noWrap w:val="0"/>
            <w:vAlign w:val="center"/>
          </w:tcPr>
          <w:p w14:paraId="4C07BDEB">
            <w:pPr>
              <w:spacing w:line="400" w:lineRule="exact"/>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供应商业绩</w:t>
            </w:r>
          </w:p>
        </w:tc>
        <w:tc>
          <w:tcPr>
            <w:tcW w:w="6369" w:type="dxa"/>
            <w:tcBorders>
              <w:top w:val="single" w:color="auto" w:sz="4" w:space="0"/>
              <w:left w:val="single" w:color="auto" w:sz="4" w:space="0"/>
              <w:bottom w:val="single" w:color="auto" w:sz="4" w:space="0"/>
              <w:right w:val="single" w:color="auto" w:sz="4" w:space="0"/>
            </w:tcBorders>
            <w:noWrap w:val="0"/>
            <w:vAlign w:val="center"/>
          </w:tcPr>
          <w:p w14:paraId="6D48F304">
            <w:pPr>
              <w:spacing w:line="520" w:lineRule="exact"/>
              <w:ind w:firstLine="480" w:firstLineChars="200"/>
              <w:jc w:val="left"/>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en-US" w:eastAsia="zh-CN"/>
              </w:rPr>
              <w:t>近5年内（自2021年1月1日以来，至开标截止日止），供应商具有维修（维保）或生产制造类似高压潜水电泵的类似</w:t>
            </w:r>
            <w:r>
              <w:rPr>
                <w:rFonts w:hint="eastAsia" w:ascii="宋体" w:hAnsi="宋体" w:cs="宋体"/>
                <w:color w:val="auto"/>
                <w:sz w:val="24"/>
                <w:szCs w:val="24"/>
                <w:highlight w:val="none"/>
                <w:lang w:val="zh-CN"/>
              </w:rPr>
              <w:t>业绩</w:t>
            </w:r>
            <w:r>
              <w:rPr>
                <w:rFonts w:hint="eastAsia" w:ascii="宋体" w:hAnsi="宋体" w:cs="宋体"/>
                <w:color w:val="auto"/>
                <w:sz w:val="24"/>
                <w:szCs w:val="24"/>
                <w:highlight w:val="none"/>
                <w:lang w:val="en-US" w:eastAsia="zh-CN"/>
              </w:rPr>
              <w:t>得4分</w:t>
            </w:r>
            <w:r>
              <w:rPr>
                <w:rFonts w:hint="eastAsia" w:ascii="宋体" w:hAnsi="宋体" w:cs="宋体"/>
                <w:color w:val="auto"/>
                <w:sz w:val="24"/>
                <w:szCs w:val="24"/>
                <w:highlight w:val="none"/>
                <w:lang w:val="zh-CN"/>
              </w:rPr>
              <w:t>，本项满分</w:t>
            </w:r>
            <w:r>
              <w:rPr>
                <w:rFonts w:hint="eastAsia" w:ascii="宋体" w:hAnsi="宋体" w:cs="宋体"/>
                <w:color w:val="auto"/>
                <w:sz w:val="24"/>
                <w:szCs w:val="24"/>
                <w:highlight w:val="none"/>
                <w:lang w:val="en-US" w:eastAsia="zh-CN"/>
              </w:rPr>
              <w:t>12</w:t>
            </w:r>
            <w:r>
              <w:rPr>
                <w:rFonts w:hint="eastAsia" w:ascii="宋体" w:hAnsi="宋体" w:cs="宋体"/>
                <w:color w:val="auto"/>
                <w:sz w:val="24"/>
                <w:szCs w:val="24"/>
                <w:highlight w:val="none"/>
                <w:lang w:val="zh-CN"/>
              </w:rPr>
              <w:t>分。</w:t>
            </w:r>
          </w:p>
          <w:p w14:paraId="5DA5AEE4">
            <w:pPr>
              <w:spacing w:line="520" w:lineRule="exact"/>
              <w:jc w:val="left"/>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注：</w:t>
            </w:r>
          </w:p>
          <w:p w14:paraId="104302F7">
            <w:pPr>
              <w:spacing w:line="520" w:lineRule="exact"/>
              <w:jc w:val="left"/>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val="zh-CN"/>
              </w:rPr>
              <w:t>响应文件中须提供维修（维保）或生产制造相关合同及验收证明材料扫描件，时间以合同签订时间为准；</w:t>
            </w:r>
          </w:p>
          <w:p w14:paraId="6A66A93C">
            <w:pPr>
              <w:spacing w:line="520" w:lineRule="exact"/>
              <w:jc w:val="left"/>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val="zh-CN"/>
              </w:rPr>
              <w:t>如上述材料不能明确反映出关键信息，应</w:t>
            </w:r>
            <w:r>
              <w:rPr>
                <w:rFonts w:hint="eastAsia" w:ascii="宋体" w:hAnsi="宋体" w:cs="宋体"/>
                <w:color w:val="auto"/>
                <w:sz w:val="24"/>
                <w:szCs w:val="24"/>
                <w:highlight w:val="none"/>
                <w:lang w:val="en-US" w:eastAsia="zh-CN"/>
              </w:rPr>
              <w:t>在响应文件中</w:t>
            </w:r>
            <w:r>
              <w:rPr>
                <w:rFonts w:hint="eastAsia" w:ascii="宋体" w:hAnsi="宋体" w:cs="宋体"/>
                <w:color w:val="auto"/>
                <w:sz w:val="24"/>
                <w:szCs w:val="24"/>
                <w:highlight w:val="none"/>
                <w:lang w:val="zh-CN"/>
              </w:rPr>
              <w:t>另附合同甲方出具的证明材料（须加盖合同甲单位公章）予以明确说明，否则不予认可。</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4E356B4A">
            <w:pPr>
              <w:spacing w:line="400" w:lineRule="exact"/>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0-12</w:t>
            </w:r>
          </w:p>
        </w:tc>
      </w:tr>
      <w:tr w14:paraId="4E465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425" w:hRule="atLeast"/>
          <w:jc w:val="center"/>
        </w:trPr>
        <w:tc>
          <w:tcPr>
            <w:tcW w:w="1183" w:type="dxa"/>
            <w:vMerge w:val="continue"/>
            <w:tcBorders>
              <w:left w:val="single" w:color="auto" w:sz="4" w:space="0"/>
              <w:right w:val="single" w:color="auto" w:sz="4" w:space="0"/>
            </w:tcBorders>
            <w:noWrap w:val="0"/>
            <w:vAlign w:val="center"/>
          </w:tcPr>
          <w:p w14:paraId="352AC22F">
            <w:pPr>
              <w:spacing w:line="400" w:lineRule="exact"/>
              <w:jc w:val="center"/>
              <w:rPr>
                <w:rFonts w:ascii="宋体" w:hAnsi="宋体" w:cs="宋体"/>
                <w:color w:val="auto"/>
                <w:sz w:val="24"/>
                <w:szCs w:val="24"/>
                <w:highlight w:val="none"/>
              </w:rPr>
            </w:pPr>
          </w:p>
        </w:tc>
        <w:tc>
          <w:tcPr>
            <w:tcW w:w="1074" w:type="dxa"/>
            <w:tcBorders>
              <w:left w:val="single" w:color="auto" w:sz="4" w:space="0"/>
              <w:bottom w:val="single" w:color="auto" w:sz="4" w:space="0"/>
              <w:right w:val="single" w:color="auto" w:sz="4" w:space="0"/>
            </w:tcBorders>
            <w:noWrap w:val="0"/>
            <w:vAlign w:val="center"/>
          </w:tcPr>
          <w:p w14:paraId="2351C488">
            <w:pPr>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维修设备配置</w:t>
            </w:r>
          </w:p>
        </w:tc>
        <w:tc>
          <w:tcPr>
            <w:tcW w:w="6369" w:type="dxa"/>
            <w:tcBorders>
              <w:top w:val="single" w:color="auto" w:sz="4" w:space="0"/>
              <w:left w:val="single" w:color="auto" w:sz="4" w:space="0"/>
              <w:bottom w:val="single" w:color="auto" w:sz="4" w:space="0"/>
              <w:right w:val="single" w:color="auto" w:sz="4" w:space="0"/>
            </w:tcBorders>
            <w:noWrap w:val="0"/>
            <w:vAlign w:val="center"/>
          </w:tcPr>
          <w:p w14:paraId="39D196B6">
            <w:pPr>
              <w:spacing w:line="520" w:lineRule="exact"/>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供应商拟使用的水泵检测试验平台具有国家排灌及节水设备产品质量监督检验中心出具的泵产品测试系统验证证书，1级精度验证证书得4分，2级精度验证证书得2分，本项满分4分。</w:t>
            </w:r>
          </w:p>
          <w:p w14:paraId="6253704D">
            <w:pPr>
              <w:spacing w:line="520" w:lineRule="exact"/>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注：响应文件中提供试验平台照片及相应证书扫描件。</w:t>
            </w:r>
          </w:p>
          <w:p w14:paraId="1B812D55">
            <w:pPr>
              <w:spacing w:line="520" w:lineRule="exact"/>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供应商拟提供使用的桥式起重设备额定起重量为20T（含）及以上的，得5分；10T(含)-20T（不含）的，得2分，本项满分5分。</w:t>
            </w:r>
          </w:p>
          <w:p w14:paraId="4B48983D">
            <w:pPr>
              <w:spacing w:line="520" w:lineRule="exact"/>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注：响应文件中提供</w:t>
            </w:r>
            <w:r>
              <w:rPr>
                <w:rFonts w:hint="eastAsia" w:ascii="宋体" w:hAnsi="宋体" w:cs="宋体"/>
                <w:color w:val="auto"/>
                <w:sz w:val="24"/>
                <w:szCs w:val="24"/>
                <w:highlight w:val="none"/>
                <w:lang w:val="en-US" w:eastAsia="zh-CN"/>
              </w:rPr>
              <w:t>桥式起重设备购置发票及</w:t>
            </w:r>
            <w:r>
              <w:rPr>
                <w:rFonts w:hint="eastAsia" w:ascii="宋体" w:hAnsi="宋体" w:cs="宋体"/>
                <w:color w:val="auto"/>
                <w:sz w:val="24"/>
                <w:szCs w:val="24"/>
                <w:highlight w:val="none"/>
              </w:rPr>
              <w:t>特种设备检测院检测出具的检测报告扫描件，</w:t>
            </w:r>
            <w:r>
              <w:rPr>
                <w:rFonts w:hint="eastAsia" w:ascii="宋体" w:hAnsi="宋体" w:cs="宋体"/>
                <w:color w:val="auto"/>
                <w:sz w:val="24"/>
                <w:szCs w:val="24"/>
                <w:highlight w:val="none"/>
                <w:lang w:val="en-US" w:eastAsia="zh-CN"/>
              </w:rPr>
              <w:t>购置发票及</w:t>
            </w:r>
            <w:r>
              <w:rPr>
                <w:rFonts w:hint="eastAsia" w:ascii="宋体" w:hAnsi="宋体" w:cs="宋体"/>
                <w:color w:val="auto"/>
                <w:sz w:val="24"/>
                <w:szCs w:val="24"/>
                <w:highlight w:val="none"/>
              </w:rPr>
              <w:t>检测报告中须能反映出供应商名称（或租赁单位名称）、设备的额定起重量。</w:t>
            </w:r>
          </w:p>
          <w:p w14:paraId="2079FC0B">
            <w:pPr>
              <w:spacing w:line="520" w:lineRule="exact"/>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供应商具有以下任意一项加工或检测设备得2分，本项满分12分：</w:t>
            </w:r>
          </w:p>
          <w:p w14:paraId="07EEDC32">
            <w:pPr>
              <w:spacing w:line="520" w:lineRule="exact"/>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（1）精加工车床；</w:t>
            </w:r>
          </w:p>
          <w:p w14:paraId="21618703">
            <w:pPr>
              <w:spacing w:line="520" w:lineRule="exact"/>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（2）真空压力浸漆设备；</w:t>
            </w:r>
          </w:p>
          <w:p w14:paraId="7F00F70D">
            <w:pPr>
              <w:spacing w:line="520" w:lineRule="exact"/>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（3）转子动平衡设备；</w:t>
            </w:r>
          </w:p>
          <w:p w14:paraId="25B65283">
            <w:pPr>
              <w:spacing w:line="520" w:lineRule="exact"/>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（4）水泵气密试验设备；</w:t>
            </w:r>
          </w:p>
          <w:p w14:paraId="5FF113B3">
            <w:pPr>
              <w:spacing w:line="520" w:lineRule="exact"/>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（5）直流电阻测试仪；</w:t>
            </w:r>
          </w:p>
          <w:p w14:paraId="28CD078D">
            <w:pPr>
              <w:spacing w:line="520" w:lineRule="exact"/>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（6）绕组耐压测试仪。</w:t>
            </w:r>
          </w:p>
          <w:p w14:paraId="2FF53AED">
            <w:pPr>
              <w:spacing w:line="52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注：响应文件中提供设备的生产（使用）实景照片及设备购置发票，未提供的不得分。</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3FF43131">
            <w:pPr>
              <w:spacing w:line="400" w:lineRule="exact"/>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0-21</w:t>
            </w:r>
          </w:p>
        </w:tc>
      </w:tr>
      <w:tr w14:paraId="3778E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425" w:hRule="atLeast"/>
          <w:jc w:val="center"/>
        </w:trPr>
        <w:tc>
          <w:tcPr>
            <w:tcW w:w="1183" w:type="dxa"/>
            <w:vMerge w:val="continue"/>
            <w:tcBorders>
              <w:left w:val="single" w:color="auto" w:sz="4" w:space="0"/>
              <w:right w:val="single" w:color="auto" w:sz="4" w:space="0"/>
            </w:tcBorders>
            <w:noWrap w:val="0"/>
            <w:vAlign w:val="center"/>
          </w:tcPr>
          <w:p w14:paraId="19670F04">
            <w:pPr>
              <w:spacing w:line="400" w:lineRule="exact"/>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 xml:space="preserve"> </w:t>
            </w:r>
          </w:p>
        </w:tc>
        <w:tc>
          <w:tcPr>
            <w:tcW w:w="1074" w:type="dxa"/>
            <w:tcBorders>
              <w:left w:val="single" w:color="auto" w:sz="4" w:space="0"/>
              <w:bottom w:val="single" w:color="auto" w:sz="4" w:space="0"/>
              <w:right w:val="single" w:color="auto" w:sz="4" w:space="0"/>
            </w:tcBorders>
            <w:noWrap w:val="0"/>
            <w:vAlign w:val="center"/>
          </w:tcPr>
          <w:p w14:paraId="07434A04">
            <w:pPr>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项目组成员及岗位设置</w:t>
            </w:r>
          </w:p>
        </w:tc>
        <w:tc>
          <w:tcPr>
            <w:tcW w:w="6369" w:type="dxa"/>
            <w:tcBorders>
              <w:top w:val="single" w:color="auto" w:sz="4" w:space="0"/>
              <w:left w:val="single" w:color="auto" w:sz="4" w:space="0"/>
              <w:bottom w:val="single" w:color="auto" w:sz="4" w:space="0"/>
              <w:right w:val="single" w:color="auto" w:sz="4" w:space="0"/>
            </w:tcBorders>
            <w:noWrap w:val="0"/>
            <w:vAlign w:val="center"/>
          </w:tcPr>
          <w:p w14:paraId="08D319A2">
            <w:pPr>
              <w:spacing w:line="520" w:lineRule="exact"/>
              <w:jc w:val="left"/>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rPr>
              <w:t>1</w:t>
            </w:r>
            <w:r>
              <w:rPr>
                <w:rFonts w:hint="eastAsia" w:ascii="宋体" w:hAnsi="宋体" w:cs="宋体"/>
                <w:bCs/>
                <w:color w:val="auto"/>
                <w:sz w:val="24"/>
                <w:szCs w:val="24"/>
                <w:highlight w:val="none"/>
                <w:lang w:eastAsia="zh-CN"/>
              </w:rPr>
              <w:t>、</w:t>
            </w:r>
            <w:r>
              <w:rPr>
                <w:rFonts w:hint="eastAsia" w:ascii="宋体" w:hAnsi="宋体" w:cs="宋体"/>
                <w:bCs/>
                <w:color w:val="auto"/>
                <w:sz w:val="24"/>
                <w:szCs w:val="24"/>
                <w:highlight w:val="none"/>
              </w:rPr>
              <w:t>拟派项目组成员4人及以上的得5分；2-3人的得3分；不足2人的不得分</w:t>
            </w:r>
            <w:r>
              <w:rPr>
                <w:rFonts w:hint="eastAsia" w:ascii="宋体" w:hAnsi="宋体" w:cs="宋体"/>
                <w:bCs/>
                <w:color w:val="auto"/>
                <w:sz w:val="24"/>
                <w:szCs w:val="24"/>
                <w:highlight w:val="none"/>
                <w:lang w:eastAsia="zh-CN"/>
              </w:rPr>
              <w:t>，</w:t>
            </w:r>
            <w:r>
              <w:rPr>
                <w:rFonts w:hint="eastAsia" w:ascii="宋体" w:hAnsi="宋体" w:cs="宋体"/>
                <w:bCs/>
                <w:color w:val="auto"/>
                <w:sz w:val="24"/>
                <w:szCs w:val="24"/>
                <w:highlight w:val="none"/>
                <w:lang w:val="en-US" w:eastAsia="zh-CN"/>
              </w:rPr>
              <w:t>本项满分5分。</w:t>
            </w:r>
          </w:p>
          <w:p w14:paraId="5C04C6FA">
            <w:pPr>
              <w:spacing w:line="520" w:lineRule="exact"/>
              <w:jc w:val="left"/>
              <w:rPr>
                <w:rFonts w:hint="eastAsia" w:ascii="宋体" w:hAnsi="宋体" w:cs="宋体"/>
                <w:bCs/>
                <w:color w:val="auto"/>
                <w:sz w:val="24"/>
                <w:szCs w:val="24"/>
                <w:highlight w:val="none"/>
              </w:rPr>
            </w:pPr>
            <w:r>
              <w:rPr>
                <w:rFonts w:hint="eastAsia" w:ascii="宋体" w:hAnsi="宋体" w:cs="宋体"/>
                <w:bCs/>
                <w:color w:val="auto"/>
                <w:sz w:val="24"/>
                <w:szCs w:val="24"/>
                <w:highlight w:val="none"/>
              </w:rPr>
              <w:t>注：提供人员配备名单（格式自拟），以及供应商为上述人员缴纳的202</w:t>
            </w:r>
            <w:r>
              <w:rPr>
                <w:rFonts w:hint="eastAsia" w:ascii="宋体" w:hAnsi="宋体" w:cs="宋体"/>
                <w:bCs/>
                <w:color w:val="auto"/>
                <w:sz w:val="24"/>
                <w:szCs w:val="24"/>
                <w:highlight w:val="none"/>
                <w:lang w:val="en-US" w:eastAsia="zh-CN"/>
              </w:rPr>
              <w:t>6</w:t>
            </w:r>
            <w:r>
              <w:rPr>
                <w:rFonts w:hint="eastAsia" w:ascii="宋体" w:hAnsi="宋体" w:cs="宋体"/>
                <w:bCs/>
                <w:color w:val="auto"/>
                <w:sz w:val="24"/>
                <w:szCs w:val="24"/>
                <w:highlight w:val="none"/>
              </w:rPr>
              <w:t>年1月</w:t>
            </w:r>
            <w:r>
              <w:rPr>
                <w:rFonts w:hint="eastAsia" w:ascii="宋体" w:hAnsi="宋体" w:cs="宋体"/>
                <w:bCs/>
                <w:color w:val="auto"/>
                <w:sz w:val="24"/>
                <w:szCs w:val="24"/>
                <w:highlight w:val="none"/>
                <w:lang w:val="en-US" w:eastAsia="zh-CN"/>
              </w:rPr>
              <w:t>1日</w:t>
            </w:r>
            <w:r>
              <w:rPr>
                <w:rFonts w:hint="eastAsia" w:ascii="宋体" w:hAnsi="宋体" w:cs="宋体"/>
                <w:bCs/>
                <w:color w:val="auto"/>
                <w:sz w:val="24"/>
                <w:szCs w:val="24"/>
                <w:highlight w:val="none"/>
              </w:rPr>
              <w:t>至今任意一个月的社保证明材料。</w:t>
            </w:r>
          </w:p>
          <w:p w14:paraId="0B6544D3">
            <w:pPr>
              <w:spacing w:line="520" w:lineRule="exact"/>
              <w:jc w:val="left"/>
              <w:rPr>
                <w:rFonts w:hint="eastAsia" w:ascii="宋体" w:hAnsi="宋体" w:cs="宋体"/>
                <w:bCs/>
                <w:color w:val="auto"/>
                <w:sz w:val="24"/>
                <w:szCs w:val="24"/>
                <w:highlight w:val="none"/>
              </w:rPr>
            </w:pPr>
            <w:r>
              <w:rPr>
                <w:rFonts w:hint="eastAsia" w:ascii="宋体" w:hAnsi="宋体" w:cs="宋体"/>
                <w:bCs/>
                <w:color w:val="auto"/>
                <w:sz w:val="24"/>
                <w:szCs w:val="24"/>
                <w:highlight w:val="none"/>
              </w:rPr>
              <w:t>2</w:t>
            </w:r>
            <w:r>
              <w:rPr>
                <w:rFonts w:hint="eastAsia" w:ascii="宋体" w:hAnsi="宋体" w:cs="宋体"/>
                <w:bCs/>
                <w:color w:val="auto"/>
                <w:sz w:val="24"/>
                <w:szCs w:val="24"/>
                <w:highlight w:val="none"/>
                <w:lang w:eastAsia="zh-CN"/>
              </w:rPr>
              <w:t>、</w:t>
            </w:r>
            <w:r>
              <w:rPr>
                <w:rFonts w:hint="eastAsia" w:ascii="宋体" w:hAnsi="宋体" w:cs="宋体"/>
                <w:bCs/>
                <w:color w:val="auto"/>
                <w:sz w:val="24"/>
                <w:szCs w:val="24"/>
                <w:highlight w:val="none"/>
              </w:rPr>
              <w:t>服务小组岗位设置</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响应文件中提供）</w:t>
            </w:r>
          </w:p>
          <w:p w14:paraId="75C26FE5">
            <w:pPr>
              <w:spacing w:line="520" w:lineRule="exact"/>
              <w:jc w:val="left"/>
              <w:rPr>
                <w:rFonts w:hint="eastAsia" w:ascii="宋体" w:hAnsi="宋体" w:cs="宋体"/>
                <w:bCs/>
                <w:color w:val="auto"/>
                <w:sz w:val="24"/>
                <w:szCs w:val="24"/>
                <w:highlight w:val="none"/>
              </w:rPr>
            </w:pPr>
            <w:r>
              <w:rPr>
                <w:rFonts w:hint="eastAsia" w:ascii="宋体" w:hAnsi="宋体" w:cs="宋体"/>
                <w:bCs/>
                <w:color w:val="auto"/>
                <w:sz w:val="24"/>
                <w:szCs w:val="24"/>
                <w:highlight w:val="none"/>
              </w:rPr>
              <w:t>①岗位设置合理、岗位职责明确、满足项目实施需要得6分；</w:t>
            </w:r>
          </w:p>
          <w:p w14:paraId="5F7A275B">
            <w:pPr>
              <w:spacing w:line="520" w:lineRule="exact"/>
              <w:jc w:val="left"/>
              <w:rPr>
                <w:rFonts w:hint="eastAsia" w:ascii="宋体" w:hAnsi="宋体" w:cs="宋体"/>
                <w:bCs/>
                <w:color w:val="auto"/>
                <w:sz w:val="24"/>
                <w:szCs w:val="24"/>
                <w:highlight w:val="none"/>
              </w:rPr>
            </w:pPr>
            <w:r>
              <w:rPr>
                <w:rFonts w:hint="eastAsia" w:ascii="宋体" w:hAnsi="宋体" w:cs="宋体"/>
                <w:bCs/>
                <w:color w:val="auto"/>
                <w:sz w:val="24"/>
                <w:szCs w:val="24"/>
                <w:highlight w:val="none"/>
              </w:rPr>
              <w:t>②岗位完整、岗位职责较明确，基本满足项目实施需要得4分；</w:t>
            </w:r>
          </w:p>
          <w:p w14:paraId="1289C011">
            <w:pPr>
              <w:spacing w:line="520" w:lineRule="exact"/>
              <w:jc w:val="left"/>
              <w:rPr>
                <w:rFonts w:hint="eastAsia" w:ascii="宋体" w:hAnsi="宋体" w:cs="宋体"/>
                <w:bCs/>
                <w:color w:val="auto"/>
                <w:sz w:val="24"/>
                <w:szCs w:val="24"/>
                <w:highlight w:val="none"/>
              </w:rPr>
            </w:pPr>
            <w:r>
              <w:rPr>
                <w:rFonts w:hint="eastAsia" w:ascii="宋体" w:hAnsi="宋体" w:cs="宋体"/>
                <w:bCs/>
                <w:color w:val="auto"/>
                <w:sz w:val="24"/>
                <w:szCs w:val="24"/>
                <w:highlight w:val="none"/>
              </w:rPr>
              <w:t>③岗位设置及岗位职责有待提高得2分；</w:t>
            </w:r>
          </w:p>
          <w:p w14:paraId="50DD6C24">
            <w:pPr>
              <w:spacing w:line="520" w:lineRule="exact"/>
              <w:jc w:val="left"/>
              <w:rPr>
                <w:rFonts w:hint="eastAsia" w:ascii="宋体" w:hAnsi="宋体" w:eastAsia="宋体" w:cs="宋体"/>
                <w:bCs/>
                <w:color w:val="auto"/>
                <w:sz w:val="24"/>
                <w:szCs w:val="24"/>
                <w:highlight w:val="none"/>
                <w:lang w:eastAsia="zh-CN"/>
              </w:rPr>
            </w:pPr>
            <w:r>
              <w:rPr>
                <w:rFonts w:hint="eastAsia" w:ascii="宋体" w:hAnsi="宋体" w:cs="宋体"/>
                <w:bCs/>
                <w:color w:val="auto"/>
                <w:sz w:val="24"/>
                <w:szCs w:val="24"/>
                <w:highlight w:val="none"/>
              </w:rPr>
              <w:t>④不提供岗位设置方案不得分</w:t>
            </w:r>
            <w:r>
              <w:rPr>
                <w:rFonts w:hint="eastAsia" w:ascii="宋体" w:hAnsi="宋体" w:cs="宋体"/>
                <w:bCs/>
                <w:color w:val="auto"/>
                <w:sz w:val="24"/>
                <w:szCs w:val="24"/>
                <w:highlight w:val="none"/>
                <w:lang w:eastAsia="zh-CN"/>
              </w:rPr>
              <w:t>；</w:t>
            </w:r>
          </w:p>
          <w:p w14:paraId="2A958A95">
            <w:pPr>
              <w:spacing w:line="520" w:lineRule="exact"/>
              <w:jc w:val="left"/>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本项满分6分。</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7F288259">
            <w:pPr>
              <w:spacing w:line="400" w:lineRule="exact"/>
              <w:jc w:val="center"/>
              <w:rPr>
                <w:rFonts w:hint="default" w:ascii="宋体" w:hAnsi="宋体" w:eastAsia="宋体" w:cs="宋体"/>
                <w:b/>
                <w:bCs/>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0-11</w:t>
            </w:r>
          </w:p>
        </w:tc>
      </w:tr>
      <w:tr w14:paraId="2CDCD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425" w:hRule="atLeast"/>
          <w:jc w:val="center"/>
        </w:trPr>
        <w:tc>
          <w:tcPr>
            <w:tcW w:w="1183" w:type="dxa"/>
            <w:vMerge w:val="continue"/>
            <w:tcBorders>
              <w:left w:val="single" w:color="auto" w:sz="4" w:space="0"/>
              <w:right w:val="single" w:color="auto" w:sz="4" w:space="0"/>
            </w:tcBorders>
            <w:noWrap w:val="0"/>
            <w:vAlign w:val="center"/>
          </w:tcPr>
          <w:p w14:paraId="51215308">
            <w:pPr>
              <w:spacing w:line="400" w:lineRule="exact"/>
              <w:jc w:val="center"/>
              <w:rPr>
                <w:rFonts w:ascii="宋体" w:hAnsi="宋体" w:cs="宋体"/>
                <w:color w:val="auto"/>
                <w:sz w:val="24"/>
                <w:szCs w:val="24"/>
                <w:highlight w:val="none"/>
              </w:rPr>
            </w:pPr>
          </w:p>
        </w:tc>
        <w:tc>
          <w:tcPr>
            <w:tcW w:w="1074" w:type="dxa"/>
            <w:tcBorders>
              <w:left w:val="single" w:color="auto" w:sz="4" w:space="0"/>
              <w:bottom w:val="single" w:color="auto" w:sz="4" w:space="0"/>
              <w:right w:val="single" w:color="auto" w:sz="4" w:space="0"/>
            </w:tcBorders>
            <w:noWrap w:val="0"/>
            <w:vAlign w:val="center"/>
          </w:tcPr>
          <w:p w14:paraId="18016B8D">
            <w:pPr>
              <w:spacing w:line="400" w:lineRule="exact"/>
              <w:jc w:val="center"/>
              <w:rPr>
                <w:rFonts w:ascii="宋体" w:hAnsi="宋体" w:cs="宋体"/>
                <w:bCs/>
                <w:color w:val="auto"/>
                <w:sz w:val="24"/>
                <w:szCs w:val="24"/>
                <w:highlight w:val="none"/>
              </w:rPr>
            </w:pPr>
            <w:r>
              <w:rPr>
                <w:rFonts w:hint="eastAsia" w:ascii="宋体" w:hAnsi="宋体" w:cs="宋体"/>
                <w:bCs/>
                <w:color w:val="auto"/>
                <w:sz w:val="24"/>
                <w:szCs w:val="24"/>
                <w:highlight w:val="none"/>
              </w:rPr>
              <w:t>维修方案</w:t>
            </w:r>
            <w:r>
              <w:rPr>
                <w:rFonts w:hint="eastAsia" w:ascii="宋体" w:hAnsi="宋体" w:cs="宋体"/>
                <w:bCs/>
                <w:color w:val="auto"/>
                <w:sz w:val="24"/>
                <w:szCs w:val="24"/>
                <w:highlight w:val="none"/>
                <w:lang w:val="en-US" w:eastAsia="zh-CN"/>
              </w:rPr>
              <w:t>及</w:t>
            </w:r>
            <w:r>
              <w:rPr>
                <w:rFonts w:hint="eastAsia" w:ascii="宋体" w:hAnsi="宋体" w:cs="宋体"/>
                <w:bCs/>
                <w:color w:val="auto"/>
                <w:sz w:val="24"/>
                <w:szCs w:val="24"/>
                <w:highlight w:val="none"/>
              </w:rPr>
              <w:t>设备配置</w:t>
            </w:r>
          </w:p>
        </w:tc>
        <w:tc>
          <w:tcPr>
            <w:tcW w:w="6369" w:type="dxa"/>
            <w:tcBorders>
              <w:top w:val="single" w:color="auto" w:sz="4" w:space="0"/>
              <w:left w:val="single" w:color="auto" w:sz="4" w:space="0"/>
              <w:bottom w:val="single" w:color="auto" w:sz="4" w:space="0"/>
              <w:right w:val="single" w:color="auto" w:sz="4" w:space="0"/>
            </w:tcBorders>
            <w:noWrap w:val="0"/>
            <w:vAlign w:val="center"/>
          </w:tcPr>
          <w:p w14:paraId="76D2E9D5">
            <w:pPr>
              <w:spacing w:line="520" w:lineRule="exact"/>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维修方案</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响应文件中提供）</w:t>
            </w:r>
          </w:p>
          <w:p w14:paraId="66AEA62E">
            <w:pPr>
              <w:spacing w:line="520" w:lineRule="exact"/>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①能对照采购需求中存在问题解决措施科学有效、针对性强且实施性强的得6分；</w:t>
            </w:r>
          </w:p>
          <w:p w14:paraId="5BE1FE73">
            <w:pPr>
              <w:spacing w:line="520" w:lineRule="exact"/>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②维修方案对照采购需求中存在问题解决措施科学有效、针对性较强且具有实施性的得4分；</w:t>
            </w:r>
          </w:p>
          <w:p w14:paraId="01FE54AF">
            <w:pPr>
              <w:spacing w:line="520" w:lineRule="exact"/>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③维修方案对照采购需求中存在问题解决措施有效、有针对性且具有实施性的得2分；</w:t>
            </w:r>
          </w:p>
          <w:p w14:paraId="19F03B04">
            <w:pPr>
              <w:spacing w:line="520" w:lineRule="exact"/>
              <w:jc w:val="left"/>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④方案明显错误或未提供的不得分</w:t>
            </w:r>
            <w:r>
              <w:rPr>
                <w:rFonts w:hint="eastAsia" w:ascii="宋体" w:hAnsi="宋体" w:eastAsia="宋体" w:cs="宋体"/>
                <w:bCs/>
                <w:color w:val="auto"/>
                <w:sz w:val="24"/>
                <w:szCs w:val="24"/>
                <w:highlight w:val="none"/>
                <w:lang w:eastAsia="zh-CN"/>
              </w:rPr>
              <w:t>；</w:t>
            </w:r>
          </w:p>
          <w:p w14:paraId="422A83C9">
            <w:pPr>
              <w:spacing w:line="520" w:lineRule="exact"/>
              <w:jc w:val="left"/>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lang w:val="en-US" w:eastAsia="zh-CN"/>
              </w:rPr>
              <w:t>本项满分6分。</w:t>
            </w:r>
          </w:p>
          <w:p w14:paraId="00FC68D8">
            <w:pPr>
              <w:spacing w:line="520" w:lineRule="exact"/>
              <w:jc w:val="left"/>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2</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维</w:t>
            </w:r>
            <w:r>
              <w:rPr>
                <w:rFonts w:hint="eastAsia" w:ascii="宋体" w:hAnsi="宋体" w:eastAsia="宋体" w:cs="宋体"/>
                <w:bCs/>
                <w:color w:val="auto"/>
                <w:sz w:val="24"/>
                <w:szCs w:val="24"/>
                <w:highlight w:val="none"/>
                <w:lang w:val="en-US" w:eastAsia="zh-CN"/>
              </w:rPr>
              <w:t>修</w:t>
            </w:r>
            <w:r>
              <w:rPr>
                <w:rFonts w:hint="eastAsia" w:ascii="宋体" w:hAnsi="宋体" w:eastAsia="宋体" w:cs="宋体"/>
                <w:bCs/>
                <w:color w:val="auto"/>
                <w:sz w:val="24"/>
                <w:szCs w:val="24"/>
                <w:highlight w:val="none"/>
              </w:rPr>
              <w:t>设备配置</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响应文件中提供）</w:t>
            </w:r>
          </w:p>
          <w:p w14:paraId="244C9694">
            <w:pPr>
              <w:spacing w:line="520" w:lineRule="exact"/>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①维修方案中能提供相应的设备配备、试验仪器配置（自行承诺，格式自拟）完全满足采购需求中设施设备维</w:t>
            </w:r>
            <w:r>
              <w:rPr>
                <w:rFonts w:hint="eastAsia" w:ascii="宋体" w:hAnsi="宋体" w:eastAsia="宋体" w:cs="宋体"/>
                <w:bCs/>
                <w:color w:val="auto"/>
                <w:sz w:val="24"/>
                <w:szCs w:val="24"/>
                <w:highlight w:val="none"/>
                <w:lang w:val="en-US" w:eastAsia="zh-CN"/>
              </w:rPr>
              <w:t>修</w:t>
            </w:r>
            <w:r>
              <w:rPr>
                <w:rFonts w:hint="eastAsia" w:ascii="宋体" w:hAnsi="宋体" w:eastAsia="宋体" w:cs="宋体"/>
                <w:bCs/>
                <w:color w:val="auto"/>
                <w:sz w:val="24"/>
                <w:szCs w:val="24"/>
                <w:highlight w:val="none"/>
              </w:rPr>
              <w:t>需要的得6分；</w:t>
            </w:r>
          </w:p>
          <w:p w14:paraId="69B1E7D3">
            <w:pPr>
              <w:spacing w:line="520" w:lineRule="exact"/>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②能够实现采购需求中设施设备维</w:t>
            </w:r>
            <w:r>
              <w:rPr>
                <w:rFonts w:hint="eastAsia" w:ascii="宋体" w:hAnsi="宋体" w:eastAsia="宋体" w:cs="宋体"/>
                <w:bCs/>
                <w:color w:val="auto"/>
                <w:sz w:val="24"/>
                <w:szCs w:val="24"/>
                <w:highlight w:val="none"/>
                <w:lang w:val="en-US" w:eastAsia="zh-CN"/>
              </w:rPr>
              <w:t>修</w:t>
            </w:r>
            <w:r>
              <w:rPr>
                <w:rFonts w:hint="eastAsia" w:ascii="宋体" w:hAnsi="宋体" w:eastAsia="宋体" w:cs="宋体"/>
                <w:bCs/>
                <w:color w:val="auto"/>
                <w:sz w:val="24"/>
                <w:szCs w:val="24"/>
                <w:highlight w:val="none"/>
              </w:rPr>
              <w:t>需要的得4分；</w:t>
            </w:r>
          </w:p>
          <w:p w14:paraId="6B05B89D">
            <w:pPr>
              <w:spacing w:line="520" w:lineRule="exact"/>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③基本满足采购需求中设施设备维</w:t>
            </w:r>
            <w:r>
              <w:rPr>
                <w:rFonts w:hint="eastAsia" w:ascii="宋体" w:hAnsi="宋体" w:eastAsia="宋体" w:cs="宋体"/>
                <w:bCs/>
                <w:color w:val="auto"/>
                <w:sz w:val="24"/>
                <w:szCs w:val="24"/>
                <w:highlight w:val="none"/>
                <w:lang w:val="en-US" w:eastAsia="zh-CN"/>
              </w:rPr>
              <w:t>修</w:t>
            </w:r>
            <w:r>
              <w:rPr>
                <w:rFonts w:hint="eastAsia" w:ascii="宋体" w:hAnsi="宋体" w:eastAsia="宋体" w:cs="宋体"/>
                <w:bCs/>
                <w:color w:val="auto"/>
                <w:sz w:val="24"/>
                <w:szCs w:val="24"/>
                <w:highlight w:val="none"/>
              </w:rPr>
              <w:t>需要的得2分；</w:t>
            </w:r>
          </w:p>
          <w:p w14:paraId="27B2B5DD">
            <w:pPr>
              <w:spacing w:line="520" w:lineRule="exact"/>
              <w:jc w:val="left"/>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④未提供的没有不得分</w:t>
            </w:r>
            <w:r>
              <w:rPr>
                <w:rFonts w:hint="eastAsia" w:ascii="宋体" w:hAnsi="宋体" w:eastAsia="宋体" w:cs="宋体"/>
                <w:bCs/>
                <w:color w:val="auto"/>
                <w:sz w:val="24"/>
                <w:szCs w:val="24"/>
                <w:highlight w:val="none"/>
                <w:lang w:eastAsia="zh-CN"/>
              </w:rPr>
              <w:t>；</w:t>
            </w:r>
          </w:p>
          <w:p w14:paraId="0D630A08">
            <w:pPr>
              <w:spacing w:line="520" w:lineRule="exact"/>
              <w:jc w:val="left"/>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lang w:val="en-US" w:eastAsia="zh-CN"/>
              </w:rPr>
              <w:t>本项满分6分。</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557AFBD6">
            <w:pPr>
              <w:spacing w:line="400" w:lineRule="exact"/>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0-12</w:t>
            </w:r>
          </w:p>
        </w:tc>
      </w:tr>
      <w:tr w14:paraId="17D38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425" w:hRule="atLeast"/>
          <w:jc w:val="center"/>
        </w:trPr>
        <w:tc>
          <w:tcPr>
            <w:tcW w:w="1183" w:type="dxa"/>
            <w:vMerge w:val="continue"/>
            <w:tcBorders>
              <w:left w:val="single" w:color="auto" w:sz="4" w:space="0"/>
              <w:right w:val="single" w:color="auto" w:sz="4" w:space="0"/>
            </w:tcBorders>
            <w:noWrap w:val="0"/>
            <w:vAlign w:val="center"/>
          </w:tcPr>
          <w:p w14:paraId="22A2A098">
            <w:pPr>
              <w:spacing w:line="400" w:lineRule="exact"/>
              <w:jc w:val="center"/>
              <w:rPr>
                <w:rFonts w:ascii="宋体" w:hAnsi="宋体" w:cs="宋体"/>
                <w:color w:val="auto"/>
                <w:sz w:val="24"/>
                <w:szCs w:val="24"/>
                <w:highlight w:val="none"/>
              </w:rPr>
            </w:pPr>
          </w:p>
        </w:tc>
        <w:tc>
          <w:tcPr>
            <w:tcW w:w="1074" w:type="dxa"/>
            <w:tcBorders>
              <w:left w:val="single" w:color="auto" w:sz="4" w:space="0"/>
              <w:bottom w:val="single" w:color="auto" w:sz="4" w:space="0"/>
              <w:right w:val="single" w:color="auto" w:sz="4" w:space="0"/>
            </w:tcBorders>
            <w:noWrap w:val="0"/>
            <w:vAlign w:val="center"/>
          </w:tcPr>
          <w:p w14:paraId="52E9595E">
            <w:pPr>
              <w:widowControl/>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质量及进度保证措施</w:t>
            </w:r>
          </w:p>
        </w:tc>
        <w:tc>
          <w:tcPr>
            <w:tcW w:w="6369" w:type="dxa"/>
            <w:tcBorders>
              <w:top w:val="single" w:color="auto" w:sz="4" w:space="0"/>
              <w:left w:val="single" w:color="auto" w:sz="4" w:space="0"/>
              <w:bottom w:val="single" w:color="auto" w:sz="4" w:space="0"/>
              <w:right w:val="single" w:color="auto" w:sz="4" w:space="0"/>
            </w:tcBorders>
            <w:noWrap w:val="0"/>
            <w:vAlign w:val="center"/>
          </w:tcPr>
          <w:p w14:paraId="5B65C6E9">
            <w:pPr>
              <w:spacing w:line="520" w:lineRule="exact"/>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响应文件中</w:t>
            </w:r>
            <w:r>
              <w:rPr>
                <w:rFonts w:hint="eastAsia" w:ascii="宋体" w:hAnsi="宋体" w:eastAsia="宋体" w:cs="宋体"/>
                <w:bCs/>
                <w:color w:val="auto"/>
                <w:sz w:val="24"/>
                <w:szCs w:val="24"/>
                <w:highlight w:val="none"/>
              </w:rPr>
              <w:t>提供有针对性的质量保证措施：</w:t>
            </w:r>
          </w:p>
          <w:p w14:paraId="65CF26AC">
            <w:pPr>
              <w:spacing w:line="520" w:lineRule="exact"/>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①质量及进度管理制度完善，内部管理制度完整，能有效保证项目成果质量的得6分；</w:t>
            </w:r>
          </w:p>
          <w:p w14:paraId="5098584A">
            <w:pPr>
              <w:spacing w:line="520" w:lineRule="exact"/>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②质量及进度保证措施基本完善，能基本保证项目成果质量的得4分；</w:t>
            </w:r>
          </w:p>
          <w:p w14:paraId="349EC498">
            <w:pPr>
              <w:spacing w:line="520" w:lineRule="exact"/>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③质量及进度保证措施有待完善的得2分；</w:t>
            </w:r>
          </w:p>
          <w:p w14:paraId="10D6ABE7">
            <w:pPr>
              <w:spacing w:line="520" w:lineRule="exact"/>
              <w:jc w:val="left"/>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④措施明显错误或未提供的不得分</w:t>
            </w:r>
            <w:r>
              <w:rPr>
                <w:rFonts w:hint="eastAsia" w:ascii="宋体" w:hAnsi="宋体" w:eastAsia="宋体" w:cs="宋体"/>
                <w:bCs/>
                <w:color w:val="auto"/>
                <w:sz w:val="24"/>
                <w:szCs w:val="24"/>
                <w:highlight w:val="none"/>
                <w:lang w:eastAsia="zh-CN"/>
              </w:rPr>
              <w:t>；</w:t>
            </w:r>
          </w:p>
          <w:p w14:paraId="50697712">
            <w:pPr>
              <w:spacing w:line="520" w:lineRule="exact"/>
              <w:jc w:val="left"/>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lang w:val="en-US" w:eastAsia="zh-CN"/>
              </w:rPr>
              <w:t>本项满分6分。</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32F71ECD">
            <w:pPr>
              <w:widowControl/>
              <w:spacing w:line="400" w:lineRule="exact"/>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0-6</w:t>
            </w:r>
          </w:p>
        </w:tc>
      </w:tr>
      <w:tr w14:paraId="7750E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425" w:hRule="atLeast"/>
          <w:jc w:val="center"/>
        </w:trPr>
        <w:tc>
          <w:tcPr>
            <w:tcW w:w="1183" w:type="dxa"/>
            <w:vMerge w:val="continue"/>
            <w:tcBorders>
              <w:left w:val="single" w:color="auto" w:sz="4" w:space="0"/>
              <w:right w:val="single" w:color="auto" w:sz="4" w:space="0"/>
            </w:tcBorders>
            <w:noWrap w:val="0"/>
            <w:vAlign w:val="center"/>
          </w:tcPr>
          <w:p w14:paraId="72B84C73">
            <w:pPr>
              <w:spacing w:line="400" w:lineRule="exact"/>
              <w:jc w:val="center"/>
              <w:rPr>
                <w:rFonts w:ascii="宋体" w:hAnsi="宋体" w:cs="宋体"/>
                <w:color w:val="auto"/>
                <w:sz w:val="24"/>
                <w:szCs w:val="24"/>
                <w:highlight w:val="none"/>
              </w:rPr>
            </w:pPr>
          </w:p>
        </w:tc>
        <w:tc>
          <w:tcPr>
            <w:tcW w:w="1074" w:type="dxa"/>
            <w:tcBorders>
              <w:left w:val="single" w:color="auto" w:sz="4" w:space="0"/>
              <w:bottom w:val="single" w:color="auto" w:sz="4" w:space="0"/>
              <w:right w:val="single" w:color="auto" w:sz="4" w:space="0"/>
            </w:tcBorders>
            <w:noWrap w:val="0"/>
            <w:vAlign w:val="center"/>
          </w:tcPr>
          <w:p w14:paraId="40DEAD8A">
            <w:pPr>
              <w:spacing w:line="400" w:lineRule="exact"/>
              <w:jc w:val="center"/>
              <w:rPr>
                <w:rFonts w:hint="eastAsia" w:ascii="宋体" w:hAnsi="宋体" w:cs="宋体"/>
                <w:bCs/>
                <w:color w:val="auto"/>
                <w:sz w:val="24"/>
                <w:szCs w:val="24"/>
                <w:highlight w:val="none"/>
              </w:rPr>
            </w:pPr>
            <w:r>
              <w:rPr>
                <w:rFonts w:hint="eastAsia" w:ascii="宋体" w:hAnsi="宋体" w:cs="宋体"/>
                <w:bCs/>
                <w:color w:val="auto"/>
                <w:sz w:val="24"/>
                <w:szCs w:val="24"/>
                <w:highlight w:val="none"/>
              </w:rPr>
              <w:t>应急处置</w:t>
            </w:r>
          </w:p>
          <w:p w14:paraId="5CF926CB">
            <w:pPr>
              <w:spacing w:line="400" w:lineRule="exact"/>
              <w:jc w:val="center"/>
              <w:rPr>
                <w:rFonts w:ascii="宋体" w:hAnsi="宋体" w:cs="宋体"/>
                <w:bCs/>
                <w:color w:val="auto"/>
                <w:sz w:val="24"/>
                <w:szCs w:val="24"/>
                <w:highlight w:val="none"/>
              </w:rPr>
            </w:pPr>
            <w:r>
              <w:rPr>
                <w:rFonts w:hint="eastAsia" w:ascii="宋体" w:hAnsi="宋体" w:cs="宋体"/>
                <w:bCs/>
                <w:color w:val="auto"/>
                <w:sz w:val="24"/>
                <w:szCs w:val="24"/>
                <w:highlight w:val="none"/>
              </w:rPr>
              <w:t>方案</w:t>
            </w:r>
          </w:p>
        </w:tc>
        <w:tc>
          <w:tcPr>
            <w:tcW w:w="6369" w:type="dxa"/>
            <w:tcBorders>
              <w:top w:val="single" w:color="auto" w:sz="4" w:space="0"/>
              <w:left w:val="single" w:color="auto" w:sz="4" w:space="0"/>
              <w:bottom w:val="single" w:color="auto" w:sz="4" w:space="0"/>
              <w:right w:val="single" w:color="auto" w:sz="4" w:space="0"/>
            </w:tcBorders>
            <w:noWrap w:val="0"/>
            <w:vAlign w:val="center"/>
          </w:tcPr>
          <w:p w14:paraId="71E99D2A">
            <w:pPr>
              <w:spacing w:line="520" w:lineRule="exact"/>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响应文件中</w:t>
            </w:r>
            <w:r>
              <w:rPr>
                <w:rFonts w:hint="eastAsia" w:ascii="宋体" w:hAnsi="宋体" w:eastAsia="宋体" w:cs="宋体"/>
                <w:bCs/>
                <w:color w:val="auto"/>
                <w:sz w:val="24"/>
                <w:szCs w:val="24"/>
                <w:highlight w:val="none"/>
              </w:rPr>
              <w:t>提供有针对性的应急处置方案：</w:t>
            </w:r>
          </w:p>
          <w:p w14:paraId="19F69C92">
            <w:pPr>
              <w:spacing w:line="520" w:lineRule="exact"/>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②案全面细致完整、科学性高、可操作性强的得6分；</w:t>
            </w:r>
          </w:p>
          <w:p w14:paraId="5F22AC7D">
            <w:pPr>
              <w:spacing w:line="520" w:lineRule="exact"/>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②方案较全面细致完整、能基本保满足项目实施的得4分；</w:t>
            </w:r>
          </w:p>
          <w:p w14:paraId="01E48427">
            <w:pPr>
              <w:spacing w:line="520" w:lineRule="exact"/>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③方案有待提高的得2分；</w:t>
            </w:r>
          </w:p>
          <w:p w14:paraId="4B55D9ED">
            <w:pPr>
              <w:spacing w:line="520" w:lineRule="exact"/>
              <w:jc w:val="left"/>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④</w:t>
            </w:r>
            <w:r>
              <w:rPr>
                <w:rFonts w:hint="eastAsia" w:ascii="宋体" w:hAnsi="宋体" w:eastAsia="宋体" w:cs="宋体"/>
                <w:bCs/>
                <w:color w:val="auto"/>
                <w:sz w:val="24"/>
                <w:szCs w:val="24"/>
                <w:highlight w:val="none"/>
              </w:rPr>
              <w:t>方案明显错误或未提供的不得分</w:t>
            </w:r>
            <w:r>
              <w:rPr>
                <w:rFonts w:hint="eastAsia" w:ascii="宋体" w:hAnsi="宋体" w:eastAsia="宋体" w:cs="宋体"/>
                <w:bCs/>
                <w:color w:val="auto"/>
                <w:sz w:val="24"/>
                <w:szCs w:val="24"/>
                <w:highlight w:val="none"/>
                <w:lang w:eastAsia="zh-CN"/>
              </w:rPr>
              <w:t>；</w:t>
            </w:r>
          </w:p>
          <w:p w14:paraId="6CD48C95">
            <w:pPr>
              <w:spacing w:line="520" w:lineRule="exact"/>
              <w:jc w:val="left"/>
              <w:rPr>
                <w:rFonts w:hint="eastAsia" w:ascii="宋体" w:hAnsi="宋体" w:eastAsia="宋体" w:cs="宋体"/>
                <w:bCs/>
                <w:color w:val="auto"/>
                <w:sz w:val="24"/>
                <w:szCs w:val="24"/>
                <w:highlight w:val="none"/>
                <w:lang w:eastAsia="zh-CN"/>
              </w:rPr>
            </w:pPr>
            <w:r>
              <w:rPr>
                <w:rFonts w:hint="eastAsia" w:ascii="宋体" w:hAnsi="宋体" w:cs="宋体"/>
                <w:bCs/>
                <w:color w:val="auto"/>
                <w:sz w:val="24"/>
                <w:szCs w:val="24"/>
                <w:highlight w:val="none"/>
                <w:lang w:val="en-US" w:eastAsia="zh-CN"/>
              </w:rPr>
              <w:t>本项满分6分。</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4BD4640D">
            <w:pPr>
              <w:spacing w:line="400" w:lineRule="exact"/>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0-6</w:t>
            </w:r>
          </w:p>
        </w:tc>
      </w:tr>
      <w:tr w14:paraId="7BD81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425" w:hRule="atLeast"/>
          <w:jc w:val="center"/>
        </w:trPr>
        <w:tc>
          <w:tcPr>
            <w:tcW w:w="1183" w:type="dxa"/>
            <w:vMerge w:val="continue"/>
            <w:tcBorders>
              <w:left w:val="single" w:color="auto" w:sz="4" w:space="0"/>
              <w:right w:val="single" w:color="auto" w:sz="4" w:space="0"/>
            </w:tcBorders>
            <w:noWrap w:val="0"/>
            <w:vAlign w:val="center"/>
          </w:tcPr>
          <w:p w14:paraId="23783413">
            <w:pPr>
              <w:spacing w:line="400" w:lineRule="exact"/>
              <w:jc w:val="center"/>
              <w:rPr>
                <w:rFonts w:ascii="宋体" w:hAnsi="宋体" w:cs="宋体"/>
                <w:color w:val="auto"/>
                <w:sz w:val="24"/>
                <w:szCs w:val="24"/>
                <w:highlight w:val="none"/>
              </w:rPr>
            </w:pPr>
          </w:p>
        </w:tc>
        <w:tc>
          <w:tcPr>
            <w:tcW w:w="1074" w:type="dxa"/>
            <w:tcBorders>
              <w:left w:val="single" w:color="auto" w:sz="4" w:space="0"/>
              <w:bottom w:val="single" w:color="auto" w:sz="4" w:space="0"/>
              <w:right w:val="single" w:color="auto" w:sz="4" w:space="0"/>
            </w:tcBorders>
            <w:noWrap w:val="0"/>
            <w:vAlign w:val="center"/>
          </w:tcPr>
          <w:p w14:paraId="60691C6C">
            <w:pPr>
              <w:spacing w:line="400" w:lineRule="exact"/>
              <w:jc w:val="center"/>
              <w:rPr>
                <w:rFonts w:ascii="宋体" w:hAnsi="宋体" w:cs="宋体"/>
                <w:bCs/>
                <w:color w:val="auto"/>
                <w:sz w:val="24"/>
                <w:szCs w:val="24"/>
                <w:highlight w:val="none"/>
              </w:rPr>
            </w:pPr>
            <w:r>
              <w:rPr>
                <w:rFonts w:hint="eastAsia" w:ascii="宋体" w:hAnsi="宋体" w:cs="宋体"/>
                <w:bCs/>
                <w:color w:val="auto"/>
                <w:sz w:val="24"/>
                <w:szCs w:val="24"/>
                <w:highlight w:val="none"/>
              </w:rPr>
              <w:t>维</w:t>
            </w:r>
            <w:r>
              <w:rPr>
                <w:rFonts w:hint="eastAsia" w:ascii="宋体" w:hAnsi="宋体" w:cs="宋体"/>
                <w:bCs/>
                <w:color w:val="auto"/>
                <w:sz w:val="24"/>
                <w:szCs w:val="24"/>
                <w:highlight w:val="none"/>
                <w:lang w:val="en-US" w:eastAsia="zh-CN"/>
              </w:rPr>
              <w:t>修</w:t>
            </w:r>
            <w:r>
              <w:rPr>
                <w:rFonts w:hint="eastAsia" w:ascii="宋体" w:hAnsi="宋体" w:cs="宋体"/>
                <w:bCs/>
                <w:color w:val="auto"/>
                <w:sz w:val="24"/>
                <w:szCs w:val="24"/>
                <w:highlight w:val="none"/>
              </w:rPr>
              <w:t>服务方案</w:t>
            </w:r>
          </w:p>
        </w:tc>
        <w:tc>
          <w:tcPr>
            <w:tcW w:w="6369" w:type="dxa"/>
            <w:tcBorders>
              <w:top w:val="single" w:color="auto" w:sz="4" w:space="0"/>
              <w:left w:val="single" w:color="auto" w:sz="4" w:space="0"/>
              <w:bottom w:val="single" w:color="auto" w:sz="4" w:space="0"/>
              <w:right w:val="single" w:color="auto" w:sz="4" w:space="0"/>
            </w:tcBorders>
            <w:noWrap w:val="0"/>
            <w:vAlign w:val="center"/>
          </w:tcPr>
          <w:p w14:paraId="12881E1A">
            <w:pPr>
              <w:spacing w:line="520" w:lineRule="exact"/>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响应文件中</w:t>
            </w:r>
            <w:r>
              <w:rPr>
                <w:rFonts w:hint="eastAsia" w:ascii="宋体" w:hAnsi="宋体" w:eastAsia="宋体" w:cs="宋体"/>
                <w:bCs/>
                <w:color w:val="auto"/>
                <w:sz w:val="24"/>
                <w:szCs w:val="24"/>
                <w:highlight w:val="none"/>
              </w:rPr>
              <w:t>提供详细的维</w:t>
            </w:r>
            <w:r>
              <w:rPr>
                <w:rFonts w:hint="eastAsia" w:ascii="宋体" w:hAnsi="宋体" w:eastAsia="宋体" w:cs="宋体"/>
                <w:bCs/>
                <w:color w:val="auto"/>
                <w:sz w:val="24"/>
                <w:szCs w:val="24"/>
                <w:highlight w:val="none"/>
                <w:lang w:val="en-US" w:eastAsia="zh-CN"/>
              </w:rPr>
              <w:t>修</w:t>
            </w:r>
            <w:r>
              <w:rPr>
                <w:rFonts w:hint="eastAsia" w:ascii="宋体" w:hAnsi="宋体" w:eastAsia="宋体" w:cs="宋体"/>
                <w:bCs/>
                <w:color w:val="auto"/>
                <w:sz w:val="24"/>
                <w:szCs w:val="24"/>
                <w:highlight w:val="none"/>
              </w:rPr>
              <w:t>服务方案（包括水泵返修率、水泵维修档案的建立、水泵使用情况回访、常见故障排查及技术培训、水泵保养指导等）：</w:t>
            </w:r>
          </w:p>
          <w:p w14:paraId="574C444E">
            <w:pPr>
              <w:spacing w:line="520" w:lineRule="exact"/>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①方案全面细致完整、科学性高、可操作性强的得6分；</w:t>
            </w:r>
          </w:p>
          <w:p w14:paraId="1A0BD989">
            <w:pPr>
              <w:spacing w:line="520" w:lineRule="exact"/>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②方案较全面细致完整、能基本保满足项目实施的得4分；</w:t>
            </w:r>
          </w:p>
          <w:p w14:paraId="708ED964">
            <w:pPr>
              <w:spacing w:line="520" w:lineRule="exact"/>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③方案有待提高的得2分；</w:t>
            </w:r>
          </w:p>
          <w:p w14:paraId="5060137B">
            <w:pPr>
              <w:spacing w:line="520" w:lineRule="exact"/>
              <w:jc w:val="left"/>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④</w:t>
            </w:r>
            <w:r>
              <w:rPr>
                <w:rFonts w:hint="eastAsia" w:ascii="宋体" w:hAnsi="宋体" w:eastAsia="宋体" w:cs="宋体"/>
                <w:bCs/>
                <w:color w:val="auto"/>
                <w:sz w:val="24"/>
                <w:szCs w:val="24"/>
                <w:highlight w:val="none"/>
              </w:rPr>
              <w:t>方案明显错误或未提供的不得分</w:t>
            </w:r>
            <w:r>
              <w:rPr>
                <w:rFonts w:hint="eastAsia" w:ascii="宋体" w:hAnsi="宋体" w:eastAsia="宋体" w:cs="宋体"/>
                <w:bCs/>
                <w:color w:val="auto"/>
                <w:sz w:val="24"/>
                <w:szCs w:val="24"/>
                <w:highlight w:val="none"/>
                <w:lang w:eastAsia="zh-CN"/>
              </w:rPr>
              <w:t>；</w:t>
            </w:r>
          </w:p>
          <w:p w14:paraId="495E1DF1">
            <w:pPr>
              <w:spacing w:line="520" w:lineRule="exact"/>
              <w:jc w:val="left"/>
              <w:rPr>
                <w:rFonts w:hint="eastAsia" w:ascii="宋体" w:hAnsi="宋体" w:eastAsia="宋体" w:cs="宋体"/>
                <w:bCs/>
                <w:color w:val="auto"/>
                <w:sz w:val="24"/>
                <w:szCs w:val="24"/>
                <w:highlight w:val="none"/>
                <w:lang w:eastAsia="zh-CN"/>
              </w:rPr>
            </w:pPr>
            <w:r>
              <w:rPr>
                <w:rFonts w:hint="eastAsia" w:ascii="宋体" w:hAnsi="宋体" w:cs="宋体"/>
                <w:bCs/>
                <w:color w:val="auto"/>
                <w:sz w:val="24"/>
                <w:szCs w:val="24"/>
                <w:highlight w:val="none"/>
                <w:lang w:val="en-US" w:eastAsia="zh-CN"/>
              </w:rPr>
              <w:t>本项满分6分。</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6DD03163">
            <w:pPr>
              <w:spacing w:line="400" w:lineRule="exact"/>
              <w:jc w:val="center"/>
              <w:rPr>
                <w:rFonts w:hint="default" w:ascii="宋体" w:hAnsi="宋体" w:eastAsia="宋体" w:cs="宋体"/>
                <w:b/>
                <w:bCs/>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0-6</w:t>
            </w:r>
          </w:p>
        </w:tc>
      </w:tr>
      <w:tr w14:paraId="54BAD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425" w:hRule="atLeast"/>
          <w:jc w:val="center"/>
        </w:trPr>
        <w:tc>
          <w:tcPr>
            <w:tcW w:w="1183" w:type="dxa"/>
            <w:vMerge w:val="continue"/>
            <w:tcBorders>
              <w:left w:val="single" w:color="auto" w:sz="4" w:space="0"/>
              <w:right w:val="single" w:color="auto" w:sz="4" w:space="0"/>
            </w:tcBorders>
            <w:noWrap w:val="0"/>
            <w:vAlign w:val="center"/>
          </w:tcPr>
          <w:p w14:paraId="09F7F79D">
            <w:pPr>
              <w:spacing w:line="400" w:lineRule="exact"/>
              <w:jc w:val="center"/>
              <w:rPr>
                <w:rFonts w:ascii="宋体" w:hAnsi="宋体" w:cs="宋体"/>
                <w:color w:val="auto"/>
                <w:sz w:val="24"/>
                <w:szCs w:val="24"/>
                <w:highlight w:val="none"/>
              </w:rPr>
            </w:pPr>
          </w:p>
        </w:tc>
        <w:tc>
          <w:tcPr>
            <w:tcW w:w="1074" w:type="dxa"/>
            <w:tcBorders>
              <w:left w:val="single" w:color="auto" w:sz="4" w:space="0"/>
              <w:bottom w:val="single" w:color="auto" w:sz="4" w:space="0"/>
              <w:right w:val="single" w:color="auto" w:sz="4" w:space="0"/>
            </w:tcBorders>
            <w:noWrap w:val="0"/>
            <w:vAlign w:val="center"/>
          </w:tcPr>
          <w:p w14:paraId="2EB6167C">
            <w:pPr>
              <w:spacing w:line="400" w:lineRule="exact"/>
              <w:jc w:val="center"/>
              <w:rPr>
                <w:rFonts w:ascii="宋体" w:hAnsi="宋体" w:cs="宋体"/>
                <w:bCs/>
                <w:color w:val="auto"/>
                <w:sz w:val="24"/>
                <w:szCs w:val="24"/>
                <w:highlight w:val="none"/>
              </w:rPr>
            </w:pPr>
            <w:r>
              <w:rPr>
                <w:rFonts w:hint="eastAsia" w:ascii="宋体" w:hAnsi="宋体" w:cs="宋体"/>
                <w:bCs/>
                <w:color w:val="auto"/>
                <w:sz w:val="24"/>
                <w:szCs w:val="24"/>
                <w:highlight w:val="none"/>
              </w:rPr>
              <w:t>维修备件</w:t>
            </w:r>
          </w:p>
        </w:tc>
        <w:tc>
          <w:tcPr>
            <w:tcW w:w="6369" w:type="dxa"/>
            <w:tcBorders>
              <w:top w:val="single" w:color="auto" w:sz="4" w:space="0"/>
              <w:left w:val="single" w:color="auto" w:sz="4" w:space="0"/>
              <w:bottom w:val="single" w:color="auto" w:sz="4" w:space="0"/>
              <w:right w:val="single" w:color="auto" w:sz="4" w:space="0"/>
            </w:tcBorders>
            <w:noWrap w:val="0"/>
            <w:vAlign w:val="center"/>
          </w:tcPr>
          <w:p w14:paraId="4BC6EDC4">
            <w:pPr>
              <w:spacing w:line="520" w:lineRule="exact"/>
              <w:ind w:firstLine="480" w:firstLineChars="200"/>
              <w:jc w:val="left"/>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按照采购需求中常见故障的种类，提供相关维修更换的备件，并承诺完全满足后期设备维</w:t>
            </w:r>
            <w:r>
              <w:rPr>
                <w:rFonts w:hint="eastAsia" w:ascii="宋体" w:hAnsi="宋体" w:eastAsia="宋体" w:cs="宋体"/>
                <w:bCs/>
                <w:color w:val="auto"/>
                <w:sz w:val="24"/>
                <w:szCs w:val="24"/>
                <w:highlight w:val="none"/>
                <w:lang w:val="en-US" w:eastAsia="zh-CN"/>
              </w:rPr>
              <w:t>修</w:t>
            </w:r>
            <w:r>
              <w:rPr>
                <w:rFonts w:hint="eastAsia" w:ascii="宋体" w:hAnsi="宋体" w:eastAsia="宋体" w:cs="宋体"/>
                <w:bCs/>
                <w:color w:val="auto"/>
                <w:sz w:val="24"/>
                <w:szCs w:val="24"/>
                <w:highlight w:val="none"/>
              </w:rPr>
              <w:t>需要的得 5分；否则不得分</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本项满分5分。</w:t>
            </w:r>
          </w:p>
          <w:p w14:paraId="40C7BE58">
            <w:pPr>
              <w:spacing w:line="520" w:lineRule="exact"/>
              <w:jc w:val="left"/>
              <w:rPr>
                <w:rFonts w:ascii="宋体" w:hAnsi="宋体" w:cs="宋体"/>
                <w:color w:val="auto"/>
                <w:sz w:val="24"/>
                <w:szCs w:val="24"/>
                <w:highlight w:val="none"/>
              </w:rPr>
            </w:pPr>
            <w:r>
              <w:rPr>
                <w:rFonts w:hint="eastAsia" w:ascii="宋体" w:hAnsi="宋体" w:eastAsia="宋体" w:cs="宋体"/>
                <w:bCs/>
                <w:color w:val="auto"/>
                <w:sz w:val="24"/>
                <w:szCs w:val="24"/>
                <w:highlight w:val="none"/>
              </w:rPr>
              <w:t>注：</w:t>
            </w:r>
            <w:r>
              <w:rPr>
                <w:rFonts w:hint="eastAsia" w:ascii="宋体" w:hAnsi="宋体" w:eastAsia="宋体" w:cs="宋体"/>
                <w:bCs/>
                <w:color w:val="auto"/>
                <w:sz w:val="24"/>
                <w:szCs w:val="24"/>
                <w:highlight w:val="none"/>
                <w:lang w:val="en-US" w:eastAsia="zh-CN"/>
              </w:rPr>
              <w:t>响应文件中</w:t>
            </w:r>
            <w:r>
              <w:rPr>
                <w:rFonts w:hint="eastAsia" w:ascii="宋体" w:hAnsi="宋体" w:eastAsia="宋体" w:cs="宋体"/>
                <w:bCs/>
                <w:color w:val="auto"/>
                <w:sz w:val="24"/>
                <w:szCs w:val="24"/>
                <w:highlight w:val="none"/>
              </w:rPr>
              <w:t>提供承诺函（格式自拟）。</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68323B51">
            <w:pPr>
              <w:spacing w:line="400" w:lineRule="exact"/>
              <w:jc w:val="center"/>
              <w:rPr>
                <w:rFonts w:hint="default" w:ascii="宋体" w:hAnsi="宋体" w:eastAsia="宋体" w:cs="宋体"/>
                <w:b/>
                <w:bCs/>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0-5</w:t>
            </w:r>
          </w:p>
        </w:tc>
      </w:tr>
      <w:tr w14:paraId="10273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1526" w:hRule="atLeast"/>
          <w:jc w:val="center"/>
        </w:trPr>
        <w:tc>
          <w:tcPr>
            <w:tcW w:w="1183" w:type="dxa"/>
            <w:tcBorders>
              <w:left w:val="single" w:color="auto" w:sz="4" w:space="0"/>
              <w:right w:val="single" w:color="auto" w:sz="4" w:space="0"/>
            </w:tcBorders>
            <w:noWrap w:val="0"/>
            <w:vAlign w:val="center"/>
          </w:tcPr>
          <w:p w14:paraId="529BE1FB">
            <w:pPr>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价格分</w:t>
            </w:r>
          </w:p>
          <w:p w14:paraId="708B0818">
            <w:pPr>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rPr>
              <w:t>10</w:t>
            </w:r>
            <w:r>
              <w:rPr>
                <w:rFonts w:hint="eastAsia" w:ascii="宋体" w:hAnsi="宋体" w:cs="宋体"/>
                <w:color w:val="auto"/>
                <w:sz w:val="24"/>
                <w:szCs w:val="24"/>
                <w:highlight w:val="none"/>
              </w:rPr>
              <w:t>分）</w:t>
            </w:r>
          </w:p>
        </w:tc>
        <w:tc>
          <w:tcPr>
            <w:tcW w:w="8096" w:type="dxa"/>
            <w:gridSpan w:val="3"/>
            <w:tcBorders>
              <w:top w:val="single" w:color="auto" w:sz="4" w:space="0"/>
              <w:left w:val="single" w:color="auto" w:sz="4" w:space="0"/>
              <w:bottom w:val="single" w:color="auto" w:sz="4" w:space="0"/>
              <w:right w:val="single" w:color="auto" w:sz="4" w:space="0"/>
            </w:tcBorders>
            <w:noWrap w:val="0"/>
            <w:vAlign w:val="center"/>
          </w:tcPr>
          <w:p w14:paraId="7056E8E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价格分统一采用低价优先法，即满足磋商文件要求且最后报价最低的供应商的价格为磋商基准价，其价格分为满分</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10</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分。其他供应商的价格分统一按照下列公式计算：</w:t>
            </w:r>
          </w:p>
          <w:p w14:paraId="301D3AF6">
            <w:pPr>
              <w:widowControl/>
              <w:spacing w:line="400" w:lineRule="exact"/>
              <w:rPr>
                <w:rFonts w:hint="eastAsia" w:ascii="宋体" w:hAnsi="宋体" w:cs="宋体"/>
                <w:color w:val="auto"/>
                <w:sz w:val="24"/>
                <w:szCs w:val="24"/>
                <w:highlight w:val="none"/>
              </w:rPr>
            </w:pPr>
            <w:r>
              <w:rPr>
                <w:rFonts w:hint="eastAsia" w:ascii="宋体" w:hAnsi="宋体" w:eastAsia="宋体" w:cs="宋体"/>
                <w:color w:val="auto"/>
                <w:sz w:val="24"/>
                <w:highlight w:val="none"/>
              </w:rPr>
              <w:t>磋商报价得分＝（磋商基准价/最后磋商报价）×</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10</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％×100</w:t>
            </w:r>
          </w:p>
        </w:tc>
      </w:tr>
    </w:tbl>
    <w:p w14:paraId="406B09EA">
      <w:pPr>
        <w:spacing w:line="360" w:lineRule="auto"/>
        <w:rPr>
          <w:rFonts w:hint="eastAsia" w:ascii="宋体" w:hAnsi="宋体" w:eastAsia="宋体" w:cs="宋体"/>
          <w:color w:val="auto"/>
          <w:sz w:val="24"/>
          <w:highlight w:val="none"/>
        </w:rPr>
      </w:pPr>
    </w:p>
    <w:p w14:paraId="77F934A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2.2.3分值汇总</w:t>
      </w:r>
    </w:p>
    <w:p w14:paraId="70C2613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（1）磋商小组各成员应当独立对每个有效响应的文件进行评价、打分，然后汇总每个供应商每项评分因素的得分，再取各位评委评分之平均值，四舍五入保留至小数点后两位数，得到该供应商的技术资信分。</w:t>
      </w:r>
    </w:p>
    <w:p w14:paraId="3F65DE7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（2）将每个供应商的技术资信分加上根据上述标准计算出的价格分，即为该供应商的综合总得分。</w:t>
      </w:r>
      <w:r>
        <w:rPr>
          <w:rFonts w:hint="eastAsia" w:ascii="宋体" w:hAnsi="宋体" w:eastAsia="宋体" w:cs="宋体"/>
          <w:color w:val="auto"/>
          <w:sz w:val="24"/>
          <w:highlight w:val="none"/>
        </w:rPr>
        <w:br w:type="page"/>
      </w:r>
    </w:p>
    <w:p w14:paraId="77AB0FD5">
      <w:pPr>
        <w:spacing w:line="360" w:lineRule="auto"/>
        <w:jc w:val="center"/>
        <w:outlineLvl w:val="0"/>
        <w:rPr>
          <w:rFonts w:hint="eastAsia" w:ascii="宋体" w:hAnsi="宋体" w:eastAsia="宋体" w:cs="宋体"/>
          <w:b/>
          <w:color w:val="auto"/>
          <w:sz w:val="28"/>
          <w:highlight w:val="none"/>
        </w:rPr>
      </w:pPr>
      <w:bookmarkStart w:id="122" w:name="_Toc355"/>
      <w:bookmarkStart w:id="123" w:name="_Toc63440929"/>
      <w:bookmarkStart w:id="124" w:name="_Toc29923"/>
      <w:bookmarkStart w:id="125" w:name="_Toc2430"/>
      <w:r>
        <w:rPr>
          <w:rFonts w:hint="eastAsia" w:ascii="宋体" w:hAnsi="宋体" w:eastAsia="宋体" w:cs="宋体"/>
          <w:b/>
          <w:color w:val="auto"/>
          <w:sz w:val="28"/>
          <w:highlight w:val="none"/>
        </w:rPr>
        <w:t>第五章  政府采购合同</w:t>
      </w:r>
      <w:bookmarkEnd w:id="122"/>
      <w:bookmarkEnd w:id="123"/>
      <w:bookmarkEnd w:id="124"/>
    </w:p>
    <w:p w14:paraId="34904005">
      <w:pPr>
        <w:spacing w:line="480" w:lineRule="auto"/>
        <w:jc w:val="center"/>
        <w:rPr>
          <w:rFonts w:hint="eastAsia" w:ascii="宋体" w:hAnsi="宋体" w:eastAsia="宋体" w:cs="宋体"/>
          <w:b/>
          <w:color w:val="auto"/>
          <w:sz w:val="24"/>
          <w:highlight w:val="none"/>
        </w:rPr>
      </w:pPr>
    </w:p>
    <w:p w14:paraId="353EBBDE">
      <w:pPr>
        <w:spacing w:line="480" w:lineRule="auto"/>
        <w:jc w:val="center"/>
        <w:rPr>
          <w:rFonts w:hint="eastAsia" w:ascii="宋体" w:hAnsi="宋体" w:eastAsia="宋体" w:cs="宋体"/>
          <w:b/>
          <w:color w:val="auto"/>
          <w:sz w:val="24"/>
          <w:highlight w:val="none"/>
        </w:rPr>
      </w:pPr>
    </w:p>
    <w:p w14:paraId="1FEE1319">
      <w:pPr>
        <w:spacing w:line="480" w:lineRule="auto"/>
        <w:jc w:val="center"/>
        <w:outlineLvl w:val="1"/>
        <w:rPr>
          <w:rFonts w:hint="eastAsia" w:ascii="宋体" w:hAnsi="宋体" w:eastAsia="宋体" w:cs="宋体"/>
          <w:b/>
          <w:color w:val="auto"/>
          <w:sz w:val="44"/>
          <w:szCs w:val="44"/>
          <w:highlight w:val="none"/>
        </w:rPr>
      </w:pPr>
      <w:bookmarkStart w:id="126" w:name="_Toc3714"/>
      <w:r>
        <w:rPr>
          <w:rFonts w:hint="eastAsia" w:ascii="宋体" w:hAnsi="宋体" w:eastAsia="宋体" w:cs="宋体"/>
          <w:b/>
          <w:color w:val="auto"/>
          <w:sz w:val="44"/>
          <w:szCs w:val="44"/>
          <w:highlight w:val="none"/>
        </w:rPr>
        <w:t>政府采购合同参考范本</w:t>
      </w:r>
      <w:bookmarkEnd w:id="126"/>
    </w:p>
    <w:p w14:paraId="01F87D03">
      <w:pPr>
        <w:spacing w:line="480" w:lineRule="auto"/>
        <w:jc w:val="center"/>
        <w:outlineLvl w:val="1"/>
        <w:rPr>
          <w:rFonts w:hint="eastAsia" w:ascii="宋体" w:hAnsi="宋体" w:eastAsia="宋体" w:cs="宋体"/>
          <w:b/>
          <w:color w:val="auto"/>
          <w:sz w:val="28"/>
          <w:szCs w:val="28"/>
          <w:highlight w:val="none"/>
        </w:rPr>
      </w:pPr>
      <w:bookmarkStart w:id="127" w:name="_Toc8560"/>
      <w:r>
        <w:rPr>
          <w:rFonts w:hint="eastAsia" w:ascii="宋体" w:hAnsi="宋体" w:eastAsia="宋体" w:cs="宋体"/>
          <w:b/>
          <w:color w:val="auto"/>
          <w:sz w:val="28"/>
          <w:szCs w:val="28"/>
          <w:highlight w:val="none"/>
        </w:rPr>
        <w:t>（</w:t>
      </w:r>
      <w:r>
        <w:rPr>
          <w:rFonts w:hint="eastAsia" w:ascii="宋体" w:hAnsi="宋体" w:eastAsia="宋体" w:cs="宋体"/>
          <w:b/>
          <w:color w:val="auto"/>
          <w:sz w:val="28"/>
          <w:szCs w:val="28"/>
          <w:highlight w:val="none"/>
          <w:lang w:val="en-US" w:eastAsia="zh-CN"/>
        </w:rPr>
        <w:t>服务类</w:t>
      </w:r>
      <w:r>
        <w:rPr>
          <w:rFonts w:hint="eastAsia" w:ascii="宋体" w:hAnsi="宋体" w:eastAsia="宋体" w:cs="宋体"/>
          <w:b/>
          <w:color w:val="auto"/>
          <w:sz w:val="28"/>
          <w:szCs w:val="28"/>
          <w:highlight w:val="none"/>
        </w:rPr>
        <w:t>）</w:t>
      </w:r>
      <w:bookmarkEnd w:id="127"/>
    </w:p>
    <w:p w14:paraId="78402016">
      <w:pPr>
        <w:spacing w:line="480" w:lineRule="auto"/>
        <w:jc w:val="center"/>
        <w:rPr>
          <w:rFonts w:hint="eastAsia" w:ascii="宋体" w:hAnsi="宋体" w:eastAsia="宋体" w:cs="宋体"/>
          <w:b/>
          <w:color w:val="auto"/>
          <w:sz w:val="24"/>
          <w:szCs w:val="24"/>
          <w:highlight w:val="none"/>
        </w:rPr>
      </w:pPr>
    </w:p>
    <w:p w14:paraId="13AE3ABA">
      <w:pPr>
        <w:spacing w:line="480" w:lineRule="auto"/>
        <w:jc w:val="center"/>
        <w:rPr>
          <w:rFonts w:hint="eastAsia" w:ascii="宋体" w:hAnsi="宋体" w:eastAsia="宋体" w:cs="宋体"/>
          <w:b/>
          <w:color w:val="auto"/>
          <w:sz w:val="24"/>
          <w:szCs w:val="24"/>
          <w:highlight w:val="none"/>
        </w:rPr>
      </w:pPr>
    </w:p>
    <w:p w14:paraId="702233A5">
      <w:pPr>
        <w:spacing w:line="480" w:lineRule="auto"/>
        <w:jc w:val="center"/>
        <w:rPr>
          <w:rFonts w:hint="eastAsia" w:ascii="宋体" w:hAnsi="宋体" w:eastAsia="宋体" w:cs="宋体"/>
          <w:b/>
          <w:color w:val="auto"/>
          <w:sz w:val="24"/>
          <w:szCs w:val="24"/>
          <w:highlight w:val="none"/>
        </w:rPr>
      </w:pPr>
    </w:p>
    <w:p w14:paraId="193918B4">
      <w:pPr>
        <w:spacing w:line="360" w:lineRule="auto"/>
        <w:jc w:val="center"/>
        <w:outlineLvl w:val="1"/>
        <w:rPr>
          <w:rFonts w:hint="eastAsia" w:ascii="宋体" w:hAnsi="宋体" w:eastAsia="宋体" w:cs="宋体"/>
          <w:b/>
          <w:color w:val="auto"/>
          <w:sz w:val="24"/>
          <w:highlight w:val="none"/>
        </w:rPr>
      </w:pPr>
      <w:bookmarkStart w:id="128" w:name="_Toc2449"/>
      <w:r>
        <w:rPr>
          <w:rFonts w:hint="eastAsia" w:ascii="宋体" w:hAnsi="宋体" w:eastAsia="宋体" w:cs="宋体"/>
          <w:b/>
          <w:color w:val="auto"/>
          <w:sz w:val="24"/>
          <w:highlight w:val="none"/>
        </w:rPr>
        <w:t>第一部分 合同书</w:t>
      </w:r>
      <w:bookmarkEnd w:id="128"/>
    </w:p>
    <w:p w14:paraId="6455D1A3">
      <w:pPr>
        <w:spacing w:line="480" w:lineRule="auto"/>
        <w:jc w:val="center"/>
        <w:rPr>
          <w:rFonts w:hint="eastAsia" w:ascii="宋体" w:hAnsi="宋体" w:eastAsia="宋体" w:cs="宋体"/>
          <w:b/>
          <w:color w:val="auto"/>
          <w:sz w:val="24"/>
          <w:highlight w:val="none"/>
        </w:rPr>
      </w:pPr>
    </w:p>
    <w:p w14:paraId="47EC27EA">
      <w:pPr>
        <w:spacing w:line="480" w:lineRule="auto"/>
        <w:jc w:val="center"/>
        <w:rPr>
          <w:rFonts w:hint="eastAsia" w:ascii="宋体" w:hAnsi="宋体" w:eastAsia="宋体" w:cs="宋体"/>
          <w:b/>
          <w:color w:val="auto"/>
          <w:sz w:val="24"/>
          <w:highlight w:val="none"/>
        </w:rPr>
      </w:pPr>
    </w:p>
    <w:p w14:paraId="7E04891B">
      <w:pPr>
        <w:spacing w:line="480" w:lineRule="auto"/>
        <w:jc w:val="center"/>
        <w:rPr>
          <w:rFonts w:hint="eastAsia" w:ascii="宋体" w:hAnsi="宋体" w:eastAsia="宋体" w:cs="宋体"/>
          <w:b/>
          <w:color w:val="auto"/>
          <w:sz w:val="24"/>
          <w:highlight w:val="none"/>
        </w:rPr>
      </w:pPr>
    </w:p>
    <w:p w14:paraId="403CB77E">
      <w:pPr>
        <w:spacing w:before="120" w:line="480" w:lineRule="auto"/>
        <w:ind w:left="96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eastAsia="zh-CN"/>
        </w:rPr>
        <w:t>苏大堰排涝站水泵故障维修</w:t>
      </w:r>
      <w:r>
        <w:rPr>
          <w:rFonts w:hint="eastAsia" w:ascii="宋体" w:hAnsi="宋体" w:eastAsia="宋体" w:cs="宋体"/>
          <w:color w:val="auto"/>
          <w:sz w:val="24"/>
          <w:highlight w:val="none"/>
          <w:u w:val="single"/>
        </w:rPr>
        <w:t xml:space="preserve">  </w:t>
      </w:r>
    </w:p>
    <w:p w14:paraId="18FC1665">
      <w:pPr>
        <w:spacing w:before="120" w:line="480" w:lineRule="auto"/>
        <w:ind w:left="960"/>
        <w:rPr>
          <w:rFonts w:hint="eastAsia" w:ascii="宋体" w:hAnsi="宋体" w:eastAsia="宋体" w:cs="宋体"/>
          <w:color w:val="auto"/>
          <w:sz w:val="24"/>
          <w:highlight w:val="none"/>
        </w:rPr>
      </w:pPr>
      <w:r>
        <w:rPr>
          <w:rFonts w:hint="eastAsia" w:ascii="宋体" w:hAnsi="宋体" w:eastAsia="宋体" w:cs="宋体"/>
          <w:color w:val="auto"/>
          <w:sz w:val="24"/>
          <w:highlight w:val="none"/>
        </w:rPr>
        <w:t>项目编号：</w:t>
      </w:r>
      <w:r>
        <w:rPr>
          <w:rFonts w:hint="eastAsia" w:ascii="宋体" w:hAnsi="宋体" w:eastAsia="宋体" w:cs="宋体"/>
          <w:color w:val="auto"/>
          <w:sz w:val="24"/>
          <w:highlight w:val="none"/>
          <w:u w:val="single"/>
        </w:rPr>
        <w:t xml:space="preserve">            </w:t>
      </w:r>
    </w:p>
    <w:p w14:paraId="37B415B4">
      <w:pPr>
        <w:spacing w:before="120" w:line="480" w:lineRule="auto"/>
        <w:ind w:left="96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甲方（采购人）：</w:t>
      </w:r>
      <w:r>
        <w:rPr>
          <w:rFonts w:hint="eastAsia" w:ascii="宋体" w:hAnsi="宋体" w:eastAsia="宋体" w:cs="宋体"/>
          <w:color w:val="auto"/>
          <w:sz w:val="24"/>
          <w:highlight w:val="none"/>
          <w:u w:val="single"/>
        </w:rPr>
        <w:t xml:space="preserve">      六安市水利局           </w:t>
      </w:r>
    </w:p>
    <w:p w14:paraId="2BA1FD5F">
      <w:pPr>
        <w:spacing w:before="120" w:line="480" w:lineRule="auto"/>
        <w:ind w:left="96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乙方（成交供应商）：</w:t>
      </w:r>
      <w:r>
        <w:rPr>
          <w:rFonts w:hint="eastAsia" w:ascii="宋体" w:hAnsi="宋体" w:eastAsia="宋体" w:cs="宋体"/>
          <w:color w:val="auto"/>
          <w:sz w:val="24"/>
          <w:highlight w:val="none"/>
          <w:u w:val="single"/>
        </w:rPr>
        <w:t xml:space="preserve">                         </w:t>
      </w:r>
    </w:p>
    <w:p w14:paraId="47972941">
      <w:pPr>
        <w:spacing w:before="120" w:line="480" w:lineRule="auto"/>
        <w:ind w:firstLine="960" w:firstLineChars="4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签</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订</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地：</w:t>
      </w:r>
      <w:r>
        <w:rPr>
          <w:rFonts w:hint="eastAsia" w:ascii="宋体" w:hAnsi="宋体" w:eastAsia="宋体" w:cs="宋体"/>
          <w:color w:val="auto"/>
          <w:sz w:val="24"/>
          <w:highlight w:val="none"/>
          <w:u w:val="single"/>
        </w:rPr>
        <w:t xml:space="preserve">                                   </w:t>
      </w:r>
    </w:p>
    <w:p w14:paraId="7EC2B308">
      <w:pPr>
        <w:spacing w:before="120" w:line="480" w:lineRule="auto"/>
        <w:ind w:firstLine="960" w:firstLineChars="400"/>
        <w:rPr>
          <w:rFonts w:hint="eastAsia" w:ascii="宋体" w:hAnsi="宋体" w:eastAsia="宋体" w:cs="宋体"/>
          <w:color w:val="auto"/>
          <w:sz w:val="24"/>
          <w:highlight w:val="none"/>
        </w:rPr>
      </w:pPr>
      <w:r>
        <w:rPr>
          <w:rFonts w:hint="eastAsia" w:ascii="宋体" w:hAnsi="宋体" w:eastAsia="宋体" w:cs="宋体"/>
          <w:color w:val="auto"/>
          <w:sz w:val="24"/>
          <w:highlight w:val="none"/>
        </w:rPr>
        <w:t>签订日期：</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14:paraId="07C69ECA">
      <w:pPr>
        <w:widowControl/>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6DB8B90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 xml:space="preserve">  六安市水利局  </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zh-CN"/>
        </w:rPr>
        <w:t>以下简称：甲方</w:t>
      </w:r>
      <w:r>
        <w:rPr>
          <w:rFonts w:hint="eastAsia" w:ascii="宋体" w:hAnsi="宋体" w:eastAsia="宋体" w:cs="宋体"/>
          <w:color w:val="auto"/>
          <w:sz w:val="24"/>
          <w:highlight w:val="none"/>
        </w:rPr>
        <w:t>）通过</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组织的</w:t>
      </w:r>
      <w:r>
        <w:rPr>
          <w:rFonts w:hint="eastAsia" w:ascii="宋体" w:hAnsi="宋体" w:eastAsia="宋体" w:cs="宋体"/>
          <w:color w:val="auto"/>
          <w:sz w:val="24"/>
          <w:highlight w:val="none"/>
          <w:u w:val="single"/>
        </w:rPr>
        <w:t>竞争性磋商</w:t>
      </w:r>
      <w:r>
        <w:rPr>
          <w:rFonts w:hint="eastAsia" w:ascii="宋体" w:hAnsi="宋体" w:eastAsia="宋体" w:cs="宋体"/>
          <w:color w:val="auto"/>
          <w:sz w:val="24"/>
          <w:highlight w:val="none"/>
        </w:rPr>
        <w:t>方式采购活动，经</w:t>
      </w:r>
      <w:r>
        <w:rPr>
          <w:rFonts w:hint="eastAsia" w:ascii="宋体" w:hAnsi="宋体" w:eastAsia="宋体" w:cs="宋体"/>
          <w:color w:val="auto"/>
          <w:sz w:val="24"/>
          <w:highlight w:val="none"/>
          <w:u w:val="single"/>
        </w:rPr>
        <w:t>磋商小组</w:t>
      </w:r>
      <w:r>
        <w:rPr>
          <w:rFonts w:hint="eastAsia" w:ascii="宋体" w:hAnsi="宋体" w:eastAsia="宋体" w:cs="宋体"/>
          <w:color w:val="auto"/>
          <w:sz w:val="24"/>
          <w:highlight w:val="none"/>
        </w:rPr>
        <w:t>评定，</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zh-CN"/>
        </w:rPr>
        <w:t>以下简称：乙方</w:t>
      </w:r>
      <w:r>
        <w:rPr>
          <w:rFonts w:hint="eastAsia" w:ascii="宋体" w:hAnsi="宋体" w:eastAsia="宋体" w:cs="宋体"/>
          <w:color w:val="auto"/>
          <w:sz w:val="24"/>
          <w:highlight w:val="none"/>
        </w:rPr>
        <w:t>）为本项目成交供应商，现按照采购文件确定的事项签订本合同。</w:t>
      </w:r>
    </w:p>
    <w:p w14:paraId="3853A555">
      <w:pPr>
        <w:spacing w:line="360" w:lineRule="auto"/>
        <w:ind w:firstLine="435"/>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根据《中华人民共和国民法典》、《中华人民共和国政府采购法》等相关法律法规之规定，按照平等、自愿、公平和诚实信用的原则，经甲方和乙方协商一致，约定以下合同条款，以兹共同遵守、全面履行。</w:t>
      </w:r>
    </w:p>
    <w:p w14:paraId="2056F203">
      <w:pPr>
        <w:spacing w:line="360" w:lineRule="auto"/>
        <w:ind w:firstLine="437"/>
        <w:outlineLvl w:val="2"/>
        <w:rPr>
          <w:rFonts w:hint="eastAsia" w:ascii="宋体" w:hAnsi="宋体" w:eastAsia="宋体" w:cs="宋体"/>
          <w:b/>
          <w:bCs/>
          <w:color w:val="auto"/>
          <w:sz w:val="24"/>
          <w:highlight w:val="none"/>
          <w:lang w:val="zh-CN"/>
        </w:rPr>
      </w:pPr>
      <w:bookmarkStart w:id="129" w:name="_Toc24059"/>
      <w:bookmarkStart w:id="130" w:name="_Toc3029"/>
      <w:bookmarkStart w:id="131" w:name="_Toc2232"/>
      <w:r>
        <w:rPr>
          <w:rFonts w:hint="eastAsia" w:ascii="宋体" w:hAnsi="宋体" w:eastAsia="宋体" w:cs="宋体"/>
          <w:b/>
          <w:bCs/>
          <w:color w:val="auto"/>
          <w:sz w:val="24"/>
          <w:highlight w:val="none"/>
          <w:lang w:val="zh-CN"/>
        </w:rPr>
        <w:t>1.1 合同组成部分</w:t>
      </w:r>
      <w:bookmarkEnd w:id="129"/>
      <w:bookmarkEnd w:id="130"/>
      <w:bookmarkEnd w:id="131"/>
    </w:p>
    <w:p w14:paraId="45DD19A9">
      <w:pPr>
        <w:spacing w:line="360" w:lineRule="auto"/>
        <w:ind w:firstLine="435"/>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5E2E35EB">
      <w:pPr>
        <w:spacing w:line="360" w:lineRule="auto"/>
        <w:ind w:firstLine="435"/>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1.1.1本合同及其补充合同、变更协议；</w:t>
      </w:r>
    </w:p>
    <w:p w14:paraId="04DB2770">
      <w:pPr>
        <w:spacing w:line="360" w:lineRule="auto"/>
        <w:ind w:firstLine="435"/>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1.1.2成交通知书；</w:t>
      </w:r>
    </w:p>
    <w:p w14:paraId="52E266A9">
      <w:pPr>
        <w:spacing w:line="360" w:lineRule="auto"/>
        <w:ind w:firstLine="435"/>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1.1.3响应文件（含澄清或者说明文件）；</w:t>
      </w:r>
    </w:p>
    <w:p w14:paraId="18CD7B6E">
      <w:pPr>
        <w:spacing w:line="360" w:lineRule="auto"/>
        <w:ind w:firstLine="435"/>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1.1.4磋商文件（含澄清或者修改文件）；</w:t>
      </w:r>
    </w:p>
    <w:p w14:paraId="4D960054">
      <w:pPr>
        <w:spacing w:line="360" w:lineRule="auto"/>
        <w:ind w:firstLine="435"/>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1.1.5其他相关采购文件。</w:t>
      </w:r>
    </w:p>
    <w:p w14:paraId="2E8F7E6D">
      <w:pPr>
        <w:spacing w:line="360" w:lineRule="auto"/>
        <w:ind w:firstLine="437"/>
        <w:outlineLvl w:val="2"/>
        <w:rPr>
          <w:rFonts w:hint="eastAsia" w:ascii="宋体" w:hAnsi="宋体" w:eastAsia="宋体" w:cs="宋体"/>
          <w:b/>
          <w:bCs/>
          <w:color w:val="auto"/>
          <w:sz w:val="24"/>
          <w:highlight w:val="none"/>
          <w:lang w:val="zh-CN"/>
        </w:rPr>
      </w:pPr>
      <w:bookmarkStart w:id="132" w:name="_Toc6311"/>
      <w:bookmarkStart w:id="133" w:name="_Toc22185"/>
      <w:bookmarkStart w:id="134" w:name="_Toc6773"/>
      <w:bookmarkStart w:id="135" w:name="_Toc18585"/>
      <w:bookmarkStart w:id="136" w:name="_Toc2918"/>
      <w:r>
        <w:rPr>
          <w:rFonts w:hint="eastAsia" w:ascii="宋体" w:hAnsi="宋体" w:eastAsia="宋体" w:cs="宋体"/>
          <w:b/>
          <w:bCs/>
          <w:color w:val="auto"/>
          <w:sz w:val="24"/>
          <w:highlight w:val="none"/>
          <w:lang w:val="zh-CN"/>
        </w:rPr>
        <w:t xml:space="preserve">1.2 </w:t>
      </w:r>
      <w:bookmarkEnd w:id="132"/>
      <w:bookmarkEnd w:id="133"/>
      <w:bookmarkEnd w:id="134"/>
      <w:bookmarkEnd w:id="135"/>
      <w:bookmarkEnd w:id="136"/>
      <w:r>
        <w:rPr>
          <w:rFonts w:hint="eastAsia" w:ascii="宋体" w:hAnsi="宋体" w:eastAsia="宋体" w:cs="宋体"/>
          <w:b/>
          <w:bCs/>
          <w:color w:val="auto"/>
          <w:sz w:val="24"/>
          <w:highlight w:val="none"/>
          <w:lang w:val="zh-CN"/>
        </w:rPr>
        <w:t>服务</w:t>
      </w:r>
    </w:p>
    <w:p w14:paraId="4FF3B879">
      <w:pPr>
        <w:spacing w:line="360" w:lineRule="auto"/>
        <w:ind w:firstLine="435"/>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1.2.1服务名称：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eastAsia="zh-CN"/>
        </w:rPr>
        <w:t>苏大堰排涝站水泵故障维修</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6D8C008E">
      <w:pPr>
        <w:spacing w:line="360" w:lineRule="auto"/>
        <w:ind w:firstLine="435"/>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1.2.2服务内容：</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770E285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1.2.3服务质量：</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5F2501F7">
      <w:pPr>
        <w:spacing w:line="360" w:lineRule="auto"/>
        <w:ind w:firstLine="437"/>
        <w:outlineLvl w:val="2"/>
        <w:rPr>
          <w:rFonts w:hint="eastAsia" w:ascii="宋体" w:hAnsi="宋体" w:eastAsia="宋体" w:cs="宋体"/>
          <w:b/>
          <w:bCs/>
          <w:color w:val="auto"/>
          <w:sz w:val="24"/>
          <w:highlight w:val="none"/>
          <w:lang w:val="zh-CN"/>
        </w:rPr>
      </w:pPr>
      <w:bookmarkStart w:id="137" w:name="_Toc23292"/>
      <w:bookmarkStart w:id="138" w:name="_Toc21551"/>
      <w:bookmarkStart w:id="139" w:name="_Toc21631"/>
      <w:r>
        <w:rPr>
          <w:rFonts w:hint="eastAsia" w:ascii="宋体" w:hAnsi="宋体" w:eastAsia="宋体" w:cs="宋体"/>
          <w:b/>
          <w:bCs/>
          <w:color w:val="auto"/>
          <w:sz w:val="24"/>
          <w:highlight w:val="none"/>
          <w:lang w:val="zh-CN"/>
        </w:rPr>
        <w:t>1.3 价款</w:t>
      </w:r>
      <w:bookmarkEnd w:id="137"/>
      <w:bookmarkEnd w:id="138"/>
      <w:bookmarkEnd w:id="139"/>
    </w:p>
    <w:p w14:paraId="69A4255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本合同总价为：￥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元（大写：人民币</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元）。</w:t>
      </w:r>
    </w:p>
    <w:p w14:paraId="436CDF39">
      <w:pPr>
        <w:spacing w:line="360" w:lineRule="auto"/>
        <w:ind w:firstLine="435"/>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分项价格：</w:t>
      </w:r>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4"/>
        <w:gridCol w:w="4704"/>
        <w:gridCol w:w="13"/>
        <w:gridCol w:w="3515"/>
        <w:gridCol w:w="13"/>
      </w:tblGrid>
      <w:tr w14:paraId="01EAB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vAlign w:val="center"/>
          </w:tcPr>
          <w:p w14:paraId="4324E246">
            <w:pPr>
              <w:jc w:val="center"/>
              <w:rPr>
                <w:rFonts w:hint="eastAsia" w:ascii="宋体" w:hAnsi="宋体" w:eastAsia="宋体" w:cs="宋体"/>
                <w:b/>
                <w:bCs/>
                <w:color w:val="auto"/>
                <w:sz w:val="24"/>
                <w:highlight w:val="none"/>
                <w:lang w:val="zh-CN"/>
              </w:rPr>
            </w:pPr>
            <w:r>
              <w:rPr>
                <w:rFonts w:hint="eastAsia" w:ascii="宋体" w:hAnsi="宋体" w:eastAsia="宋体" w:cs="宋体"/>
                <w:b/>
                <w:bCs/>
                <w:color w:val="auto"/>
                <w:sz w:val="24"/>
                <w:highlight w:val="none"/>
                <w:lang w:val="zh-CN"/>
              </w:rPr>
              <w:t>序号</w:t>
            </w:r>
          </w:p>
        </w:tc>
        <w:tc>
          <w:tcPr>
            <w:tcW w:w="2532" w:type="pct"/>
            <w:vAlign w:val="center"/>
          </w:tcPr>
          <w:p w14:paraId="2B5D4F2E">
            <w:pPr>
              <w:pStyle w:val="56"/>
              <w:ind w:firstLine="20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分项名称</w:t>
            </w:r>
          </w:p>
        </w:tc>
        <w:tc>
          <w:tcPr>
            <w:tcW w:w="1899" w:type="pct"/>
            <w:gridSpan w:val="2"/>
            <w:vAlign w:val="center"/>
          </w:tcPr>
          <w:p w14:paraId="546F4F53">
            <w:pPr>
              <w:pStyle w:val="56"/>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分项价格</w:t>
            </w:r>
          </w:p>
        </w:tc>
      </w:tr>
      <w:tr w14:paraId="3BE20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tcPr>
          <w:p w14:paraId="54AF63DA">
            <w:pPr>
              <w:jc w:val="center"/>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1</w:t>
            </w:r>
          </w:p>
        </w:tc>
        <w:tc>
          <w:tcPr>
            <w:tcW w:w="2532" w:type="pct"/>
            <w:vAlign w:val="center"/>
          </w:tcPr>
          <w:p w14:paraId="3E2E92E4">
            <w:pPr>
              <w:pStyle w:val="56"/>
              <w:ind w:firstLine="200"/>
              <w:jc w:val="center"/>
              <w:rPr>
                <w:rFonts w:hint="eastAsia" w:ascii="宋体" w:hAnsi="宋体" w:eastAsia="宋体" w:cs="宋体"/>
                <w:color w:val="auto"/>
                <w:sz w:val="24"/>
                <w:szCs w:val="24"/>
                <w:highlight w:val="none"/>
              </w:rPr>
            </w:pPr>
          </w:p>
        </w:tc>
        <w:tc>
          <w:tcPr>
            <w:tcW w:w="1899" w:type="pct"/>
            <w:gridSpan w:val="2"/>
            <w:vAlign w:val="center"/>
          </w:tcPr>
          <w:p w14:paraId="6522B241">
            <w:pPr>
              <w:pStyle w:val="56"/>
              <w:ind w:firstLine="200"/>
              <w:jc w:val="center"/>
              <w:rPr>
                <w:rFonts w:hint="eastAsia" w:ascii="宋体" w:hAnsi="宋体" w:eastAsia="宋体" w:cs="宋体"/>
                <w:color w:val="auto"/>
                <w:sz w:val="24"/>
                <w:szCs w:val="24"/>
                <w:highlight w:val="none"/>
              </w:rPr>
            </w:pPr>
          </w:p>
        </w:tc>
      </w:tr>
      <w:tr w14:paraId="48419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tcPr>
          <w:p w14:paraId="17203328">
            <w:pPr>
              <w:jc w:val="center"/>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2</w:t>
            </w:r>
          </w:p>
        </w:tc>
        <w:tc>
          <w:tcPr>
            <w:tcW w:w="2532" w:type="pct"/>
            <w:vAlign w:val="center"/>
          </w:tcPr>
          <w:p w14:paraId="6CD40229">
            <w:pPr>
              <w:pStyle w:val="56"/>
              <w:ind w:firstLine="200"/>
              <w:jc w:val="center"/>
              <w:rPr>
                <w:rFonts w:hint="eastAsia" w:ascii="宋体" w:hAnsi="宋体" w:eastAsia="宋体" w:cs="宋体"/>
                <w:color w:val="auto"/>
                <w:sz w:val="24"/>
                <w:szCs w:val="24"/>
                <w:highlight w:val="none"/>
              </w:rPr>
            </w:pPr>
          </w:p>
        </w:tc>
        <w:tc>
          <w:tcPr>
            <w:tcW w:w="1899" w:type="pct"/>
            <w:gridSpan w:val="2"/>
            <w:vAlign w:val="center"/>
          </w:tcPr>
          <w:p w14:paraId="723656E7">
            <w:pPr>
              <w:pStyle w:val="56"/>
              <w:ind w:firstLine="200"/>
              <w:jc w:val="center"/>
              <w:rPr>
                <w:rFonts w:hint="eastAsia" w:ascii="宋体" w:hAnsi="宋体" w:eastAsia="宋体" w:cs="宋体"/>
                <w:color w:val="auto"/>
                <w:sz w:val="24"/>
                <w:szCs w:val="24"/>
                <w:highlight w:val="none"/>
              </w:rPr>
            </w:pPr>
          </w:p>
        </w:tc>
      </w:tr>
      <w:tr w14:paraId="30651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tcPr>
          <w:p w14:paraId="2A142344">
            <w:pPr>
              <w:jc w:val="center"/>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3</w:t>
            </w:r>
          </w:p>
        </w:tc>
        <w:tc>
          <w:tcPr>
            <w:tcW w:w="2532" w:type="pct"/>
            <w:vAlign w:val="center"/>
          </w:tcPr>
          <w:p w14:paraId="0DD36958">
            <w:pPr>
              <w:pStyle w:val="56"/>
              <w:ind w:firstLine="200"/>
              <w:jc w:val="center"/>
              <w:rPr>
                <w:rFonts w:hint="eastAsia" w:ascii="宋体" w:hAnsi="宋体" w:eastAsia="宋体" w:cs="宋体"/>
                <w:color w:val="auto"/>
                <w:sz w:val="24"/>
                <w:szCs w:val="24"/>
                <w:highlight w:val="none"/>
              </w:rPr>
            </w:pPr>
          </w:p>
        </w:tc>
        <w:tc>
          <w:tcPr>
            <w:tcW w:w="1899" w:type="pct"/>
            <w:gridSpan w:val="2"/>
            <w:vAlign w:val="center"/>
          </w:tcPr>
          <w:p w14:paraId="0D001DE8">
            <w:pPr>
              <w:pStyle w:val="56"/>
              <w:ind w:firstLine="200"/>
              <w:jc w:val="center"/>
              <w:rPr>
                <w:rFonts w:hint="eastAsia" w:ascii="宋体" w:hAnsi="宋体" w:eastAsia="宋体" w:cs="宋体"/>
                <w:color w:val="auto"/>
                <w:sz w:val="24"/>
                <w:szCs w:val="24"/>
                <w:highlight w:val="none"/>
              </w:rPr>
            </w:pPr>
          </w:p>
        </w:tc>
      </w:tr>
      <w:tr w14:paraId="69928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tcPr>
          <w:p w14:paraId="11505A93">
            <w:pPr>
              <w:jc w:val="center"/>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w:t>
            </w:r>
          </w:p>
        </w:tc>
        <w:tc>
          <w:tcPr>
            <w:tcW w:w="2532" w:type="pct"/>
            <w:vAlign w:val="center"/>
          </w:tcPr>
          <w:p w14:paraId="10133441">
            <w:pPr>
              <w:pStyle w:val="56"/>
              <w:ind w:firstLine="200"/>
              <w:jc w:val="center"/>
              <w:rPr>
                <w:rFonts w:hint="eastAsia" w:ascii="宋体" w:hAnsi="宋体" w:eastAsia="宋体" w:cs="宋体"/>
                <w:color w:val="auto"/>
                <w:sz w:val="24"/>
                <w:szCs w:val="24"/>
                <w:highlight w:val="none"/>
              </w:rPr>
            </w:pPr>
          </w:p>
        </w:tc>
        <w:tc>
          <w:tcPr>
            <w:tcW w:w="1899" w:type="pct"/>
            <w:gridSpan w:val="2"/>
            <w:vAlign w:val="center"/>
          </w:tcPr>
          <w:p w14:paraId="4C8CDAC5">
            <w:pPr>
              <w:pStyle w:val="56"/>
              <w:ind w:firstLine="200"/>
              <w:jc w:val="center"/>
              <w:rPr>
                <w:rFonts w:hint="eastAsia" w:ascii="宋体" w:hAnsi="宋体" w:eastAsia="宋体" w:cs="宋体"/>
                <w:color w:val="auto"/>
                <w:sz w:val="24"/>
                <w:szCs w:val="24"/>
                <w:highlight w:val="none"/>
              </w:rPr>
            </w:pPr>
          </w:p>
        </w:tc>
      </w:tr>
      <w:tr w14:paraId="71EFF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101" w:type="pct"/>
            <w:gridSpan w:val="3"/>
            <w:vAlign w:val="center"/>
          </w:tcPr>
          <w:p w14:paraId="75A2CF26">
            <w:pPr>
              <w:pStyle w:val="56"/>
              <w:ind w:firstLine="20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w:t>
            </w:r>
          </w:p>
        </w:tc>
        <w:tc>
          <w:tcPr>
            <w:tcW w:w="1899" w:type="pct"/>
            <w:gridSpan w:val="2"/>
            <w:vAlign w:val="center"/>
          </w:tcPr>
          <w:p w14:paraId="1B75759C">
            <w:pPr>
              <w:pStyle w:val="56"/>
              <w:ind w:firstLine="200"/>
              <w:jc w:val="center"/>
              <w:rPr>
                <w:rFonts w:hint="eastAsia" w:ascii="宋体" w:hAnsi="宋体" w:eastAsia="宋体" w:cs="宋体"/>
                <w:color w:val="auto"/>
                <w:sz w:val="24"/>
                <w:szCs w:val="24"/>
                <w:highlight w:val="none"/>
              </w:rPr>
            </w:pPr>
          </w:p>
        </w:tc>
      </w:tr>
    </w:tbl>
    <w:p w14:paraId="6D09F4D8">
      <w:pPr>
        <w:spacing w:line="360" w:lineRule="auto"/>
        <w:ind w:firstLine="437"/>
        <w:outlineLvl w:val="2"/>
        <w:rPr>
          <w:rFonts w:hint="eastAsia" w:ascii="宋体" w:hAnsi="宋体" w:eastAsia="宋体" w:cs="宋体"/>
          <w:b/>
          <w:bCs/>
          <w:color w:val="auto"/>
          <w:sz w:val="24"/>
          <w:highlight w:val="none"/>
          <w:lang w:val="zh-CN"/>
        </w:rPr>
      </w:pPr>
      <w:bookmarkStart w:id="140" w:name="_Toc22618"/>
      <w:bookmarkStart w:id="141" w:name="_Toc10340"/>
      <w:bookmarkStart w:id="142" w:name="_Toc1814"/>
      <w:r>
        <w:rPr>
          <w:rFonts w:hint="eastAsia" w:ascii="宋体" w:hAnsi="宋体" w:eastAsia="宋体" w:cs="宋体"/>
          <w:b/>
          <w:bCs/>
          <w:color w:val="auto"/>
          <w:sz w:val="24"/>
          <w:highlight w:val="none"/>
          <w:lang w:val="zh-CN"/>
        </w:rPr>
        <w:t>1.4 付款方式和发票开具方式</w:t>
      </w:r>
      <w:bookmarkEnd w:id="140"/>
      <w:bookmarkEnd w:id="141"/>
      <w:bookmarkEnd w:id="142"/>
    </w:p>
    <w:p w14:paraId="78AD0E7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1.4.1付款方式：</w:t>
      </w:r>
      <w:r>
        <w:rPr>
          <w:rFonts w:hint="eastAsia" w:ascii="宋体" w:hAnsi="宋体" w:eastAsia="宋体" w:cs="宋体"/>
          <w:color w:val="auto"/>
          <w:sz w:val="24"/>
          <w:highlight w:val="none"/>
          <w:u w:val="single"/>
        </w:rPr>
        <w:t xml:space="preserve">  </w:t>
      </w:r>
      <w:r>
        <w:rPr>
          <w:rFonts w:hint="eastAsia" w:ascii="宋体" w:hAnsi="宋体" w:eastAsia="宋体" w:cs="宋体"/>
          <w:b/>
          <w:bCs/>
          <w:color w:val="auto"/>
          <w:sz w:val="24"/>
          <w:highlight w:val="none"/>
          <w:u w:val="single"/>
        </w:rPr>
        <w:t>合同签订后付</w:t>
      </w:r>
      <w:r>
        <w:rPr>
          <w:rFonts w:hint="eastAsia" w:ascii="宋体" w:hAnsi="宋体" w:eastAsia="宋体" w:cs="宋体"/>
          <w:b/>
          <w:bCs/>
          <w:color w:val="auto"/>
          <w:sz w:val="24"/>
          <w:highlight w:val="none"/>
          <w:u w:val="single"/>
          <w:lang w:val="en-US" w:eastAsia="zh-CN"/>
        </w:rPr>
        <w:t>4</w:t>
      </w:r>
      <w:r>
        <w:rPr>
          <w:rFonts w:hint="eastAsia" w:ascii="宋体" w:hAnsi="宋体" w:eastAsia="宋体" w:cs="宋体"/>
          <w:b/>
          <w:bCs/>
          <w:color w:val="auto"/>
          <w:sz w:val="24"/>
          <w:highlight w:val="none"/>
          <w:u w:val="single"/>
        </w:rPr>
        <w:t>0%预付款（供应商需提交等额的</w:t>
      </w:r>
      <w:r>
        <w:rPr>
          <w:rFonts w:hint="eastAsia" w:ascii="宋体" w:hAnsi="宋体" w:eastAsia="宋体" w:cs="宋体"/>
          <w:b/>
          <w:bCs/>
          <w:color w:val="auto"/>
          <w:sz w:val="24"/>
          <w:highlight w:val="none"/>
          <w:u w:val="single"/>
          <w:lang w:val="en-US" w:eastAsia="zh-CN"/>
        </w:rPr>
        <w:t>见索即付</w:t>
      </w:r>
      <w:r>
        <w:rPr>
          <w:rFonts w:hint="eastAsia" w:ascii="宋体" w:hAnsi="宋体" w:eastAsia="宋体" w:cs="宋体"/>
          <w:b/>
          <w:bCs/>
          <w:color w:val="auto"/>
          <w:sz w:val="24"/>
          <w:highlight w:val="none"/>
          <w:u w:val="single"/>
        </w:rPr>
        <w:t>预付款保函），</w:t>
      </w:r>
      <w:r>
        <w:rPr>
          <w:rFonts w:hint="eastAsia" w:ascii="宋体" w:hAnsi="宋体" w:eastAsia="宋体" w:cs="宋体"/>
          <w:b/>
          <w:bCs/>
          <w:color w:val="auto"/>
          <w:sz w:val="24"/>
          <w:highlight w:val="none"/>
          <w:u w:val="single"/>
          <w:lang w:val="en-US" w:eastAsia="zh-CN"/>
        </w:rPr>
        <w:t>验收合格后，付款至结算总价款的100%</w:t>
      </w:r>
      <w:r>
        <w:rPr>
          <w:rFonts w:hint="eastAsia" w:ascii="宋体" w:hAnsi="宋体" w:eastAsia="宋体" w:cs="宋体"/>
          <w:b/>
          <w:bCs/>
          <w:color w:val="auto"/>
          <w:sz w:val="24"/>
          <w:highlight w:val="none"/>
          <w:u w:val="single"/>
        </w:rPr>
        <w:t>（供应商需提交</w:t>
      </w:r>
      <w:r>
        <w:rPr>
          <w:rFonts w:hint="eastAsia" w:ascii="宋体" w:hAnsi="宋体" w:eastAsia="宋体" w:cs="宋体"/>
          <w:b/>
          <w:bCs/>
          <w:color w:val="auto"/>
          <w:sz w:val="24"/>
          <w:highlight w:val="none"/>
          <w:u w:val="single"/>
          <w:lang w:val="en-US" w:eastAsia="zh-CN"/>
        </w:rPr>
        <w:t>结算价款2%</w:t>
      </w:r>
      <w:r>
        <w:rPr>
          <w:rFonts w:hint="eastAsia" w:ascii="宋体" w:hAnsi="宋体" w:eastAsia="宋体" w:cs="宋体"/>
          <w:b/>
          <w:bCs/>
          <w:color w:val="auto"/>
          <w:sz w:val="24"/>
          <w:highlight w:val="none"/>
          <w:u w:val="single"/>
        </w:rPr>
        <w:t>的</w:t>
      </w:r>
      <w:r>
        <w:rPr>
          <w:rFonts w:hint="eastAsia" w:ascii="宋体" w:hAnsi="宋体" w:eastAsia="宋体" w:cs="宋体"/>
          <w:b/>
          <w:bCs/>
          <w:color w:val="auto"/>
          <w:sz w:val="24"/>
          <w:highlight w:val="none"/>
          <w:u w:val="single"/>
          <w:lang w:val="en-US" w:eastAsia="zh-CN"/>
        </w:rPr>
        <w:t>见索即付质保金</w:t>
      </w:r>
      <w:r>
        <w:rPr>
          <w:rFonts w:hint="eastAsia" w:ascii="宋体" w:hAnsi="宋体" w:eastAsia="宋体" w:cs="宋体"/>
          <w:b/>
          <w:bCs/>
          <w:color w:val="auto"/>
          <w:sz w:val="24"/>
          <w:highlight w:val="none"/>
          <w:u w:val="single"/>
        </w:rPr>
        <w:t>保函）</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0ABEAEC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1.4.2发票开具方式：</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298830F2">
      <w:pPr>
        <w:spacing w:line="360" w:lineRule="auto"/>
        <w:ind w:firstLine="437"/>
        <w:outlineLvl w:val="2"/>
        <w:rPr>
          <w:rFonts w:hint="eastAsia" w:ascii="宋体" w:hAnsi="宋体" w:eastAsia="宋体" w:cs="宋体"/>
          <w:b/>
          <w:bCs/>
          <w:color w:val="auto"/>
          <w:sz w:val="24"/>
          <w:highlight w:val="none"/>
          <w:lang w:val="zh-CN"/>
        </w:rPr>
      </w:pPr>
      <w:bookmarkStart w:id="143" w:name="_Toc32071"/>
      <w:bookmarkStart w:id="144" w:name="_Toc19304"/>
      <w:bookmarkStart w:id="145" w:name="_Toc2846"/>
      <w:r>
        <w:rPr>
          <w:rFonts w:hint="eastAsia" w:ascii="宋体" w:hAnsi="宋体" w:eastAsia="宋体" w:cs="宋体"/>
          <w:b/>
          <w:bCs/>
          <w:color w:val="auto"/>
          <w:sz w:val="24"/>
          <w:highlight w:val="none"/>
          <w:lang w:val="zh-CN"/>
        </w:rPr>
        <w:t>1.5 服务期限、地点和方式</w:t>
      </w:r>
      <w:bookmarkEnd w:id="143"/>
      <w:bookmarkEnd w:id="144"/>
      <w:bookmarkEnd w:id="145"/>
    </w:p>
    <w:p w14:paraId="4D3C3356">
      <w:pPr>
        <w:spacing w:line="360" w:lineRule="auto"/>
        <w:ind w:firstLine="435"/>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1.5.1</w:t>
      </w:r>
      <w:r>
        <w:rPr>
          <w:rFonts w:hint="eastAsia" w:ascii="宋体" w:hAnsi="宋体" w:eastAsia="宋体" w:cs="宋体"/>
          <w:color w:val="auto"/>
          <w:sz w:val="24"/>
          <w:highlight w:val="none"/>
          <w:u w:val="none"/>
          <w:lang w:val="en-US" w:eastAsia="zh-CN"/>
        </w:rPr>
        <w:t>服务期限：</w:t>
      </w:r>
      <w:r>
        <w:rPr>
          <w:rFonts w:hint="eastAsia" w:ascii="宋体" w:hAnsi="宋体" w:eastAsia="宋体" w:cs="宋体"/>
          <w:color w:val="auto"/>
          <w:sz w:val="24"/>
          <w:highlight w:val="none"/>
          <w:u w:val="single"/>
          <w:lang w:val="en-US" w:eastAsia="zh-CN"/>
        </w:rPr>
        <w:t>自合同签订之日起45日历天内完成完成返厂维修服务</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36C5919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1.5.2服务地点：</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六安市</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739A007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1.5.3服务方式：</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0AD193D4">
      <w:pPr>
        <w:spacing w:line="360" w:lineRule="auto"/>
        <w:ind w:firstLine="437"/>
        <w:outlineLvl w:val="2"/>
        <w:rPr>
          <w:rFonts w:hint="eastAsia" w:ascii="宋体" w:hAnsi="宋体" w:eastAsia="宋体" w:cs="宋体"/>
          <w:b/>
          <w:bCs/>
          <w:color w:val="auto"/>
          <w:sz w:val="24"/>
          <w:highlight w:val="none"/>
          <w:lang w:val="zh-CN"/>
        </w:rPr>
      </w:pPr>
      <w:bookmarkStart w:id="146" w:name="_Toc19554"/>
      <w:bookmarkStart w:id="147" w:name="_Toc27250"/>
      <w:bookmarkStart w:id="148" w:name="_Toc21423"/>
      <w:r>
        <w:rPr>
          <w:rFonts w:hint="eastAsia" w:ascii="宋体" w:hAnsi="宋体" w:eastAsia="宋体" w:cs="宋体"/>
          <w:b/>
          <w:bCs/>
          <w:color w:val="auto"/>
          <w:sz w:val="24"/>
          <w:highlight w:val="none"/>
          <w:lang w:val="zh-CN"/>
        </w:rPr>
        <w:t>1.6 违约责任</w:t>
      </w:r>
      <w:bookmarkEnd w:id="146"/>
      <w:bookmarkEnd w:id="147"/>
      <w:bookmarkEnd w:id="148"/>
    </w:p>
    <w:p w14:paraId="2B12120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1.6.1除不可抗力外，如果乙方没有按照本合同约定的期限、地点和方式履行，那么甲方可要求乙方支付违约金，违约金按每迟延履行一日的应提供而未提供服务价格的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%计算，最高限额为本合同总价的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%；迟延履行的违约金计算数额达到前述最高限额之日起，甲方有权在要求乙方支付违约金的同时，书面通知乙方解除本合同；</w:t>
      </w:r>
    </w:p>
    <w:p w14:paraId="1964F31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1.6.2除不可抗力外，如果甲方没有按照本合同约定的付款方式付款，那么乙方可要求甲方支付违约金，违约金按每迟延付款一日的应付而未付款的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%计算，最高限额为本合同总价的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%；迟延付款的违约金计算数额达到前述最高限额之日起，乙方有权在要求甲方支付违约金的同时，书面通知甲方解除本合同；</w:t>
      </w:r>
    </w:p>
    <w:p w14:paraId="54D17CD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3AB064B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786F78E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29AB21A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1.6.6如果出现政府采购监督管理部门在处理投诉事项期间，书面通知甲方暂停采购活动的情形，或者询问或质疑事项可能影响成交结果的，导致甲方中止履行合同的情形，均不视为甲方违约。</w:t>
      </w:r>
    </w:p>
    <w:p w14:paraId="6608677C">
      <w:pPr>
        <w:spacing w:line="360" w:lineRule="auto"/>
        <w:ind w:firstLine="435"/>
        <w:rPr>
          <w:rFonts w:hint="eastAsia" w:ascii="宋体" w:hAnsi="宋体" w:eastAsia="宋体" w:cs="宋体"/>
          <w:color w:val="auto"/>
          <w:sz w:val="24"/>
          <w:highlight w:val="none"/>
        </w:rPr>
      </w:pPr>
      <w:bookmarkStart w:id="149" w:name="_Toc16021"/>
      <w:bookmarkStart w:id="150" w:name="_Toc15583"/>
      <w:bookmarkStart w:id="151" w:name="_Toc28375"/>
      <w:r>
        <w:rPr>
          <w:rFonts w:hint="eastAsia" w:ascii="宋体" w:hAnsi="宋体" w:eastAsia="宋体" w:cs="宋体"/>
          <w:color w:val="auto"/>
          <w:sz w:val="24"/>
          <w:highlight w:val="none"/>
        </w:rPr>
        <w:t>1.6.7因甲方未按合同约定支付价款、未按合同约定受领标的物、擅自解除合同</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逾期退还履约保证金</w:t>
      </w:r>
      <w:r>
        <w:rPr>
          <w:rFonts w:hint="eastAsia" w:ascii="宋体" w:hAnsi="宋体" w:eastAsia="宋体" w:cs="宋体"/>
          <w:color w:val="auto"/>
          <w:sz w:val="24"/>
          <w:highlight w:val="none"/>
        </w:rPr>
        <w:t>导致乙方遭受的直接损失，乙方可向甲方申请赔偿，赔偿金额由双方协商一致；针对因政策变化等原因不能签订合同或解除合同时，造成乙方合法利益受损的情形，可以给予乙方合理补偿，补偿金额不得超过乙方的直接损失。</w:t>
      </w:r>
    </w:p>
    <w:p w14:paraId="08DC1F31">
      <w:pPr>
        <w:spacing w:line="360" w:lineRule="auto"/>
        <w:ind w:firstLine="437"/>
        <w:outlineLvl w:val="2"/>
        <w:rPr>
          <w:rFonts w:hint="eastAsia" w:ascii="宋体" w:hAnsi="宋体" w:eastAsia="宋体" w:cs="宋体"/>
          <w:b/>
          <w:bCs/>
          <w:color w:val="auto"/>
          <w:sz w:val="24"/>
          <w:highlight w:val="none"/>
          <w:lang w:val="zh-CN"/>
        </w:rPr>
      </w:pPr>
      <w:r>
        <w:rPr>
          <w:rFonts w:hint="eastAsia" w:ascii="宋体" w:hAnsi="宋体" w:eastAsia="宋体" w:cs="宋体"/>
          <w:b/>
          <w:bCs/>
          <w:color w:val="auto"/>
          <w:sz w:val="24"/>
          <w:highlight w:val="none"/>
          <w:lang w:val="zh-CN"/>
        </w:rPr>
        <w:t>1.7 合同争议的解决</w:t>
      </w:r>
      <w:bookmarkEnd w:id="149"/>
      <w:bookmarkEnd w:id="150"/>
      <w:bookmarkEnd w:id="151"/>
    </w:p>
    <w:p w14:paraId="4FD9462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本合同履行过程中发生的任何争议，双方当事人均可通过和解或者调解解决；不愿和解、调解或者和解、调解不成的，可以选择下列第</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1.7.2</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种方式解决：</w:t>
      </w:r>
    </w:p>
    <w:p w14:paraId="2BCC9EA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1.7.1将争议提交</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六安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仲裁委员会依申请仲裁时其现行有效的仲裁规则裁决；</w:t>
      </w:r>
    </w:p>
    <w:p w14:paraId="52FCFE4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1.7.2向</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工程所在地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人民法院起诉。</w:t>
      </w:r>
    </w:p>
    <w:p w14:paraId="4EBCAE01">
      <w:pPr>
        <w:spacing w:line="360" w:lineRule="auto"/>
        <w:ind w:firstLine="437"/>
        <w:outlineLvl w:val="2"/>
        <w:rPr>
          <w:rFonts w:hint="eastAsia" w:ascii="宋体" w:hAnsi="宋体" w:eastAsia="宋体" w:cs="宋体"/>
          <w:b/>
          <w:bCs/>
          <w:color w:val="auto"/>
          <w:sz w:val="24"/>
          <w:highlight w:val="none"/>
          <w:lang w:val="zh-CN"/>
        </w:rPr>
      </w:pPr>
      <w:bookmarkStart w:id="152" w:name="_Toc11173"/>
      <w:bookmarkStart w:id="153" w:name="_Toc15322"/>
      <w:bookmarkStart w:id="154" w:name="_Toc7245"/>
      <w:r>
        <w:rPr>
          <w:rFonts w:hint="eastAsia" w:ascii="宋体" w:hAnsi="宋体" w:eastAsia="宋体" w:cs="宋体"/>
          <w:b/>
          <w:bCs/>
          <w:color w:val="auto"/>
          <w:sz w:val="24"/>
          <w:highlight w:val="none"/>
          <w:lang w:val="zh-CN"/>
        </w:rPr>
        <w:t>1.8 合同生效</w:t>
      </w:r>
      <w:bookmarkEnd w:id="152"/>
      <w:bookmarkEnd w:id="153"/>
      <w:bookmarkEnd w:id="154"/>
    </w:p>
    <w:p w14:paraId="0987FD3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本合同自双方当事人盖章时生效。</w:t>
      </w:r>
    </w:p>
    <w:p w14:paraId="08A67964">
      <w:pPr>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br w:type="page"/>
      </w:r>
    </w:p>
    <w:p w14:paraId="611A5B43">
      <w:pPr>
        <w:widowControl w:val="0"/>
        <w:spacing w:after="120" w:line="400" w:lineRule="atLeast"/>
        <w:jc w:val="both"/>
        <w:rPr>
          <w:rFonts w:hint="eastAsia" w:ascii="宋体" w:hAnsi="宋体" w:eastAsia="宋体" w:cs="宋体"/>
          <w:b w:val="0"/>
          <w:bCs w:val="0"/>
          <w:color w:val="auto"/>
          <w:kern w:val="2"/>
          <w:sz w:val="24"/>
          <w:szCs w:val="20"/>
          <w:highlight w:val="none"/>
          <w:lang w:val="en-US" w:eastAsia="zh-CN" w:bidi="ar-SA"/>
        </w:rPr>
      </w:pPr>
      <w:r>
        <w:rPr>
          <w:rFonts w:hint="eastAsia" w:ascii="宋体" w:hAnsi="宋体" w:eastAsia="宋体" w:cs="宋体"/>
          <w:b w:val="0"/>
          <w:bCs w:val="0"/>
          <w:color w:val="auto"/>
          <w:kern w:val="2"/>
          <w:sz w:val="24"/>
          <w:szCs w:val="20"/>
          <w:highlight w:val="none"/>
          <w:lang w:val="en-US" w:eastAsia="zh-CN" w:bidi="ar-SA"/>
        </w:rPr>
        <w:t>（签字盖章页）</w:t>
      </w:r>
    </w:p>
    <w:p w14:paraId="3231848E">
      <w:pPr>
        <w:spacing w:line="360" w:lineRule="auto"/>
        <w:ind w:firstLine="435"/>
        <w:rPr>
          <w:rFonts w:hint="eastAsia" w:ascii="宋体" w:hAnsi="宋体" w:eastAsia="宋体" w:cs="宋体"/>
          <w:color w:val="auto"/>
          <w:sz w:val="24"/>
          <w:szCs w:val="24"/>
          <w:highlight w:val="none"/>
          <w:lang w:val="zh-CN"/>
        </w:rPr>
      </w:pPr>
    </w:p>
    <w:tbl>
      <w:tblPr>
        <w:tblStyle w:val="25"/>
        <w:tblW w:w="471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32"/>
        <w:gridCol w:w="6526"/>
      </w:tblGrid>
      <w:tr w14:paraId="57FF9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2"/>
            <w:vAlign w:val="center"/>
          </w:tcPr>
          <w:p w14:paraId="0AA13592">
            <w:pPr>
              <w:keepNext w:val="0"/>
              <w:keepLines w:val="0"/>
              <w:pageBreakBefore w:val="0"/>
              <w:widowControl w:val="0"/>
              <w:kinsoku/>
              <w:wordWrap/>
              <w:overflowPunct/>
              <w:topLinePunct w:val="0"/>
              <w:autoSpaceDE w:val="0"/>
              <w:autoSpaceDN w:val="0"/>
              <w:bidi w:val="0"/>
              <w:adjustRightInd w:val="0"/>
              <w:snapToGrid w:val="0"/>
              <w:spacing w:line="600" w:lineRule="exact"/>
              <w:textAlignment w:val="auto"/>
              <w:rPr>
                <w:rFonts w:hint="eastAsia" w:ascii="宋体" w:hAnsi="宋体" w:eastAsia="宋体" w:cs="宋体"/>
                <w:color w:val="auto"/>
                <w:sz w:val="24"/>
                <w:szCs w:val="24"/>
                <w:highlight w:val="none"/>
                <w:vertAlign w:val="baseline"/>
                <w:lang w:val="zh-CN"/>
              </w:rPr>
            </w:pPr>
            <w:r>
              <w:rPr>
                <w:rFonts w:hint="eastAsia" w:ascii="宋体" w:hAnsi="宋体" w:eastAsia="宋体" w:cs="宋体"/>
                <w:b/>
                <w:bCs w:val="0"/>
                <w:color w:val="auto"/>
                <w:sz w:val="24"/>
                <w:szCs w:val="24"/>
                <w:highlight w:val="none"/>
                <w:lang w:val="zh-CN"/>
              </w:rPr>
              <w:t>甲方</w:t>
            </w:r>
            <w:r>
              <w:rPr>
                <w:rFonts w:hint="eastAsia" w:ascii="宋体" w:hAnsi="宋体" w:eastAsia="宋体" w:cs="宋体"/>
                <w:b/>
                <w:bCs w:val="0"/>
                <w:color w:val="auto"/>
                <w:sz w:val="24"/>
                <w:szCs w:val="24"/>
                <w:highlight w:val="none"/>
                <w:u w:val="none"/>
                <w:lang w:val="zh-CN"/>
              </w:rPr>
              <w:t>（盖章）</w:t>
            </w:r>
            <w:r>
              <w:rPr>
                <w:rFonts w:hint="eastAsia" w:ascii="宋体" w:hAnsi="宋体" w:eastAsia="宋体" w:cs="宋体"/>
                <w:b/>
                <w:bCs w:val="0"/>
                <w:color w:val="auto"/>
                <w:sz w:val="24"/>
                <w:szCs w:val="24"/>
                <w:highlight w:val="none"/>
                <w:lang w:val="zh-CN"/>
              </w:rPr>
              <w:t>：</w:t>
            </w:r>
          </w:p>
        </w:tc>
      </w:tr>
      <w:tr w14:paraId="663B7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4" w:type="pct"/>
            <w:vAlign w:val="center"/>
          </w:tcPr>
          <w:p w14:paraId="473B8DAE">
            <w:pPr>
              <w:keepNext w:val="0"/>
              <w:keepLines w:val="0"/>
              <w:pageBreakBefore w:val="0"/>
              <w:widowControl w:val="0"/>
              <w:kinsoku/>
              <w:wordWrap/>
              <w:overflowPunct/>
              <w:topLinePunct w:val="0"/>
              <w:autoSpaceDE w:val="0"/>
              <w:autoSpaceDN w:val="0"/>
              <w:bidi w:val="0"/>
              <w:adjustRightInd w:val="0"/>
              <w:snapToGrid w:val="0"/>
              <w:spacing w:line="600" w:lineRule="exact"/>
              <w:textAlignment w:val="auto"/>
              <w:rPr>
                <w:rFonts w:hint="eastAsia" w:ascii="宋体" w:hAnsi="宋体" w:eastAsia="宋体" w:cs="宋体"/>
                <w:color w:val="auto"/>
                <w:sz w:val="24"/>
                <w:szCs w:val="24"/>
                <w:highlight w:val="none"/>
                <w:vertAlign w:val="baseline"/>
                <w:lang w:val="zh-CN"/>
              </w:rPr>
            </w:pPr>
            <w:r>
              <w:rPr>
                <w:rFonts w:hint="eastAsia" w:ascii="宋体" w:hAnsi="宋体" w:eastAsia="宋体" w:cs="宋体"/>
                <w:color w:val="auto"/>
                <w:sz w:val="24"/>
                <w:szCs w:val="24"/>
                <w:highlight w:val="none"/>
                <w:lang w:val="zh-CN"/>
              </w:rPr>
              <w:t>法定代表人或授权代表（签字）：</w:t>
            </w:r>
          </w:p>
        </w:tc>
        <w:tc>
          <w:tcPr>
            <w:tcW w:w="3725" w:type="pct"/>
            <w:vAlign w:val="center"/>
          </w:tcPr>
          <w:p w14:paraId="07F2053E">
            <w:pPr>
              <w:keepNext w:val="0"/>
              <w:keepLines w:val="0"/>
              <w:pageBreakBefore w:val="0"/>
              <w:widowControl w:val="0"/>
              <w:kinsoku/>
              <w:wordWrap/>
              <w:overflowPunct/>
              <w:topLinePunct w:val="0"/>
              <w:autoSpaceDE w:val="0"/>
              <w:autoSpaceDN w:val="0"/>
              <w:bidi w:val="0"/>
              <w:adjustRightInd w:val="0"/>
              <w:snapToGrid w:val="0"/>
              <w:spacing w:line="600" w:lineRule="exact"/>
              <w:textAlignment w:val="auto"/>
              <w:rPr>
                <w:rFonts w:hint="eastAsia" w:ascii="宋体" w:hAnsi="宋体" w:eastAsia="宋体" w:cs="宋体"/>
                <w:color w:val="auto"/>
                <w:sz w:val="24"/>
                <w:szCs w:val="24"/>
                <w:highlight w:val="none"/>
                <w:vertAlign w:val="baseline"/>
                <w:lang w:val="zh-CN"/>
              </w:rPr>
            </w:pPr>
          </w:p>
        </w:tc>
      </w:tr>
      <w:tr w14:paraId="38FFB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2"/>
            <w:vAlign w:val="center"/>
          </w:tcPr>
          <w:p w14:paraId="07F48E35">
            <w:pPr>
              <w:keepNext w:val="0"/>
              <w:keepLines w:val="0"/>
              <w:pageBreakBefore w:val="0"/>
              <w:widowControl w:val="0"/>
              <w:kinsoku/>
              <w:wordWrap/>
              <w:overflowPunct/>
              <w:topLinePunct w:val="0"/>
              <w:autoSpaceDE w:val="0"/>
              <w:autoSpaceDN w:val="0"/>
              <w:bidi w:val="0"/>
              <w:adjustRightInd w:val="0"/>
              <w:snapToGrid w:val="0"/>
              <w:spacing w:line="600" w:lineRule="exact"/>
              <w:textAlignment w:val="auto"/>
              <w:rPr>
                <w:rFonts w:hint="eastAsia" w:ascii="宋体" w:hAnsi="宋体" w:eastAsia="宋体" w:cs="宋体"/>
                <w:color w:val="auto"/>
                <w:sz w:val="24"/>
                <w:szCs w:val="24"/>
                <w:highlight w:val="none"/>
                <w:vertAlign w:val="baseline"/>
                <w:lang w:val="zh-CN"/>
              </w:rPr>
            </w:pPr>
            <w:r>
              <w:rPr>
                <w:rFonts w:hint="eastAsia" w:ascii="宋体" w:hAnsi="宋体" w:eastAsia="宋体" w:cs="宋体"/>
                <w:bCs/>
                <w:color w:val="auto"/>
                <w:sz w:val="24"/>
                <w:szCs w:val="24"/>
                <w:highlight w:val="none"/>
              </w:rPr>
              <w:t>时</w:t>
            </w:r>
            <w:r>
              <w:rPr>
                <w:rFonts w:hint="eastAsia" w:ascii="宋体" w:hAnsi="宋体" w:eastAsia="宋体" w:cs="宋体"/>
                <w:bCs/>
                <w:color w:val="auto"/>
                <w:sz w:val="24"/>
                <w:szCs w:val="24"/>
                <w:highlight w:val="none"/>
                <w:lang w:val="en-US" w:eastAsia="zh-CN"/>
              </w:rPr>
              <w:t xml:space="preserve">  </w:t>
            </w:r>
            <w:r>
              <w:rPr>
                <w:rFonts w:hint="eastAsia" w:ascii="宋体" w:hAnsi="宋体" w:eastAsia="宋体" w:cs="宋体"/>
                <w:bCs/>
                <w:color w:val="auto"/>
                <w:sz w:val="24"/>
                <w:szCs w:val="24"/>
                <w:highlight w:val="none"/>
              </w:rPr>
              <w:t>间：</w:t>
            </w:r>
            <w:r>
              <w:rPr>
                <w:rFonts w:hint="eastAsia" w:ascii="宋体" w:hAnsi="宋体" w:eastAsia="宋体" w:cs="宋体"/>
                <w:bCs/>
                <w:color w:val="auto"/>
                <w:sz w:val="24"/>
                <w:szCs w:val="24"/>
                <w:highlight w:val="none"/>
                <w:lang w:val="en-US" w:eastAsia="zh-CN"/>
              </w:rPr>
              <w:t xml:space="preserve">    </w:t>
            </w:r>
            <w:r>
              <w:rPr>
                <w:rFonts w:hint="eastAsia" w:ascii="宋体" w:hAnsi="宋体" w:eastAsia="宋体" w:cs="宋体"/>
                <w:bCs/>
                <w:color w:val="auto"/>
                <w:sz w:val="24"/>
                <w:szCs w:val="24"/>
                <w:highlight w:val="none"/>
              </w:rPr>
              <w:t>年</w:t>
            </w:r>
            <w:r>
              <w:rPr>
                <w:rFonts w:hint="eastAsia" w:ascii="宋体" w:hAnsi="宋体" w:eastAsia="宋体" w:cs="宋体"/>
                <w:bCs/>
                <w:color w:val="auto"/>
                <w:sz w:val="24"/>
                <w:szCs w:val="24"/>
                <w:highlight w:val="none"/>
                <w:lang w:val="en-US" w:eastAsia="zh-CN"/>
              </w:rPr>
              <w:t xml:space="preserve">    </w:t>
            </w:r>
            <w:r>
              <w:rPr>
                <w:rFonts w:hint="eastAsia" w:ascii="宋体" w:hAnsi="宋体" w:eastAsia="宋体" w:cs="宋体"/>
                <w:bCs/>
                <w:color w:val="auto"/>
                <w:sz w:val="24"/>
                <w:szCs w:val="24"/>
                <w:highlight w:val="none"/>
              </w:rPr>
              <w:t>月</w:t>
            </w:r>
            <w:r>
              <w:rPr>
                <w:rFonts w:hint="eastAsia" w:ascii="宋体" w:hAnsi="宋体" w:eastAsia="宋体" w:cs="宋体"/>
                <w:bCs/>
                <w:color w:val="auto"/>
                <w:sz w:val="24"/>
                <w:szCs w:val="24"/>
                <w:highlight w:val="none"/>
                <w:lang w:val="en-US" w:eastAsia="zh-CN"/>
              </w:rPr>
              <w:t xml:space="preserve">    </w:t>
            </w:r>
            <w:r>
              <w:rPr>
                <w:rFonts w:hint="eastAsia" w:ascii="宋体" w:hAnsi="宋体" w:eastAsia="宋体" w:cs="宋体"/>
                <w:bCs/>
                <w:color w:val="auto"/>
                <w:sz w:val="24"/>
                <w:szCs w:val="24"/>
                <w:highlight w:val="none"/>
              </w:rPr>
              <w:t>日</w:t>
            </w:r>
          </w:p>
        </w:tc>
      </w:tr>
      <w:tr w14:paraId="1B234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2"/>
            <w:vAlign w:val="center"/>
          </w:tcPr>
          <w:p w14:paraId="77BDB956">
            <w:pPr>
              <w:keepNext w:val="0"/>
              <w:keepLines w:val="0"/>
              <w:pageBreakBefore w:val="0"/>
              <w:widowControl w:val="0"/>
              <w:kinsoku/>
              <w:wordWrap/>
              <w:overflowPunct/>
              <w:topLinePunct w:val="0"/>
              <w:autoSpaceDE w:val="0"/>
              <w:autoSpaceDN w:val="0"/>
              <w:bidi w:val="0"/>
              <w:adjustRightInd w:val="0"/>
              <w:snapToGrid w:val="0"/>
              <w:spacing w:line="600" w:lineRule="exact"/>
              <w:textAlignment w:val="auto"/>
              <w:rPr>
                <w:rFonts w:hint="eastAsia" w:ascii="宋体" w:hAnsi="宋体" w:eastAsia="宋体" w:cs="宋体"/>
                <w:bCs/>
                <w:color w:val="auto"/>
                <w:sz w:val="24"/>
                <w:szCs w:val="24"/>
                <w:highlight w:val="none"/>
              </w:rPr>
            </w:pPr>
          </w:p>
        </w:tc>
      </w:tr>
      <w:tr w14:paraId="4D537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2"/>
            <w:vAlign w:val="center"/>
          </w:tcPr>
          <w:p w14:paraId="44650B80">
            <w:pPr>
              <w:keepNext w:val="0"/>
              <w:keepLines w:val="0"/>
              <w:pageBreakBefore w:val="0"/>
              <w:widowControl w:val="0"/>
              <w:kinsoku/>
              <w:wordWrap/>
              <w:overflowPunct/>
              <w:topLinePunct w:val="0"/>
              <w:autoSpaceDE w:val="0"/>
              <w:autoSpaceDN w:val="0"/>
              <w:bidi w:val="0"/>
              <w:adjustRightInd w:val="0"/>
              <w:snapToGrid/>
              <w:spacing w:line="600" w:lineRule="exact"/>
              <w:jc w:val="left"/>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乙</w:t>
            </w:r>
            <w:r>
              <w:rPr>
                <w:rFonts w:hint="eastAsia" w:ascii="宋体" w:hAnsi="宋体" w:eastAsia="宋体" w:cs="宋体"/>
                <w:b/>
                <w:bCs w:val="0"/>
                <w:color w:val="auto"/>
                <w:sz w:val="24"/>
                <w:szCs w:val="24"/>
                <w:highlight w:val="none"/>
                <w:lang w:val="zh-CN"/>
              </w:rPr>
              <w:t>方</w:t>
            </w:r>
            <w:r>
              <w:rPr>
                <w:rFonts w:hint="eastAsia" w:ascii="宋体" w:hAnsi="宋体" w:eastAsia="宋体" w:cs="宋体"/>
                <w:b/>
                <w:bCs w:val="0"/>
                <w:color w:val="auto"/>
                <w:sz w:val="24"/>
                <w:szCs w:val="24"/>
                <w:highlight w:val="none"/>
                <w:u w:val="none"/>
                <w:lang w:val="zh-CN"/>
              </w:rPr>
              <w:t>（盖章）</w:t>
            </w:r>
            <w:r>
              <w:rPr>
                <w:rFonts w:hint="eastAsia" w:ascii="宋体" w:hAnsi="宋体" w:eastAsia="宋体" w:cs="宋体"/>
                <w:b/>
                <w:bCs w:val="0"/>
                <w:color w:val="auto"/>
                <w:sz w:val="24"/>
                <w:szCs w:val="24"/>
                <w:highlight w:val="none"/>
                <w:lang w:val="zh-CN"/>
              </w:rPr>
              <w:t>：</w:t>
            </w:r>
          </w:p>
        </w:tc>
      </w:tr>
      <w:tr w14:paraId="185BD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4" w:type="pct"/>
            <w:shd w:val="clear" w:color="auto" w:fill="auto"/>
            <w:vAlign w:val="center"/>
          </w:tcPr>
          <w:p w14:paraId="260026FC">
            <w:pPr>
              <w:keepNext w:val="0"/>
              <w:keepLines w:val="0"/>
              <w:pageBreakBefore w:val="0"/>
              <w:widowControl w:val="0"/>
              <w:kinsoku/>
              <w:wordWrap/>
              <w:overflowPunct/>
              <w:topLinePunct w:val="0"/>
              <w:autoSpaceDE w:val="0"/>
              <w:autoSpaceDN w:val="0"/>
              <w:bidi w:val="0"/>
              <w:adjustRightInd w:val="0"/>
              <w:snapToGrid w:val="0"/>
              <w:spacing w:line="600" w:lineRule="exact"/>
              <w:textAlignment w:val="auto"/>
              <w:rPr>
                <w:rFonts w:hint="eastAsia" w:ascii="宋体" w:hAnsi="宋体" w:eastAsia="宋体" w:cs="宋体"/>
                <w:color w:val="auto"/>
                <w:kern w:val="2"/>
                <w:sz w:val="24"/>
                <w:szCs w:val="24"/>
                <w:highlight w:val="none"/>
                <w:vertAlign w:val="baseline"/>
                <w:lang w:val="zh-CN" w:eastAsia="zh-CN" w:bidi="ar-SA"/>
              </w:rPr>
            </w:pPr>
            <w:r>
              <w:rPr>
                <w:rFonts w:hint="eastAsia" w:ascii="宋体" w:hAnsi="宋体" w:eastAsia="宋体" w:cs="宋体"/>
                <w:color w:val="auto"/>
                <w:sz w:val="24"/>
                <w:szCs w:val="24"/>
                <w:highlight w:val="none"/>
                <w:lang w:val="zh-CN"/>
              </w:rPr>
              <w:t>法定代表人或授权代表（签字）：</w:t>
            </w:r>
          </w:p>
        </w:tc>
        <w:tc>
          <w:tcPr>
            <w:tcW w:w="3725" w:type="pct"/>
            <w:shd w:val="clear" w:color="auto" w:fill="auto"/>
            <w:vAlign w:val="center"/>
          </w:tcPr>
          <w:p w14:paraId="44B5EA38">
            <w:pPr>
              <w:keepNext w:val="0"/>
              <w:keepLines w:val="0"/>
              <w:pageBreakBefore w:val="0"/>
              <w:widowControl w:val="0"/>
              <w:kinsoku/>
              <w:wordWrap/>
              <w:overflowPunct/>
              <w:topLinePunct w:val="0"/>
              <w:bidi w:val="0"/>
              <w:snapToGrid w:val="0"/>
              <w:spacing w:line="600" w:lineRule="exact"/>
              <w:jc w:val="left"/>
              <w:textAlignment w:val="auto"/>
              <w:rPr>
                <w:rFonts w:hint="eastAsia" w:ascii="宋体" w:hAnsi="宋体" w:eastAsia="宋体" w:cs="宋体"/>
                <w:color w:val="auto"/>
                <w:sz w:val="24"/>
                <w:szCs w:val="24"/>
                <w:highlight w:val="none"/>
                <w:vertAlign w:val="baseline"/>
                <w:lang w:val="zh-CN"/>
              </w:rPr>
            </w:pPr>
          </w:p>
        </w:tc>
      </w:tr>
      <w:tr w14:paraId="67254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2"/>
            <w:vAlign w:val="center"/>
          </w:tcPr>
          <w:p w14:paraId="0EEC5244">
            <w:pPr>
              <w:keepNext w:val="0"/>
              <w:keepLines w:val="0"/>
              <w:pageBreakBefore w:val="0"/>
              <w:widowControl w:val="0"/>
              <w:kinsoku/>
              <w:wordWrap/>
              <w:overflowPunct/>
              <w:topLinePunct w:val="0"/>
              <w:autoSpaceDE w:val="0"/>
              <w:autoSpaceDN w:val="0"/>
              <w:bidi w:val="0"/>
              <w:adjustRightInd w:val="0"/>
              <w:snapToGrid w:val="0"/>
              <w:spacing w:line="600" w:lineRule="exac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w:t>
            </w:r>
            <w:r>
              <w:rPr>
                <w:rFonts w:hint="eastAsia" w:ascii="宋体" w:hAnsi="宋体" w:eastAsia="宋体" w:cs="宋体"/>
                <w:bCs/>
                <w:color w:val="auto"/>
                <w:sz w:val="24"/>
                <w:szCs w:val="24"/>
                <w:highlight w:val="none"/>
                <w:lang w:val="en-US" w:eastAsia="zh-CN"/>
              </w:rPr>
              <w:t xml:space="preserve">  </w:t>
            </w:r>
            <w:r>
              <w:rPr>
                <w:rFonts w:hint="eastAsia" w:ascii="宋体" w:hAnsi="宋体" w:eastAsia="宋体" w:cs="宋体"/>
                <w:bCs/>
                <w:color w:val="auto"/>
                <w:sz w:val="24"/>
                <w:szCs w:val="24"/>
                <w:highlight w:val="none"/>
              </w:rPr>
              <w:t>间：</w:t>
            </w:r>
            <w:r>
              <w:rPr>
                <w:rFonts w:hint="eastAsia" w:ascii="宋体" w:hAnsi="宋体" w:eastAsia="宋体" w:cs="宋体"/>
                <w:bCs/>
                <w:color w:val="auto"/>
                <w:sz w:val="24"/>
                <w:szCs w:val="24"/>
                <w:highlight w:val="none"/>
                <w:lang w:val="en-US" w:eastAsia="zh-CN"/>
              </w:rPr>
              <w:t xml:space="preserve">    </w:t>
            </w:r>
            <w:r>
              <w:rPr>
                <w:rFonts w:hint="eastAsia" w:ascii="宋体" w:hAnsi="宋体" w:eastAsia="宋体" w:cs="宋体"/>
                <w:bCs/>
                <w:color w:val="auto"/>
                <w:sz w:val="24"/>
                <w:szCs w:val="24"/>
                <w:highlight w:val="none"/>
              </w:rPr>
              <w:t>年</w:t>
            </w:r>
            <w:r>
              <w:rPr>
                <w:rFonts w:hint="eastAsia" w:ascii="宋体" w:hAnsi="宋体" w:eastAsia="宋体" w:cs="宋体"/>
                <w:bCs/>
                <w:color w:val="auto"/>
                <w:sz w:val="24"/>
                <w:szCs w:val="24"/>
                <w:highlight w:val="none"/>
                <w:lang w:val="en-US" w:eastAsia="zh-CN"/>
              </w:rPr>
              <w:t xml:space="preserve">    </w:t>
            </w:r>
            <w:r>
              <w:rPr>
                <w:rFonts w:hint="eastAsia" w:ascii="宋体" w:hAnsi="宋体" w:eastAsia="宋体" w:cs="宋体"/>
                <w:bCs/>
                <w:color w:val="auto"/>
                <w:sz w:val="24"/>
                <w:szCs w:val="24"/>
                <w:highlight w:val="none"/>
              </w:rPr>
              <w:t>月</w:t>
            </w:r>
            <w:r>
              <w:rPr>
                <w:rFonts w:hint="eastAsia" w:ascii="宋体" w:hAnsi="宋体" w:eastAsia="宋体" w:cs="宋体"/>
                <w:bCs/>
                <w:color w:val="auto"/>
                <w:sz w:val="24"/>
                <w:szCs w:val="24"/>
                <w:highlight w:val="none"/>
                <w:lang w:val="en-US" w:eastAsia="zh-CN"/>
              </w:rPr>
              <w:t xml:space="preserve">    </w:t>
            </w:r>
            <w:r>
              <w:rPr>
                <w:rFonts w:hint="eastAsia" w:ascii="宋体" w:hAnsi="宋体" w:eastAsia="宋体" w:cs="宋体"/>
                <w:bCs/>
                <w:color w:val="auto"/>
                <w:sz w:val="24"/>
                <w:szCs w:val="24"/>
                <w:highlight w:val="none"/>
              </w:rPr>
              <w:t>日</w:t>
            </w:r>
          </w:p>
        </w:tc>
      </w:tr>
      <w:tr w14:paraId="639A6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2"/>
            <w:shd w:val="clear" w:color="auto" w:fill="auto"/>
            <w:vAlign w:val="center"/>
          </w:tcPr>
          <w:p w14:paraId="11A94F45">
            <w:pPr>
              <w:keepNext w:val="0"/>
              <w:keepLines w:val="0"/>
              <w:pageBreakBefore w:val="0"/>
              <w:widowControl w:val="0"/>
              <w:kinsoku/>
              <w:wordWrap/>
              <w:overflowPunct/>
              <w:topLinePunct w:val="0"/>
              <w:autoSpaceDE w:val="0"/>
              <w:autoSpaceDN w:val="0"/>
              <w:bidi w:val="0"/>
              <w:adjustRightInd w:val="0"/>
              <w:snapToGrid/>
              <w:spacing w:line="600" w:lineRule="exact"/>
              <w:jc w:val="left"/>
              <w:textAlignment w:val="auto"/>
              <w:rPr>
                <w:rFonts w:hint="eastAsia" w:ascii="宋体" w:hAnsi="宋体" w:eastAsia="宋体" w:cs="宋体"/>
                <w:b/>
                <w:bCs w:val="0"/>
                <w:color w:val="auto"/>
                <w:kern w:val="2"/>
                <w:sz w:val="24"/>
                <w:szCs w:val="24"/>
                <w:highlight w:val="none"/>
                <w:lang w:val="zh-CN" w:eastAsia="zh-CN" w:bidi="ar-SA"/>
              </w:rPr>
            </w:pPr>
            <w:r>
              <w:rPr>
                <w:rFonts w:hint="eastAsia" w:ascii="宋体" w:hAnsi="宋体" w:eastAsia="宋体" w:cs="宋体"/>
                <w:b/>
                <w:bCs w:val="0"/>
                <w:color w:val="auto"/>
                <w:sz w:val="24"/>
                <w:szCs w:val="24"/>
                <w:highlight w:val="none"/>
                <w:lang w:val="en-US" w:eastAsia="zh-CN"/>
              </w:rPr>
              <w:t>乙方账户信息</w:t>
            </w:r>
          </w:p>
        </w:tc>
      </w:tr>
      <w:tr w14:paraId="77D11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2"/>
            <w:shd w:val="clear" w:color="auto" w:fill="auto"/>
            <w:vAlign w:val="center"/>
          </w:tcPr>
          <w:p w14:paraId="300590A4">
            <w:pPr>
              <w:keepNext w:val="0"/>
              <w:keepLines w:val="0"/>
              <w:pageBreakBefore w:val="0"/>
              <w:widowControl w:val="0"/>
              <w:kinsoku/>
              <w:wordWrap/>
              <w:overflowPunct/>
              <w:topLinePunct w:val="0"/>
              <w:bidi w:val="0"/>
              <w:snapToGrid w:val="0"/>
              <w:spacing w:line="6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户</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名：</w:t>
            </w:r>
          </w:p>
          <w:p w14:paraId="3BC25B6B">
            <w:pPr>
              <w:keepNext w:val="0"/>
              <w:keepLines w:val="0"/>
              <w:pageBreakBefore w:val="0"/>
              <w:widowControl w:val="0"/>
              <w:kinsoku/>
              <w:wordWrap/>
              <w:overflowPunct/>
              <w:topLinePunct w:val="0"/>
              <w:bidi w:val="0"/>
              <w:snapToGrid w:val="0"/>
              <w:spacing w:line="6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号：</w:t>
            </w:r>
          </w:p>
          <w:p w14:paraId="311E9FF4">
            <w:pPr>
              <w:keepNext w:val="0"/>
              <w:keepLines w:val="0"/>
              <w:pageBreakBefore w:val="0"/>
              <w:widowControl w:val="0"/>
              <w:kinsoku/>
              <w:wordWrap/>
              <w:overflowPunct/>
              <w:topLinePunct w:val="0"/>
              <w:autoSpaceDE w:val="0"/>
              <w:autoSpaceDN w:val="0"/>
              <w:bidi w:val="0"/>
              <w:adjustRightInd w:val="0"/>
              <w:snapToGrid/>
              <w:spacing w:line="600" w:lineRule="exact"/>
              <w:jc w:val="left"/>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color w:val="auto"/>
                <w:sz w:val="24"/>
                <w:szCs w:val="24"/>
                <w:highlight w:val="none"/>
              </w:rPr>
              <w:t>开户银行：</w:t>
            </w:r>
          </w:p>
        </w:tc>
      </w:tr>
      <w:tr w14:paraId="0C641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2"/>
            <w:shd w:val="clear" w:color="auto" w:fill="auto"/>
            <w:vAlign w:val="center"/>
          </w:tcPr>
          <w:p w14:paraId="639CAAC2">
            <w:pPr>
              <w:keepNext w:val="0"/>
              <w:keepLines w:val="0"/>
              <w:pageBreakBefore w:val="0"/>
              <w:widowControl w:val="0"/>
              <w:kinsoku/>
              <w:wordWrap/>
              <w:overflowPunct/>
              <w:topLinePunct w:val="0"/>
              <w:autoSpaceDE w:val="0"/>
              <w:autoSpaceDN w:val="0"/>
              <w:bidi w:val="0"/>
              <w:adjustRightInd w:val="0"/>
              <w:snapToGrid/>
              <w:spacing w:line="600" w:lineRule="exact"/>
              <w:jc w:val="left"/>
              <w:textAlignment w:val="auto"/>
              <w:rPr>
                <w:rFonts w:hint="eastAsia" w:ascii="宋体" w:hAnsi="宋体" w:eastAsia="宋体" w:cs="宋体"/>
                <w:b/>
                <w:bCs w:val="0"/>
                <w:color w:val="auto"/>
                <w:sz w:val="24"/>
                <w:szCs w:val="24"/>
                <w:highlight w:val="none"/>
                <w:lang w:val="en-US" w:eastAsia="zh-CN"/>
              </w:rPr>
            </w:pPr>
          </w:p>
        </w:tc>
      </w:tr>
    </w:tbl>
    <w:p w14:paraId="4DB6F12E">
      <w:pPr>
        <w:autoSpaceDE w:val="0"/>
        <w:autoSpaceDN w:val="0"/>
        <w:adjustRightInd w:val="0"/>
        <w:spacing w:line="560" w:lineRule="exact"/>
        <w:rPr>
          <w:rFonts w:hint="eastAsia" w:ascii="宋体" w:hAnsi="宋体" w:eastAsia="宋体" w:cs="宋体"/>
          <w:color w:val="auto"/>
          <w:sz w:val="24"/>
          <w:highlight w:val="none"/>
          <w:lang w:val="zh-CN"/>
        </w:rPr>
      </w:pPr>
    </w:p>
    <w:p w14:paraId="297E820D">
      <w:pPr>
        <w:widowControl/>
        <w:jc w:val="left"/>
        <w:rPr>
          <w:rFonts w:hint="eastAsia" w:ascii="宋体" w:hAnsi="宋体" w:eastAsia="宋体" w:cs="宋体"/>
          <w:b/>
          <w:color w:val="auto"/>
          <w:sz w:val="24"/>
          <w:highlight w:val="none"/>
        </w:rPr>
      </w:pPr>
      <w:bookmarkStart w:id="155" w:name="_Toc331685783"/>
      <w:r>
        <w:rPr>
          <w:rFonts w:hint="eastAsia" w:ascii="宋体" w:hAnsi="宋体" w:eastAsia="宋体" w:cs="宋体"/>
          <w:b/>
          <w:color w:val="auto"/>
          <w:sz w:val="24"/>
          <w:highlight w:val="none"/>
        </w:rPr>
        <w:br w:type="page"/>
      </w:r>
    </w:p>
    <w:p w14:paraId="6BE8A830">
      <w:pPr>
        <w:spacing w:line="360" w:lineRule="auto"/>
        <w:jc w:val="center"/>
        <w:outlineLvl w:val="1"/>
        <w:rPr>
          <w:rFonts w:hint="eastAsia" w:ascii="宋体" w:hAnsi="宋体" w:eastAsia="宋体" w:cs="宋体"/>
          <w:b/>
          <w:color w:val="auto"/>
          <w:sz w:val="24"/>
          <w:highlight w:val="none"/>
        </w:rPr>
      </w:pPr>
      <w:bookmarkStart w:id="156" w:name="_Toc31113"/>
      <w:bookmarkStart w:id="157" w:name="_Toc8845"/>
      <w:r>
        <w:rPr>
          <w:rFonts w:hint="eastAsia" w:ascii="宋体" w:hAnsi="宋体" w:eastAsia="宋体" w:cs="宋体"/>
          <w:b/>
          <w:color w:val="auto"/>
          <w:sz w:val="24"/>
          <w:highlight w:val="none"/>
        </w:rPr>
        <w:t>第二部分 合同一般条款</w:t>
      </w:r>
      <w:bookmarkEnd w:id="155"/>
      <w:bookmarkEnd w:id="156"/>
      <w:bookmarkEnd w:id="157"/>
    </w:p>
    <w:p w14:paraId="153F6B67">
      <w:pPr>
        <w:spacing w:line="360" w:lineRule="auto"/>
        <w:ind w:firstLine="437"/>
        <w:outlineLvl w:val="2"/>
        <w:rPr>
          <w:rFonts w:hint="eastAsia" w:ascii="宋体" w:hAnsi="宋体" w:eastAsia="宋体" w:cs="宋体"/>
          <w:b/>
          <w:bCs/>
          <w:color w:val="auto"/>
          <w:sz w:val="24"/>
          <w:highlight w:val="none"/>
          <w:lang w:val="zh-CN"/>
        </w:rPr>
      </w:pPr>
      <w:bookmarkStart w:id="158" w:name="_Ref467379195"/>
      <w:bookmarkStart w:id="159" w:name="_Ref467379225"/>
      <w:bookmarkStart w:id="160" w:name="_Ref467379214"/>
      <w:bookmarkStart w:id="161" w:name="_Ref467378404"/>
      <w:bookmarkStart w:id="162" w:name="_Ref467379094"/>
      <w:bookmarkStart w:id="163" w:name="_Ref467379101"/>
      <w:bookmarkStart w:id="164" w:name="_Ref467378463"/>
      <w:bookmarkStart w:id="165" w:name="_Ref467379109"/>
      <w:bookmarkStart w:id="166" w:name="_Toc279701240"/>
      <w:bookmarkStart w:id="167" w:name="_Toc16917"/>
      <w:bookmarkStart w:id="168" w:name="_Toc28763"/>
      <w:bookmarkStart w:id="169" w:name="_Toc487900349"/>
      <w:bookmarkStart w:id="170" w:name="_Ref467378499"/>
      <w:bookmarkStart w:id="171" w:name="_Toc19614"/>
      <w:bookmarkStart w:id="172" w:name="_Toc259093669"/>
      <w:bookmarkStart w:id="173" w:name="_Ref467379205"/>
      <w:r>
        <w:rPr>
          <w:rFonts w:hint="eastAsia" w:ascii="宋体" w:hAnsi="宋体" w:eastAsia="宋体" w:cs="宋体"/>
          <w:b/>
          <w:bCs/>
          <w:color w:val="auto"/>
          <w:sz w:val="24"/>
          <w:highlight w:val="none"/>
          <w:lang w:val="zh-CN"/>
        </w:rPr>
        <w:t>2.1 定义</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2D3D237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本合同中的下列词语应按以下内容进行解释：</w:t>
      </w:r>
    </w:p>
    <w:p w14:paraId="600834C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2.1.1“合同”系指采购人和成交供应商签订的载明双方当事人所达成的协议，并包括所有的附件、附录和构成合同的其他文件。</w:t>
      </w:r>
    </w:p>
    <w:p w14:paraId="6329DD2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2.1.2“合同价”系指根据合同约定，成交供应商在完全履行合同义务后，采购人应支付给成交供应商的价格。</w:t>
      </w:r>
    </w:p>
    <w:p w14:paraId="7DC272B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2.1.3“服务”系指成交供应商根据合同约定应向采购人履行的除货物和工程以外的其他政府采购对象，包括采购人自身需要的服务和向社会公众提供的公共服务。</w:t>
      </w:r>
    </w:p>
    <w:p w14:paraId="19DB29E7">
      <w:pPr>
        <w:spacing w:line="360" w:lineRule="auto"/>
        <w:ind w:firstLine="435"/>
        <w:rPr>
          <w:rFonts w:hint="eastAsia" w:ascii="宋体" w:hAnsi="宋体" w:eastAsia="宋体" w:cs="宋体"/>
          <w:color w:val="auto"/>
          <w:sz w:val="24"/>
          <w:highlight w:val="none"/>
        </w:rPr>
      </w:pPr>
      <w:bookmarkStart w:id="174" w:name="_Ref467378840"/>
      <w:r>
        <w:rPr>
          <w:rFonts w:hint="eastAsia" w:ascii="宋体" w:hAnsi="宋体" w:eastAsia="宋体" w:cs="宋体"/>
          <w:color w:val="auto"/>
          <w:sz w:val="24"/>
          <w:highlight w:val="none"/>
        </w:rPr>
        <w:t>2.1.4“甲方”系指与成交供应商签署合同的采购人</w:t>
      </w:r>
      <w:bookmarkEnd w:id="174"/>
      <w:r>
        <w:rPr>
          <w:rFonts w:hint="eastAsia" w:ascii="宋体" w:hAnsi="宋体" w:eastAsia="宋体" w:cs="宋体"/>
          <w:color w:val="auto"/>
          <w:sz w:val="24"/>
          <w:highlight w:val="none"/>
        </w:rPr>
        <w:t>；采购人委托采购代理机构代表其与乙方签订合同的，采购人的授权委托书作为合同附件。</w:t>
      </w:r>
    </w:p>
    <w:p w14:paraId="2A561359">
      <w:pPr>
        <w:spacing w:line="360" w:lineRule="auto"/>
        <w:ind w:firstLine="435"/>
        <w:rPr>
          <w:rFonts w:hint="eastAsia" w:ascii="宋体" w:hAnsi="宋体" w:eastAsia="宋体" w:cs="宋体"/>
          <w:color w:val="auto"/>
          <w:sz w:val="24"/>
          <w:highlight w:val="none"/>
        </w:rPr>
      </w:pPr>
      <w:bookmarkStart w:id="175" w:name="_Ref467379400"/>
      <w:r>
        <w:rPr>
          <w:rFonts w:hint="eastAsia" w:ascii="宋体" w:hAnsi="宋体" w:eastAsia="宋体" w:cs="宋体"/>
          <w:color w:val="auto"/>
          <w:sz w:val="24"/>
          <w:highlight w:val="none"/>
        </w:rPr>
        <w:t>2.1.5“乙方”系指根据合同约定提供服务的成交供应商</w:t>
      </w:r>
      <w:bookmarkEnd w:id="175"/>
      <w:r>
        <w:rPr>
          <w:rFonts w:hint="eastAsia" w:ascii="宋体" w:hAnsi="宋体" w:eastAsia="宋体" w:cs="宋体"/>
          <w:color w:val="auto"/>
          <w:sz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0B8767A7">
      <w:pPr>
        <w:spacing w:line="360" w:lineRule="auto"/>
        <w:ind w:firstLine="435"/>
        <w:rPr>
          <w:rFonts w:hint="eastAsia" w:ascii="宋体" w:hAnsi="宋体" w:eastAsia="宋体" w:cs="宋体"/>
          <w:color w:val="auto"/>
          <w:sz w:val="24"/>
          <w:highlight w:val="none"/>
        </w:rPr>
      </w:pPr>
      <w:bookmarkStart w:id="176" w:name="_Ref467379436"/>
      <w:r>
        <w:rPr>
          <w:rFonts w:hint="eastAsia" w:ascii="宋体" w:hAnsi="宋体" w:eastAsia="宋体" w:cs="宋体"/>
          <w:color w:val="auto"/>
          <w:sz w:val="24"/>
          <w:highlight w:val="none"/>
        </w:rPr>
        <w:t>2.1.6“现场”系指合同约定提供服务的地点。</w:t>
      </w:r>
      <w:bookmarkEnd w:id="176"/>
    </w:p>
    <w:p w14:paraId="1CBE54BD">
      <w:pPr>
        <w:spacing w:line="360" w:lineRule="auto"/>
        <w:ind w:firstLine="437"/>
        <w:outlineLvl w:val="2"/>
        <w:rPr>
          <w:rFonts w:hint="eastAsia" w:ascii="宋体" w:hAnsi="宋体" w:eastAsia="宋体" w:cs="宋体"/>
          <w:b/>
          <w:bCs/>
          <w:color w:val="auto"/>
          <w:sz w:val="24"/>
          <w:highlight w:val="none"/>
          <w:lang w:val="zh-CN"/>
        </w:rPr>
      </w:pPr>
      <w:bookmarkStart w:id="177" w:name="_Toc32504"/>
      <w:bookmarkStart w:id="178" w:name="_Toc487900350"/>
      <w:bookmarkStart w:id="179" w:name="_Toc27635"/>
      <w:bookmarkStart w:id="180" w:name="_Toc279701241"/>
      <w:bookmarkStart w:id="181" w:name="_Toc13336"/>
      <w:bookmarkStart w:id="182" w:name="_Toc259093670"/>
      <w:r>
        <w:rPr>
          <w:rFonts w:hint="eastAsia" w:ascii="宋体" w:hAnsi="宋体" w:eastAsia="宋体" w:cs="宋体"/>
          <w:b/>
          <w:bCs/>
          <w:color w:val="auto"/>
          <w:sz w:val="24"/>
          <w:highlight w:val="none"/>
          <w:lang w:val="zh-CN"/>
        </w:rPr>
        <w:t>2.2 技术规范</w:t>
      </w:r>
      <w:bookmarkEnd w:id="177"/>
      <w:bookmarkEnd w:id="178"/>
      <w:bookmarkEnd w:id="179"/>
      <w:bookmarkEnd w:id="180"/>
      <w:bookmarkEnd w:id="181"/>
      <w:bookmarkEnd w:id="182"/>
    </w:p>
    <w:p w14:paraId="2D426ED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货物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2674E403">
      <w:pPr>
        <w:spacing w:line="360" w:lineRule="auto"/>
        <w:ind w:firstLine="437"/>
        <w:outlineLvl w:val="2"/>
        <w:rPr>
          <w:rFonts w:hint="eastAsia" w:ascii="宋体" w:hAnsi="宋体" w:eastAsia="宋体" w:cs="宋体"/>
          <w:b/>
          <w:bCs/>
          <w:color w:val="auto"/>
          <w:sz w:val="24"/>
          <w:highlight w:val="none"/>
          <w:lang w:val="zh-CN"/>
        </w:rPr>
      </w:pPr>
      <w:bookmarkStart w:id="183" w:name="_Toc31634"/>
      <w:bookmarkStart w:id="184" w:name="_Toc27853"/>
      <w:bookmarkStart w:id="185" w:name="_Toc279701242"/>
      <w:bookmarkStart w:id="186" w:name="_Toc259093671"/>
      <w:bookmarkStart w:id="187" w:name="_Toc9829"/>
      <w:bookmarkStart w:id="188" w:name="_Toc487900351"/>
      <w:r>
        <w:rPr>
          <w:rFonts w:hint="eastAsia" w:ascii="宋体" w:hAnsi="宋体" w:eastAsia="宋体" w:cs="宋体"/>
          <w:b/>
          <w:bCs/>
          <w:color w:val="auto"/>
          <w:sz w:val="24"/>
          <w:highlight w:val="none"/>
          <w:lang w:val="zh-CN"/>
        </w:rPr>
        <w:t>2.3 知识产权</w:t>
      </w:r>
      <w:bookmarkEnd w:id="183"/>
      <w:bookmarkEnd w:id="184"/>
      <w:bookmarkEnd w:id="185"/>
      <w:bookmarkEnd w:id="186"/>
      <w:bookmarkEnd w:id="187"/>
      <w:bookmarkEnd w:id="188"/>
    </w:p>
    <w:p w14:paraId="18477A1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2.3.1乙方应保证其提供的服务不受任何第三方提出的侵犯其著作权、商标权、专利权等知识产权方面的起诉；如果任何第三方提出侵权指控，那么乙方须与该第三方交涉并承担由此发生的一切责任、费用和赔偿；</w:t>
      </w:r>
    </w:p>
    <w:p w14:paraId="25854A2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2.3.2具有知识产权的计算机软件等货物的知识产权归属，详见</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07B3391B">
      <w:pPr>
        <w:spacing w:line="360" w:lineRule="auto"/>
        <w:ind w:firstLine="437"/>
        <w:outlineLvl w:val="2"/>
        <w:rPr>
          <w:rFonts w:hint="eastAsia" w:ascii="宋体" w:hAnsi="宋体" w:eastAsia="宋体" w:cs="宋体"/>
          <w:b/>
          <w:bCs/>
          <w:color w:val="auto"/>
          <w:sz w:val="24"/>
          <w:highlight w:val="none"/>
          <w:lang w:val="zh-CN"/>
        </w:rPr>
      </w:pPr>
      <w:bookmarkStart w:id="189" w:name="_Ref467378541"/>
      <w:bookmarkStart w:id="190" w:name="_Toc279701245"/>
      <w:bookmarkStart w:id="191" w:name="_Ref467379542"/>
      <w:bookmarkStart w:id="192" w:name="_Ref467379536"/>
      <w:bookmarkStart w:id="193" w:name="_Ref467379527"/>
      <w:bookmarkStart w:id="194" w:name="_Toc487900354"/>
      <w:bookmarkStart w:id="195" w:name="_Toc259093674"/>
      <w:bookmarkStart w:id="196" w:name="_Ref467378591"/>
      <w:bookmarkStart w:id="197" w:name="_Toc26182"/>
      <w:bookmarkStart w:id="198" w:name="_Toc19074"/>
      <w:bookmarkStart w:id="199" w:name="_Toc30272"/>
      <w:r>
        <w:rPr>
          <w:rFonts w:hint="eastAsia" w:ascii="宋体" w:hAnsi="宋体" w:eastAsia="宋体" w:cs="宋体"/>
          <w:b/>
          <w:bCs/>
          <w:color w:val="auto"/>
          <w:sz w:val="24"/>
          <w:highlight w:val="none"/>
          <w:lang w:val="zh-CN"/>
        </w:rPr>
        <w:t>2.</w:t>
      </w:r>
      <w:bookmarkEnd w:id="189"/>
      <w:bookmarkEnd w:id="190"/>
      <w:bookmarkEnd w:id="191"/>
      <w:bookmarkEnd w:id="192"/>
      <w:bookmarkEnd w:id="193"/>
      <w:bookmarkEnd w:id="194"/>
      <w:bookmarkEnd w:id="195"/>
      <w:bookmarkEnd w:id="196"/>
      <w:r>
        <w:rPr>
          <w:rFonts w:hint="eastAsia" w:ascii="宋体" w:hAnsi="宋体" w:eastAsia="宋体" w:cs="宋体"/>
          <w:b/>
          <w:bCs/>
          <w:color w:val="auto"/>
          <w:sz w:val="24"/>
          <w:highlight w:val="none"/>
          <w:lang w:val="zh-CN"/>
        </w:rPr>
        <w:t>4 履约检查和问题反馈</w:t>
      </w:r>
      <w:bookmarkEnd w:id="197"/>
      <w:bookmarkEnd w:id="198"/>
      <w:bookmarkEnd w:id="199"/>
    </w:p>
    <w:p w14:paraId="4B61CA3F">
      <w:pPr>
        <w:spacing w:line="360" w:lineRule="auto"/>
        <w:ind w:firstLine="435"/>
        <w:rPr>
          <w:rFonts w:hint="eastAsia" w:ascii="宋体" w:hAnsi="宋体" w:eastAsia="宋体" w:cs="宋体"/>
          <w:color w:val="auto"/>
          <w:sz w:val="24"/>
          <w:highlight w:val="none"/>
        </w:rPr>
      </w:pPr>
      <w:bookmarkStart w:id="200" w:name="_Toc186431854"/>
      <w:bookmarkStart w:id="201" w:name="_Toc279701247"/>
      <w:bookmarkStart w:id="202" w:name="_Toc487900357"/>
      <w:bookmarkStart w:id="203" w:name="_Toc259093676"/>
      <w:bookmarkStart w:id="204" w:name="_Ref467379793"/>
      <w:bookmarkStart w:id="205" w:name="_Ref467379807"/>
      <w:r>
        <w:rPr>
          <w:rFonts w:hint="eastAsia" w:ascii="宋体" w:hAnsi="宋体" w:eastAsia="宋体" w:cs="宋体"/>
          <w:color w:val="auto"/>
          <w:sz w:val="24"/>
          <w:highlight w:val="none"/>
        </w:rPr>
        <w:t>2.4.1甲方有权在其认为必要时，对乙方是否能够按照合同约定提供服务进行履约检查，以确保乙方所提供的服务能够依约满足甲方项目需求，但不得因履约检查妨碍乙方的正常工作，乙方应予积极配合；</w:t>
      </w:r>
    </w:p>
    <w:p w14:paraId="519E33A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2.4.2合同履行期间，甲方有权将履行过程中出现的问题反馈给乙方，双方当事人应以书面形式约定需要完善和改进的内容</w:t>
      </w:r>
      <w:bookmarkEnd w:id="200"/>
      <w:bookmarkStart w:id="206" w:name="_Toc186431855"/>
      <w:r>
        <w:rPr>
          <w:rFonts w:hint="eastAsia" w:ascii="宋体" w:hAnsi="宋体" w:eastAsia="宋体" w:cs="宋体"/>
          <w:color w:val="auto"/>
          <w:sz w:val="24"/>
          <w:highlight w:val="none"/>
        </w:rPr>
        <w:t>。</w:t>
      </w:r>
    </w:p>
    <w:bookmarkEnd w:id="206"/>
    <w:p w14:paraId="53F2BFB7">
      <w:pPr>
        <w:spacing w:line="360" w:lineRule="auto"/>
        <w:ind w:firstLine="437"/>
        <w:outlineLvl w:val="2"/>
        <w:rPr>
          <w:rFonts w:hint="eastAsia" w:ascii="宋体" w:hAnsi="宋体" w:eastAsia="宋体" w:cs="宋体"/>
          <w:b/>
          <w:bCs/>
          <w:color w:val="auto"/>
          <w:sz w:val="24"/>
          <w:highlight w:val="none"/>
          <w:lang w:val="zh-CN"/>
        </w:rPr>
      </w:pPr>
      <w:bookmarkStart w:id="207" w:name="_Toc19219"/>
      <w:bookmarkStart w:id="208" w:name="_Toc7836"/>
      <w:bookmarkStart w:id="209" w:name="_Toc28451"/>
      <w:r>
        <w:rPr>
          <w:rFonts w:hint="eastAsia" w:ascii="宋体" w:hAnsi="宋体" w:eastAsia="宋体" w:cs="宋体"/>
          <w:b/>
          <w:bCs/>
          <w:color w:val="auto"/>
          <w:sz w:val="24"/>
          <w:highlight w:val="none"/>
          <w:lang w:val="zh-CN"/>
        </w:rPr>
        <w:t>2.5 结算方式和付款条件</w:t>
      </w:r>
      <w:bookmarkEnd w:id="201"/>
      <w:bookmarkEnd w:id="202"/>
      <w:bookmarkEnd w:id="203"/>
      <w:bookmarkEnd w:id="204"/>
      <w:bookmarkEnd w:id="205"/>
      <w:bookmarkEnd w:id="207"/>
      <w:bookmarkEnd w:id="208"/>
      <w:bookmarkEnd w:id="209"/>
    </w:p>
    <w:p w14:paraId="1442DFB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详见</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36ABE9A5">
      <w:pPr>
        <w:spacing w:line="360" w:lineRule="auto"/>
        <w:ind w:firstLine="437"/>
        <w:outlineLvl w:val="2"/>
        <w:rPr>
          <w:rFonts w:hint="eastAsia" w:ascii="宋体" w:hAnsi="宋体" w:eastAsia="宋体" w:cs="宋体"/>
          <w:b/>
          <w:bCs/>
          <w:color w:val="auto"/>
          <w:sz w:val="24"/>
          <w:highlight w:val="none"/>
          <w:lang w:val="zh-CN"/>
        </w:rPr>
      </w:pPr>
      <w:bookmarkStart w:id="210" w:name="_Ref467379852"/>
      <w:bookmarkStart w:id="211" w:name="_Toc279701248"/>
      <w:bookmarkStart w:id="212" w:name="_Ref467379863"/>
      <w:bookmarkStart w:id="213" w:name="_Ref467379923"/>
      <w:bookmarkStart w:id="214" w:name="_Toc487900358"/>
      <w:bookmarkStart w:id="215" w:name="_Toc259093677"/>
      <w:bookmarkStart w:id="216" w:name="_Toc774"/>
      <w:bookmarkStart w:id="217" w:name="_Toc3225"/>
      <w:bookmarkStart w:id="218" w:name="_Toc16110"/>
      <w:r>
        <w:rPr>
          <w:rFonts w:hint="eastAsia" w:ascii="宋体" w:hAnsi="宋体" w:eastAsia="宋体" w:cs="宋体"/>
          <w:b/>
          <w:bCs/>
          <w:color w:val="auto"/>
          <w:sz w:val="24"/>
          <w:highlight w:val="none"/>
          <w:lang w:val="zh-CN"/>
        </w:rPr>
        <w:t>2.6 技术资料</w:t>
      </w:r>
      <w:bookmarkEnd w:id="210"/>
      <w:bookmarkEnd w:id="211"/>
      <w:bookmarkEnd w:id="212"/>
      <w:bookmarkEnd w:id="213"/>
      <w:bookmarkEnd w:id="214"/>
      <w:bookmarkEnd w:id="215"/>
      <w:r>
        <w:rPr>
          <w:rFonts w:hint="eastAsia" w:ascii="宋体" w:hAnsi="宋体" w:eastAsia="宋体" w:cs="宋体"/>
          <w:b/>
          <w:bCs/>
          <w:color w:val="auto"/>
          <w:sz w:val="24"/>
          <w:highlight w:val="none"/>
          <w:lang w:val="zh-CN"/>
        </w:rPr>
        <w:t>和保密义务</w:t>
      </w:r>
      <w:bookmarkEnd w:id="216"/>
      <w:bookmarkEnd w:id="217"/>
      <w:bookmarkEnd w:id="218"/>
    </w:p>
    <w:p w14:paraId="3DF4779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2.6.1乙方有权依据合同约定和项目需要，向甲方了解有关情况，调阅有关资料等，甲方应予积极配合；</w:t>
      </w:r>
    </w:p>
    <w:p w14:paraId="7C5C1DE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2.6.2乙方有义务妥善保管和保护由甲方提供的前款信息和资料等；</w:t>
      </w:r>
    </w:p>
    <w:p w14:paraId="5E454EE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2.6.3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3564E077">
      <w:pPr>
        <w:spacing w:line="360" w:lineRule="auto"/>
        <w:ind w:firstLine="437"/>
        <w:outlineLvl w:val="2"/>
        <w:rPr>
          <w:rFonts w:hint="eastAsia" w:ascii="宋体" w:hAnsi="宋体" w:eastAsia="宋体" w:cs="宋体"/>
          <w:b/>
          <w:bCs/>
          <w:color w:val="auto"/>
          <w:sz w:val="24"/>
          <w:highlight w:val="none"/>
          <w:lang w:val="zh-CN"/>
        </w:rPr>
      </w:pPr>
      <w:bookmarkStart w:id="219" w:name="_Toc7860"/>
      <w:r>
        <w:rPr>
          <w:rFonts w:hint="eastAsia" w:ascii="宋体" w:hAnsi="宋体" w:eastAsia="宋体" w:cs="宋体"/>
          <w:b/>
          <w:bCs/>
          <w:color w:val="auto"/>
          <w:sz w:val="24"/>
          <w:highlight w:val="none"/>
          <w:lang w:val="zh-CN"/>
        </w:rPr>
        <w:t>2.7 质量保证</w:t>
      </w:r>
      <w:bookmarkEnd w:id="219"/>
    </w:p>
    <w:p w14:paraId="288C760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2.7.1乙方应建立和完善履行合同的内部质量保证体系，并提供相关内部规章制度给甲方，以便甲方进行监督检查；</w:t>
      </w:r>
    </w:p>
    <w:p w14:paraId="2825073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2.7.2乙方应保证履行合同的人员数量和素质、软件和硬件设备的配置、场地、环境和设施等满足全面履行合同的要求，并应接受甲方的监督检查。</w:t>
      </w:r>
    </w:p>
    <w:p w14:paraId="6599B2DE">
      <w:pPr>
        <w:spacing w:line="360" w:lineRule="auto"/>
        <w:ind w:firstLine="437"/>
        <w:outlineLvl w:val="2"/>
        <w:rPr>
          <w:rFonts w:hint="eastAsia" w:ascii="宋体" w:hAnsi="宋体" w:eastAsia="宋体" w:cs="宋体"/>
          <w:b/>
          <w:color w:val="auto"/>
          <w:sz w:val="24"/>
          <w:highlight w:val="none"/>
        </w:rPr>
      </w:pPr>
      <w:bookmarkStart w:id="220" w:name="_Toc22267"/>
      <w:r>
        <w:rPr>
          <w:rFonts w:hint="eastAsia" w:ascii="宋体" w:hAnsi="宋体" w:eastAsia="宋体" w:cs="宋体"/>
          <w:b/>
          <w:color w:val="auto"/>
          <w:sz w:val="24"/>
          <w:highlight w:val="none"/>
        </w:rPr>
        <w:t>2.8 延迟履行</w:t>
      </w:r>
      <w:bookmarkEnd w:id="220"/>
    </w:p>
    <w:p w14:paraId="120316E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713DB5AC">
      <w:pPr>
        <w:spacing w:line="360" w:lineRule="auto"/>
        <w:ind w:firstLine="437"/>
        <w:outlineLvl w:val="2"/>
        <w:rPr>
          <w:rFonts w:hint="eastAsia" w:ascii="宋体" w:hAnsi="宋体" w:eastAsia="宋体" w:cs="宋体"/>
          <w:b/>
          <w:bCs/>
          <w:color w:val="auto"/>
          <w:sz w:val="24"/>
          <w:highlight w:val="none"/>
          <w:lang w:val="zh-CN"/>
        </w:rPr>
      </w:pPr>
      <w:bookmarkStart w:id="221" w:name="_Toc7502"/>
      <w:bookmarkStart w:id="222" w:name="_Ref467378121"/>
      <w:bookmarkStart w:id="223" w:name="_Toc259093683"/>
      <w:bookmarkStart w:id="224" w:name="_Toc279701254"/>
      <w:bookmarkStart w:id="225" w:name="_Toc487900364"/>
      <w:r>
        <w:rPr>
          <w:rFonts w:hint="eastAsia" w:ascii="宋体" w:hAnsi="宋体" w:eastAsia="宋体" w:cs="宋体"/>
          <w:b/>
          <w:bCs/>
          <w:color w:val="auto"/>
          <w:sz w:val="24"/>
          <w:highlight w:val="none"/>
          <w:lang w:val="zh-CN"/>
        </w:rPr>
        <w:t>2.9 合同变更</w:t>
      </w:r>
      <w:bookmarkEnd w:id="221"/>
    </w:p>
    <w:p w14:paraId="6B4A966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2.9.1双方当事人协商一致，可以签订书面补充合同的形式变更合同，但不得违背采购文件确定的事项；</w:t>
      </w:r>
    </w:p>
    <w:p w14:paraId="2604B0F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2.9.2合同继续履行将损害国家利益和社会公共利益的，双方当事人应当以书面形式变更合同。有过错的一方应当承担赔偿责任，双方当事人都有过错的，各自承担相应的责任。</w:t>
      </w:r>
      <w:bookmarkStart w:id="226" w:name="_Toc259093688"/>
      <w:bookmarkStart w:id="227" w:name="_Toc487900369"/>
      <w:bookmarkStart w:id="228" w:name="_Toc279701259"/>
    </w:p>
    <w:p w14:paraId="138F9C8F">
      <w:pPr>
        <w:spacing w:line="360" w:lineRule="auto"/>
        <w:ind w:firstLine="437"/>
        <w:outlineLvl w:val="2"/>
        <w:rPr>
          <w:rFonts w:hint="eastAsia" w:ascii="宋体" w:hAnsi="宋体" w:eastAsia="宋体" w:cs="宋体"/>
          <w:b/>
          <w:bCs/>
          <w:color w:val="auto"/>
          <w:sz w:val="24"/>
          <w:highlight w:val="none"/>
          <w:lang w:val="zh-CN"/>
        </w:rPr>
      </w:pPr>
      <w:bookmarkStart w:id="229" w:name="_Toc22955"/>
      <w:bookmarkStart w:id="230" w:name="_Toc10366"/>
      <w:bookmarkStart w:id="231" w:name="_Toc15237"/>
      <w:r>
        <w:rPr>
          <w:rFonts w:hint="eastAsia" w:ascii="宋体" w:hAnsi="宋体" w:eastAsia="宋体" w:cs="宋体"/>
          <w:b/>
          <w:bCs/>
          <w:color w:val="auto"/>
          <w:sz w:val="24"/>
          <w:highlight w:val="none"/>
          <w:lang w:val="zh-CN"/>
        </w:rPr>
        <w:t>2.10 合同转让</w:t>
      </w:r>
      <w:bookmarkEnd w:id="226"/>
      <w:bookmarkEnd w:id="227"/>
      <w:bookmarkEnd w:id="228"/>
      <w:r>
        <w:rPr>
          <w:rFonts w:hint="eastAsia" w:ascii="宋体" w:hAnsi="宋体" w:eastAsia="宋体" w:cs="宋体"/>
          <w:b/>
          <w:bCs/>
          <w:color w:val="auto"/>
          <w:sz w:val="24"/>
          <w:highlight w:val="none"/>
          <w:lang w:val="zh-CN"/>
        </w:rPr>
        <w:t>和分包</w:t>
      </w:r>
      <w:bookmarkEnd w:id="229"/>
      <w:bookmarkEnd w:id="230"/>
      <w:bookmarkEnd w:id="231"/>
    </w:p>
    <w:p w14:paraId="6F63D63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57260079">
      <w:pPr>
        <w:spacing w:line="360" w:lineRule="auto"/>
        <w:ind w:firstLine="437"/>
        <w:outlineLvl w:val="2"/>
        <w:rPr>
          <w:rFonts w:hint="eastAsia" w:ascii="宋体" w:hAnsi="宋体" w:eastAsia="宋体" w:cs="宋体"/>
          <w:b/>
          <w:bCs/>
          <w:color w:val="auto"/>
          <w:sz w:val="24"/>
          <w:highlight w:val="none"/>
          <w:lang w:val="zh-CN"/>
        </w:rPr>
      </w:pPr>
      <w:bookmarkStart w:id="232" w:name="_Toc13566"/>
      <w:bookmarkStart w:id="233" w:name="_Toc16508"/>
      <w:bookmarkStart w:id="234" w:name="_Toc14066"/>
      <w:r>
        <w:rPr>
          <w:rFonts w:hint="eastAsia" w:ascii="宋体" w:hAnsi="宋体" w:eastAsia="宋体" w:cs="宋体"/>
          <w:b/>
          <w:bCs/>
          <w:color w:val="auto"/>
          <w:sz w:val="24"/>
          <w:highlight w:val="none"/>
          <w:lang w:val="zh-CN"/>
        </w:rPr>
        <w:t>2.11 不可抗力</w:t>
      </w:r>
      <w:bookmarkEnd w:id="232"/>
      <w:bookmarkEnd w:id="233"/>
      <w:bookmarkEnd w:id="234"/>
    </w:p>
    <w:p w14:paraId="3809BB3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2.11.1如果任何一方遭遇法律规定的不可抗力，致使合同履行受阻时，履行合同的期限应予延长，延长的期限应相当于不可抗力所影响的时间；</w:t>
      </w:r>
    </w:p>
    <w:p w14:paraId="37A6433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2.11.2因不可抗力致使不能实现合同目的的，当事人可以解除合同；</w:t>
      </w:r>
    </w:p>
    <w:p w14:paraId="0469B20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2.11.3因不可抗力致使合同有变更必要的，双方当事人应在</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约定时间内以书面形式变更合同；</w:t>
      </w:r>
    </w:p>
    <w:p w14:paraId="1BC2144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2.11.4受不可抗力影响的一方在不可抗力发生后，应在</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约定时间内以书面形式通知对方当事人，并在</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约定时间内，将有关部门出具的证明文件送达对方当事人。</w:t>
      </w:r>
    </w:p>
    <w:p w14:paraId="1A0EDCE7">
      <w:pPr>
        <w:spacing w:line="360" w:lineRule="auto"/>
        <w:ind w:firstLine="437"/>
        <w:outlineLvl w:val="2"/>
        <w:rPr>
          <w:rFonts w:hint="eastAsia" w:ascii="宋体" w:hAnsi="宋体" w:eastAsia="宋体" w:cs="宋体"/>
          <w:b/>
          <w:bCs/>
          <w:color w:val="auto"/>
          <w:sz w:val="24"/>
          <w:highlight w:val="none"/>
          <w:lang w:val="zh-CN"/>
        </w:rPr>
      </w:pPr>
      <w:bookmarkStart w:id="235" w:name="_Toc487900365"/>
      <w:bookmarkStart w:id="236" w:name="_Toc259093684"/>
      <w:bookmarkStart w:id="237" w:name="_Toc689"/>
      <w:bookmarkStart w:id="238" w:name="_Toc6969"/>
      <w:bookmarkStart w:id="239" w:name="_Toc30676"/>
      <w:bookmarkStart w:id="240" w:name="_Toc279701255"/>
      <w:r>
        <w:rPr>
          <w:rFonts w:hint="eastAsia" w:ascii="宋体" w:hAnsi="宋体" w:eastAsia="宋体" w:cs="宋体"/>
          <w:b/>
          <w:bCs/>
          <w:color w:val="auto"/>
          <w:sz w:val="24"/>
          <w:highlight w:val="none"/>
          <w:lang w:val="zh-CN"/>
        </w:rPr>
        <w:t>2.12 税费</w:t>
      </w:r>
      <w:bookmarkEnd w:id="235"/>
      <w:bookmarkEnd w:id="236"/>
      <w:bookmarkEnd w:id="237"/>
      <w:bookmarkEnd w:id="238"/>
      <w:bookmarkEnd w:id="239"/>
      <w:bookmarkEnd w:id="240"/>
    </w:p>
    <w:p w14:paraId="6AC5105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与合同有关的一切税费，均按照中华人民共和国法律的相关规定缴纳。</w:t>
      </w:r>
    </w:p>
    <w:p w14:paraId="1220CE91">
      <w:pPr>
        <w:spacing w:line="360" w:lineRule="auto"/>
        <w:ind w:firstLine="437"/>
        <w:outlineLvl w:val="2"/>
        <w:rPr>
          <w:rFonts w:hint="eastAsia" w:ascii="宋体" w:hAnsi="宋体" w:eastAsia="宋体" w:cs="宋体"/>
          <w:b/>
          <w:bCs/>
          <w:color w:val="auto"/>
          <w:sz w:val="24"/>
          <w:highlight w:val="none"/>
          <w:lang w:val="zh-CN"/>
        </w:rPr>
      </w:pPr>
      <w:bookmarkStart w:id="241" w:name="_Toc279701258"/>
      <w:bookmarkStart w:id="242" w:name="_Toc8298"/>
      <w:bookmarkStart w:id="243" w:name="_Toc259093687"/>
      <w:bookmarkStart w:id="244" w:name="_Toc7102"/>
      <w:bookmarkStart w:id="245" w:name="_Toc16959"/>
      <w:bookmarkStart w:id="246" w:name="_Toc487900368"/>
      <w:r>
        <w:rPr>
          <w:rFonts w:hint="eastAsia" w:ascii="宋体" w:hAnsi="宋体" w:eastAsia="宋体" w:cs="宋体"/>
          <w:b/>
          <w:bCs/>
          <w:color w:val="auto"/>
          <w:sz w:val="24"/>
          <w:highlight w:val="none"/>
          <w:lang w:val="zh-CN"/>
        </w:rPr>
        <w:t>2.13 乙方破产</w:t>
      </w:r>
      <w:bookmarkEnd w:id="241"/>
      <w:bookmarkEnd w:id="242"/>
      <w:bookmarkEnd w:id="243"/>
      <w:bookmarkEnd w:id="244"/>
      <w:bookmarkEnd w:id="245"/>
      <w:bookmarkEnd w:id="246"/>
    </w:p>
    <w:p w14:paraId="5BDEDF1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17A67ED8">
      <w:pPr>
        <w:spacing w:line="360" w:lineRule="auto"/>
        <w:ind w:firstLine="437"/>
        <w:outlineLvl w:val="2"/>
        <w:rPr>
          <w:rFonts w:hint="eastAsia" w:ascii="宋体" w:hAnsi="宋体" w:eastAsia="宋体" w:cs="宋体"/>
          <w:b/>
          <w:color w:val="auto"/>
          <w:sz w:val="24"/>
          <w:highlight w:val="none"/>
        </w:rPr>
      </w:pPr>
      <w:bookmarkStart w:id="247" w:name="_Toc15387"/>
      <w:bookmarkStart w:id="248" w:name="_Toc6134"/>
      <w:bookmarkStart w:id="249" w:name="_Toc29333"/>
      <w:r>
        <w:rPr>
          <w:rFonts w:hint="eastAsia" w:ascii="宋体" w:hAnsi="宋体" w:eastAsia="宋体" w:cs="宋体"/>
          <w:b/>
          <w:bCs/>
          <w:color w:val="auto"/>
          <w:sz w:val="24"/>
          <w:highlight w:val="none"/>
          <w:lang w:val="zh-CN"/>
        </w:rPr>
        <w:t>2.14 合同中止、终止</w:t>
      </w:r>
      <w:bookmarkEnd w:id="247"/>
      <w:bookmarkEnd w:id="248"/>
      <w:bookmarkEnd w:id="249"/>
    </w:p>
    <w:p w14:paraId="73FBF4E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2.14.1双方当事人不得擅自中止或者终止合同；</w:t>
      </w:r>
    </w:p>
    <w:p w14:paraId="72F88B2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2.14.2合同继续履行将损害国家利益和社会公共利益的，双方当事人应当中止或者终止合同。有过错的一方应当承担赔偿责任，双方当事人都有过错的，各自承担相应的责任。</w:t>
      </w:r>
    </w:p>
    <w:p w14:paraId="1DD01014">
      <w:pPr>
        <w:spacing w:line="360" w:lineRule="auto"/>
        <w:ind w:firstLine="437"/>
        <w:outlineLvl w:val="2"/>
        <w:rPr>
          <w:rFonts w:hint="eastAsia" w:ascii="宋体" w:hAnsi="宋体" w:eastAsia="宋体" w:cs="宋体"/>
          <w:b/>
          <w:bCs/>
          <w:color w:val="auto"/>
          <w:sz w:val="24"/>
          <w:highlight w:val="none"/>
          <w:lang w:val="zh-CN"/>
        </w:rPr>
      </w:pPr>
      <w:bookmarkStart w:id="250" w:name="_Toc1125"/>
      <w:bookmarkStart w:id="251" w:name="_Toc6596"/>
      <w:bookmarkStart w:id="252" w:name="_Toc14563"/>
      <w:r>
        <w:rPr>
          <w:rFonts w:hint="eastAsia" w:ascii="宋体" w:hAnsi="宋体" w:eastAsia="宋体" w:cs="宋体"/>
          <w:b/>
          <w:bCs/>
          <w:color w:val="auto"/>
          <w:sz w:val="24"/>
          <w:highlight w:val="none"/>
          <w:lang w:val="zh-CN"/>
        </w:rPr>
        <w:t>2.15 检验和验收</w:t>
      </w:r>
      <w:bookmarkEnd w:id="250"/>
      <w:bookmarkEnd w:id="251"/>
      <w:bookmarkEnd w:id="252"/>
    </w:p>
    <w:p w14:paraId="2E3B37E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2.15.1乙方按照</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的约定，定期提交服务报告，甲方按照</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的约定进行定期验收；</w:t>
      </w:r>
    </w:p>
    <w:p w14:paraId="2D0E577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20A4F2A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2.15.3检验和验收标准、程序等具体内容以及前述验收书的效力详见</w:t>
      </w:r>
      <w:r>
        <w:rPr>
          <w:rFonts w:hint="eastAsia" w:ascii="宋体" w:hAnsi="宋体" w:eastAsia="宋体" w:cs="宋体"/>
          <w:b/>
          <w:i/>
          <w:color w:val="auto"/>
          <w:sz w:val="24"/>
          <w:highlight w:val="none"/>
          <w:u w:val="single"/>
        </w:rPr>
        <w:t>合同专用条款</w:t>
      </w:r>
      <w:r>
        <w:rPr>
          <w:rFonts w:hint="eastAsia" w:ascii="宋体" w:hAnsi="宋体" w:eastAsia="宋体" w:cs="宋体"/>
          <w:i/>
          <w:color w:val="auto"/>
          <w:sz w:val="24"/>
          <w:highlight w:val="none"/>
        </w:rPr>
        <w:t>。</w:t>
      </w:r>
    </w:p>
    <w:bookmarkEnd w:id="222"/>
    <w:bookmarkEnd w:id="223"/>
    <w:bookmarkEnd w:id="224"/>
    <w:bookmarkEnd w:id="225"/>
    <w:p w14:paraId="2B338E2C">
      <w:pPr>
        <w:spacing w:line="360" w:lineRule="auto"/>
        <w:ind w:firstLine="437"/>
        <w:outlineLvl w:val="2"/>
        <w:rPr>
          <w:rFonts w:hint="eastAsia" w:ascii="宋体" w:hAnsi="宋体" w:eastAsia="宋体" w:cs="宋体"/>
          <w:b/>
          <w:bCs/>
          <w:color w:val="auto"/>
          <w:sz w:val="24"/>
          <w:highlight w:val="none"/>
        </w:rPr>
      </w:pPr>
      <w:bookmarkStart w:id="253" w:name="_Toc487900373"/>
      <w:bookmarkStart w:id="254" w:name="_Toc12773"/>
      <w:bookmarkStart w:id="255" w:name="_Toc18567"/>
      <w:bookmarkStart w:id="256" w:name="_Toc259093692"/>
      <w:bookmarkStart w:id="257" w:name="_Toc10330"/>
      <w:bookmarkStart w:id="258" w:name="_Toc279701263"/>
      <w:r>
        <w:rPr>
          <w:rFonts w:hint="eastAsia" w:ascii="宋体" w:hAnsi="宋体" w:eastAsia="宋体" w:cs="宋体"/>
          <w:b/>
          <w:bCs/>
          <w:color w:val="auto"/>
          <w:sz w:val="24"/>
          <w:highlight w:val="none"/>
        </w:rPr>
        <w:t xml:space="preserve">2.16 </w:t>
      </w:r>
      <w:r>
        <w:rPr>
          <w:rFonts w:hint="eastAsia" w:ascii="宋体" w:hAnsi="宋体" w:eastAsia="宋体" w:cs="宋体"/>
          <w:b/>
          <w:bCs/>
          <w:color w:val="auto"/>
          <w:sz w:val="24"/>
          <w:highlight w:val="none"/>
          <w:lang w:val="zh-CN"/>
        </w:rPr>
        <w:t>合同使用的文字和适用的法律</w:t>
      </w:r>
      <w:bookmarkEnd w:id="253"/>
      <w:bookmarkEnd w:id="254"/>
      <w:bookmarkEnd w:id="255"/>
      <w:bookmarkEnd w:id="256"/>
      <w:bookmarkEnd w:id="257"/>
      <w:bookmarkEnd w:id="258"/>
    </w:p>
    <w:p w14:paraId="27E188AD">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2.16.1合同使用汉语书就、变更和解释；</w:t>
      </w:r>
    </w:p>
    <w:p w14:paraId="4B24006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2.16.2合同适用中华人民共和国法律。</w:t>
      </w:r>
    </w:p>
    <w:p w14:paraId="1204EFB7">
      <w:pPr>
        <w:spacing w:line="360" w:lineRule="auto"/>
        <w:ind w:firstLine="437"/>
        <w:outlineLvl w:val="2"/>
        <w:rPr>
          <w:rFonts w:hint="eastAsia" w:ascii="宋体" w:hAnsi="宋体" w:eastAsia="宋体" w:cs="宋体"/>
          <w:b/>
          <w:color w:val="auto"/>
          <w:sz w:val="24"/>
          <w:highlight w:val="none"/>
        </w:rPr>
      </w:pPr>
      <w:bookmarkStart w:id="259" w:name="_Toc259093693"/>
      <w:bookmarkStart w:id="260" w:name="_Toc16673"/>
      <w:bookmarkStart w:id="261" w:name="_Toc12004"/>
      <w:bookmarkStart w:id="262" w:name="_Toc279701264"/>
      <w:bookmarkStart w:id="263" w:name="_Toc3148"/>
      <w:bookmarkStart w:id="264" w:name="_Toc487900374"/>
      <w:r>
        <w:rPr>
          <w:rFonts w:hint="eastAsia" w:ascii="宋体" w:hAnsi="宋体" w:eastAsia="宋体" w:cs="宋体"/>
          <w:b/>
          <w:bCs/>
          <w:color w:val="auto"/>
          <w:sz w:val="24"/>
          <w:highlight w:val="none"/>
          <w:lang w:val="zh-CN"/>
        </w:rPr>
        <w:t>2.17 履约保证金</w:t>
      </w:r>
      <w:bookmarkEnd w:id="259"/>
      <w:bookmarkEnd w:id="260"/>
      <w:bookmarkEnd w:id="261"/>
      <w:bookmarkEnd w:id="262"/>
      <w:bookmarkEnd w:id="263"/>
    </w:p>
    <w:p w14:paraId="255DA19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2.17.1采购文件要求乙方提交履约保证金的，乙方应按</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约定的方式，以支票、汇票、本票或者金融机构、担保机构出具的保函等非现金形式提交；</w:t>
      </w:r>
    </w:p>
    <w:p w14:paraId="49958376">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2.17.2履约保证金在</w:t>
      </w:r>
      <w:r>
        <w:rPr>
          <w:rFonts w:hint="eastAsia" w:ascii="宋体" w:hAnsi="宋体" w:eastAsia="宋体" w:cs="宋体"/>
          <w:b/>
          <w:i/>
          <w:color w:val="auto"/>
          <w:sz w:val="24"/>
          <w:highlight w:val="none"/>
          <w:u w:val="single"/>
          <w:lang w:val="en-US" w:eastAsia="zh-CN"/>
        </w:rPr>
        <w:t>验收结束前</w:t>
      </w:r>
      <w:r>
        <w:rPr>
          <w:rFonts w:hint="eastAsia" w:ascii="宋体" w:hAnsi="宋体" w:eastAsia="宋体" w:cs="宋体"/>
          <w:color w:val="auto"/>
          <w:sz w:val="24"/>
          <w:highlight w:val="none"/>
        </w:rPr>
        <w:t>不予退还或者应完全有效</w:t>
      </w:r>
      <w:r>
        <w:rPr>
          <w:rFonts w:hint="eastAsia" w:ascii="宋体" w:hAnsi="宋体" w:eastAsia="宋体" w:cs="宋体"/>
          <w:color w:val="auto"/>
          <w:sz w:val="24"/>
          <w:highlight w:val="none"/>
          <w:lang w:eastAsia="zh-CN"/>
        </w:rPr>
        <w:t>，项目验收结束后</w:t>
      </w:r>
    </w:p>
    <w:p w14:paraId="20E8E86F">
      <w:pPr>
        <w:spacing w:line="360" w:lineRule="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且满足退还条件的履约保证金</w:t>
      </w:r>
      <w:r>
        <w:rPr>
          <w:rFonts w:hint="eastAsia" w:ascii="宋体" w:hAnsi="宋体" w:eastAsia="宋体" w:cs="宋体"/>
          <w:color w:val="auto"/>
          <w:sz w:val="24"/>
          <w:highlight w:val="none"/>
        </w:rPr>
        <w:t>，甲方应</w:t>
      </w:r>
      <w:r>
        <w:rPr>
          <w:rFonts w:hint="eastAsia" w:ascii="宋体" w:hAnsi="宋体" w:eastAsia="宋体" w:cs="宋体"/>
          <w:color w:val="auto"/>
          <w:sz w:val="24"/>
          <w:highlight w:val="none"/>
          <w:lang w:val="en-US" w:eastAsia="zh-CN"/>
        </w:rPr>
        <w:t>及时</w:t>
      </w:r>
      <w:r>
        <w:rPr>
          <w:rFonts w:hint="eastAsia" w:ascii="宋体" w:hAnsi="宋体" w:eastAsia="宋体" w:cs="宋体"/>
          <w:color w:val="auto"/>
          <w:sz w:val="24"/>
          <w:highlight w:val="none"/>
        </w:rPr>
        <w:t>退还乙方</w:t>
      </w:r>
      <w:r>
        <w:rPr>
          <w:rFonts w:hint="eastAsia" w:ascii="宋体" w:hAnsi="宋体" w:eastAsia="宋体" w:cs="宋体"/>
          <w:color w:val="auto"/>
          <w:sz w:val="24"/>
          <w:highlight w:val="none"/>
          <w:lang w:eastAsia="zh-CN"/>
        </w:rPr>
        <w:t>，</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rPr>
        <w:t>逾期退还履约保证金</w:t>
      </w:r>
      <w:r>
        <w:rPr>
          <w:rFonts w:hint="eastAsia" w:ascii="宋体" w:hAnsi="宋体" w:eastAsia="宋体" w:cs="宋体"/>
          <w:color w:val="auto"/>
          <w:sz w:val="24"/>
          <w:szCs w:val="24"/>
          <w:highlight w:val="none"/>
          <w:lang w:val="en-US" w:eastAsia="zh-CN"/>
        </w:rPr>
        <w:t>应承担违约责任。</w:t>
      </w:r>
    </w:p>
    <w:p w14:paraId="3FEAF8E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2.17.3如果乙方不履行合同，履约保证金不予退还；如果乙方未能按合同约定全面履行义务，那么甲方有权从履约保证金中取得补偿或赔偿，同时不影响甲方要求乙方承担合同约定的超过履约保证金的违约责任的权利。</w:t>
      </w:r>
    </w:p>
    <w:bookmarkEnd w:id="264"/>
    <w:p w14:paraId="40161695">
      <w:pPr>
        <w:spacing w:line="360" w:lineRule="auto"/>
        <w:ind w:firstLine="437"/>
        <w:outlineLvl w:val="2"/>
        <w:rPr>
          <w:rFonts w:hint="eastAsia" w:ascii="宋体" w:hAnsi="宋体" w:eastAsia="宋体" w:cs="宋体"/>
          <w:b/>
          <w:color w:val="auto"/>
          <w:sz w:val="24"/>
          <w:highlight w:val="none"/>
        </w:rPr>
      </w:pPr>
      <w:bookmarkStart w:id="265" w:name="_Toc19890"/>
      <w:bookmarkStart w:id="266" w:name="_Toc14001"/>
      <w:bookmarkStart w:id="267" w:name="_Toc6885"/>
      <w:r>
        <w:rPr>
          <w:rFonts w:hint="eastAsia" w:ascii="宋体" w:hAnsi="宋体" w:eastAsia="宋体" w:cs="宋体"/>
          <w:b/>
          <w:bCs/>
          <w:color w:val="auto"/>
          <w:sz w:val="24"/>
          <w:highlight w:val="none"/>
          <w:lang w:val="zh-CN"/>
        </w:rPr>
        <w:t>2.18 合同份数</w:t>
      </w:r>
      <w:bookmarkEnd w:id="265"/>
      <w:bookmarkEnd w:id="266"/>
      <w:bookmarkEnd w:id="267"/>
    </w:p>
    <w:p w14:paraId="2A33A26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合同份数按</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规定，每份均具有同等法律效力。</w:t>
      </w:r>
    </w:p>
    <w:p w14:paraId="29B1C712">
      <w:pPr>
        <w:spacing w:line="360" w:lineRule="auto"/>
        <w:jc w:val="center"/>
        <w:outlineLvl w:val="1"/>
        <w:rPr>
          <w:rFonts w:hint="eastAsia" w:ascii="宋体" w:hAnsi="宋体" w:eastAsia="宋体" w:cs="宋体"/>
          <w:b/>
          <w:color w:val="auto"/>
          <w:sz w:val="24"/>
          <w:highlight w:val="none"/>
        </w:rPr>
      </w:pPr>
      <w:r>
        <w:rPr>
          <w:rFonts w:hint="eastAsia" w:ascii="宋体" w:hAnsi="宋体" w:eastAsia="宋体" w:cs="宋体"/>
          <w:color w:val="auto"/>
          <w:sz w:val="24"/>
          <w:highlight w:val="none"/>
        </w:rPr>
        <w:br w:type="page"/>
      </w:r>
      <w:bookmarkStart w:id="268" w:name="_Toc228"/>
      <w:bookmarkStart w:id="269" w:name="_Toc331685784"/>
      <w:bookmarkStart w:id="270" w:name="_Toc16043"/>
      <w:r>
        <w:rPr>
          <w:rFonts w:hint="eastAsia" w:ascii="宋体" w:hAnsi="宋体" w:eastAsia="宋体" w:cs="宋体"/>
          <w:b/>
          <w:color w:val="auto"/>
          <w:sz w:val="24"/>
          <w:highlight w:val="none"/>
        </w:rPr>
        <w:t>第三部分 合同专用条款</w:t>
      </w:r>
      <w:bookmarkEnd w:id="268"/>
      <w:bookmarkEnd w:id="269"/>
      <w:bookmarkEnd w:id="270"/>
    </w:p>
    <w:p w14:paraId="25F9560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24"/>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28" w:type="dxa"/>
          <w:bottom w:w="0" w:type="dxa"/>
          <w:right w:w="28" w:type="dxa"/>
        </w:tblCellMar>
      </w:tblPr>
      <w:tblGrid>
        <w:gridCol w:w="1269"/>
        <w:gridCol w:w="7860"/>
      </w:tblGrid>
      <w:tr w14:paraId="14DEB4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53" w:hRule="atLeast"/>
          <w:jc w:val="center"/>
        </w:trPr>
        <w:tc>
          <w:tcPr>
            <w:tcW w:w="695" w:type="pct"/>
            <w:tcBorders>
              <w:left w:val="single" w:color="auto" w:sz="4" w:space="0"/>
            </w:tcBorders>
            <w:vAlign w:val="center"/>
          </w:tcPr>
          <w:p w14:paraId="50FB9525">
            <w:pPr>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条款号</w:t>
            </w:r>
          </w:p>
        </w:tc>
        <w:tc>
          <w:tcPr>
            <w:tcW w:w="4304" w:type="pct"/>
            <w:vAlign w:val="center"/>
          </w:tcPr>
          <w:p w14:paraId="52CCE29B">
            <w:pPr>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约定内容</w:t>
            </w:r>
          </w:p>
        </w:tc>
      </w:tr>
      <w:tr w14:paraId="4CE52D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695" w:type="pct"/>
            <w:tcBorders>
              <w:left w:val="single" w:color="auto" w:sz="4" w:space="0"/>
            </w:tcBorders>
            <w:vAlign w:val="center"/>
          </w:tcPr>
          <w:p w14:paraId="0592437F">
            <w:pPr>
              <w:spacing w:line="560" w:lineRule="exact"/>
              <w:rPr>
                <w:rFonts w:hint="eastAsia" w:ascii="宋体" w:hAnsi="宋体" w:eastAsia="宋体" w:cs="宋体"/>
                <w:color w:val="auto"/>
                <w:sz w:val="24"/>
                <w:highlight w:val="none"/>
              </w:rPr>
            </w:pPr>
          </w:p>
        </w:tc>
        <w:tc>
          <w:tcPr>
            <w:tcW w:w="4304" w:type="pct"/>
            <w:vAlign w:val="center"/>
          </w:tcPr>
          <w:p w14:paraId="029DD03D">
            <w:pPr>
              <w:spacing w:line="560" w:lineRule="exact"/>
              <w:rPr>
                <w:rFonts w:hint="eastAsia" w:ascii="宋体" w:hAnsi="宋体" w:eastAsia="宋体" w:cs="宋体"/>
                <w:color w:val="auto"/>
                <w:sz w:val="24"/>
                <w:highlight w:val="none"/>
              </w:rPr>
            </w:pPr>
          </w:p>
        </w:tc>
      </w:tr>
      <w:tr w14:paraId="5637A2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695" w:type="pct"/>
            <w:tcBorders>
              <w:left w:val="single" w:color="auto" w:sz="4" w:space="0"/>
            </w:tcBorders>
            <w:vAlign w:val="center"/>
          </w:tcPr>
          <w:p w14:paraId="1269AAB3">
            <w:pPr>
              <w:spacing w:line="560" w:lineRule="exact"/>
              <w:rPr>
                <w:rFonts w:hint="eastAsia" w:ascii="宋体" w:hAnsi="宋体" w:eastAsia="宋体" w:cs="宋体"/>
                <w:color w:val="auto"/>
                <w:sz w:val="24"/>
                <w:highlight w:val="none"/>
              </w:rPr>
            </w:pPr>
          </w:p>
        </w:tc>
        <w:tc>
          <w:tcPr>
            <w:tcW w:w="4304" w:type="pct"/>
            <w:vAlign w:val="center"/>
          </w:tcPr>
          <w:p w14:paraId="269B3C70">
            <w:pPr>
              <w:spacing w:line="560" w:lineRule="exact"/>
              <w:rPr>
                <w:rFonts w:hint="eastAsia" w:ascii="宋体" w:hAnsi="宋体" w:eastAsia="宋体" w:cs="宋体"/>
                <w:color w:val="auto"/>
                <w:sz w:val="24"/>
                <w:highlight w:val="none"/>
              </w:rPr>
            </w:pPr>
          </w:p>
        </w:tc>
      </w:tr>
      <w:tr w14:paraId="2C751F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695" w:type="pct"/>
            <w:tcBorders>
              <w:left w:val="single" w:color="auto" w:sz="4" w:space="0"/>
            </w:tcBorders>
            <w:vAlign w:val="center"/>
          </w:tcPr>
          <w:p w14:paraId="6023FDA9">
            <w:pPr>
              <w:spacing w:line="560" w:lineRule="exact"/>
              <w:rPr>
                <w:rFonts w:hint="eastAsia" w:ascii="宋体" w:hAnsi="宋体" w:eastAsia="宋体" w:cs="宋体"/>
                <w:color w:val="auto"/>
                <w:sz w:val="24"/>
                <w:highlight w:val="none"/>
              </w:rPr>
            </w:pPr>
          </w:p>
        </w:tc>
        <w:tc>
          <w:tcPr>
            <w:tcW w:w="4304" w:type="pct"/>
            <w:vAlign w:val="center"/>
          </w:tcPr>
          <w:p w14:paraId="12437E9B">
            <w:pPr>
              <w:spacing w:line="560" w:lineRule="exact"/>
              <w:rPr>
                <w:rFonts w:hint="eastAsia" w:ascii="宋体" w:hAnsi="宋体" w:eastAsia="宋体" w:cs="宋体"/>
                <w:color w:val="auto"/>
                <w:sz w:val="24"/>
                <w:highlight w:val="none"/>
              </w:rPr>
            </w:pPr>
          </w:p>
        </w:tc>
      </w:tr>
      <w:tr w14:paraId="371EAE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695" w:type="pct"/>
            <w:tcBorders>
              <w:left w:val="single" w:color="auto" w:sz="4" w:space="0"/>
            </w:tcBorders>
            <w:vAlign w:val="center"/>
          </w:tcPr>
          <w:p w14:paraId="237F39BB">
            <w:pPr>
              <w:spacing w:line="560" w:lineRule="exact"/>
              <w:rPr>
                <w:rFonts w:hint="eastAsia" w:ascii="宋体" w:hAnsi="宋体" w:eastAsia="宋体" w:cs="宋体"/>
                <w:color w:val="auto"/>
                <w:sz w:val="24"/>
                <w:highlight w:val="none"/>
              </w:rPr>
            </w:pPr>
          </w:p>
        </w:tc>
        <w:tc>
          <w:tcPr>
            <w:tcW w:w="4304" w:type="pct"/>
            <w:vAlign w:val="center"/>
          </w:tcPr>
          <w:p w14:paraId="1CA71E65">
            <w:pPr>
              <w:spacing w:line="560" w:lineRule="exact"/>
              <w:rPr>
                <w:rFonts w:hint="eastAsia" w:ascii="宋体" w:hAnsi="宋体" w:eastAsia="宋体" w:cs="宋体"/>
                <w:color w:val="auto"/>
                <w:sz w:val="24"/>
                <w:highlight w:val="none"/>
              </w:rPr>
            </w:pPr>
          </w:p>
        </w:tc>
      </w:tr>
      <w:tr w14:paraId="375DF1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695" w:type="pct"/>
            <w:tcBorders>
              <w:left w:val="single" w:color="auto" w:sz="4" w:space="0"/>
            </w:tcBorders>
            <w:vAlign w:val="center"/>
          </w:tcPr>
          <w:p w14:paraId="3D9C136D">
            <w:pPr>
              <w:spacing w:line="560" w:lineRule="exact"/>
              <w:rPr>
                <w:rFonts w:hint="eastAsia" w:ascii="宋体" w:hAnsi="宋体" w:eastAsia="宋体" w:cs="宋体"/>
                <w:color w:val="auto"/>
                <w:sz w:val="24"/>
                <w:highlight w:val="none"/>
              </w:rPr>
            </w:pPr>
          </w:p>
        </w:tc>
        <w:tc>
          <w:tcPr>
            <w:tcW w:w="4304" w:type="pct"/>
            <w:vAlign w:val="center"/>
          </w:tcPr>
          <w:p w14:paraId="259EE0F2">
            <w:pPr>
              <w:spacing w:line="560" w:lineRule="exact"/>
              <w:rPr>
                <w:rFonts w:hint="eastAsia" w:ascii="宋体" w:hAnsi="宋体" w:eastAsia="宋体" w:cs="宋体"/>
                <w:color w:val="auto"/>
                <w:sz w:val="24"/>
                <w:highlight w:val="none"/>
                <w:u w:val="single"/>
              </w:rPr>
            </w:pPr>
          </w:p>
        </w:tc>
      </w:tr>
      <w:tr w14:paraId="20E2BE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695" w:type="pct"/>
            <w:tcBorders>
              <w:left w:val="single" w:color="auto" w:sz="4" w:space="0"/>
            </w:tcBorders>
            <w:vAlign w:val="center"/>
          </w:tcPr>
          <w:p w14:paraId="3FA15013">
            <w:pPr>
              <w:spacing w:line="560" w:lineRule="exact"/>
              <w:rPr>
                <w:rFonts w:hint="eastAsia" w:ascii="宋体" w:hAnsi="宋体" w:eastAsia="宋体" w:cs="宋体"/>
                <w:color w:val="auto"/>
                <w:sz w:val="24"/>
                <w:highlight w:val="none"/>
              </w:rPr>
            </w:pPr>
          </w:p>
        </w:tc>
        <w:tc>
          <w:tcPr>
            <w:tcW w:w="4304" w:type="pct"/>
            <w:vAlign w:val="center"/>
          </w:tcPr>
          <w:p w14:paraId="6C837B7E">
            <w:pPr>
              <w:spacing w:line="560" w:lineRule="exact"/>
              <w:rPr>
                <w:rFonts w:hint="eastAsia" w:ascii="宋体" w:hAnsi="宋体" w:eastAsia="宋体" w:cs="宋体"/>
                <w:color w:val="auto"/>
                <w:sz w:val="24"/>
                <w:highlight w:val="none"/>
              </w:rPr>
            </w:pPr>
          </w:p>
        </w:tc>
      </w:tr>
      <w:tr w14:paraId="37D9B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695" w:type="pct"/>
            <w:tcBorders>
              <w:left w:val="single" w:color="auto" w:sz="4" w:space="0"/>
            </w:tcBorders>
            <w:vAlign w:val="center"/>
          </w:tcPr>
          <w:p w14:paraId="3F6CD1C4">
            <w:pPr>
              <w:spacing w:line="560" w:lineRule="exact"/>
              <w:rPr>
                <w:rFonts w:hint="eastAsia" w:ascii="宋体" w:hAnsi="宋体" w:eastAsia="宋体" w:cs="宋体"/>
                <w:color w:val="auto"/>
                <w:sz w:val="24"/>
                <w:highlight w:val="none"/>
              </w:rPr>
            </w:pPr>
          </w:p>
        </w:tc>
        <w:tc>
          <w:tcPr>
            <w:tcW w:w="4304" w:type="pct"/>
            <w:vAlign w:val="center"/>
          </w:tcPr>
          <w:p w14:paraId="7721A60D">
            <w:pPr>
              <w:spacing w:line="560" w:lineRule="exact"/>
              <w:rPr>
                <w:rFonts w:hint="eastAsia" w:ascii="宋体" w:hAnsi="宋体" w:eastAsia="宋体" w:cs="宋体"/>
                <w:color w:val="auto"/>
                <w:sz w:val="24"/>
                <w:highlight w:val="none"/>
                <w:u w:val="single"/>
              </w:rPr>
            </w:pPr>
          </w:p>
        </w:tc>
      </w:tr>
      <w:tr w14:paraId="37A2ED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695" w:type="pct"/>
            <w:tcBorders>
              <w:left w:val="single" w:color="auto" w:sz="4" w:space="0"/>
            </w:tcBorders>
            <w:vAlign w:val="center"/>
          </w:tcPr>
          <w:p w14:paraId="0FFB4427">
            <w:pPr>
              <w:spacing w:line="560" w:lineRule="exact"/>
              <w:rPr>
                <w:rFonts w:hint="eastAsia" w:ascii="宋体" w:hAnsi="宋体" w:eastAsia="宋体" w:cs="宋体"/>
                <w:color w:val="auto"/>
                <w:sz w:val="24"/>
                <w:highlight w:val="none"/>
              </w:rPr>
            </w:pPr>
          </w:p>
        </w:tc>
        <w:tc>
          <w:tcPr>
            <w:tcW w:w="4304" w:type="pct"/>
            <w:vAlign w:val="center"/>
          </w:tcPr>
          <w:p w14:paraId="38EC1AD2">
            <w:pPr>
              <w:spacing w:line="560" w:lineRule="exact"/>
              <w:rPr>
                <w:rFonts w:hint="eastAsia" w:ascii="宋体" w:hAnsi="宋体" w:eastAsia="宋体" w:cs="宋体"/>
                <w:color w:val="auto"/>
                <w:sz w:val="24"/>
                <w:highlight w:val="none"/>
              </w:rPr>
            </w:pPr>
          </w:p>
        </w:tc>
      </w:tr>
      <w:tr w14:paraId="4F649A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695" w:type="pct"/>
            <w:tcBorders>
              <w:left w:val="single" w:color="auto" w:sz="4" w:space="0"/>
            </w:tcBorders>
            <w:vAlign w:val="center"/>
          </w:tcPr>
          <w:p w14:paraId="27A8B981">
            <w:pPr>
              <w:spacing w:line="560" w:lineRule="exact"/>
              <w:rPr>
                <w:rFonts w:hint="eastAsia" w:ascii="宋体" w:hAnsi="宋体" w:eastAsia="宋体" w:cs="宋体"/>
                <w:color w:val="auto"/>
                <w:sz w:val="24"/>
                <w:highlight w:val="none"/>
              </w:rPr>
            </w:pPr>
          </w:p>
        </w:tc>
        <w:tc>
          <w:tcPr>
            <w:tcW w:w="4304" w:type="pct"/>
            <w:vAlign w:val="center"/>
          </w:tcPr>
          <w:p w14:paraId="59F0BAB7">
            <w:pPr>
              <w:spacing w:line="560" w:lineRule="exact"/>
              <w:rPr>
                <w:rFonts w:hint="eastAsia" w:ascii="宋体" w:hAnsi="宋体" w:eastAsia="宋体" w:cs="宋体"/>
                <w:color w:val="auto"/>
                <w:sz w:val="24"/>
                <w:highlight w:val="none"/>
              </w:rPr>
            </w:pPr>
          </w:p>
        </w:tc>
      </w:tr>
      <w:tr w14:paraId="5B1D0F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695" w:type="pct"/>
            <w:tcBorders>
              <w:left w:val="single" w:color="auto" w:sz="4" w:space="0"/>
            </w:tcBorders>
            <w:vAlign w:val="center"/>
          </w:tcPr>
          <w:p w14:paraId="13289BE5">
            <w:pPr>
              <w:spacing w:line="560" w:lineRule="exact"/>
              <w:rPr>
                <w:rFonts w:hint="eastAsia" w:ascii="宋体" w:hAnsi="宋体" w:eastAsia="宋体" w:cs="宋体"/>
                <w:color w:val="auto"/>
                <w:sz w:val="24"/>
                <w:highlight w:val="none"/>
              </w:rPr>
            </w:pPr>
          </w:p>
        </w:tc>
        <w:tc>
          <w:tcPr>
            <w:tcW w:w="4304" w:type="pct"/>
            <w:vAlign w:val="center"/>
          </w:tcPr>
          <w:p w14:paraId="3F79F5F2">
            <w:pPr>
              <w:spacing w:line="560" w:lineRule="exact"/>
              <w:rPr>
                <w:rFonts w:hint="eastAsia" w:ascii="宋体" w:hAnsi="宋体" w:eastAsia="宋体" w:cs="宋体"/>
                <w:color w:val="auto"/>
                <w:sz w:val="24"/>
                <w:highlight w:val="none"/>
              </w:rPr>
            </w:pPr>
          </w:p>
        </w:tc>
      </w:tr>
      <w:tr w14:paraId="7823E5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695" w:type="pct"/>
            <w:tcBorders>
              <w:top w:val="single" w:color="auto" w:sz="6" w:space="0"/>
              <w:left w:val="single" w:color="auto" w:sz="4" w:space="0"/>
              <w:bottom w:val="single" w:color="auto" w:sz="6" w:space="0"/>
              <w:right w:val="single" w:color="auto" w:sz="6" w:space="0"/>
            </w:tcBorders>
            <w:vAlign w:val="center"/>
          </w:tcPr>
          <w:p w14:paraId="00AE224C">
            <w:pPr>
              <w:spacing w:line="560" w:lineRule="exact"/>
              <w:rPr>
                <w:rFonts w:hint="eastAsia" w:ascii="宋体" w:hAnsi="宋体" w:eastAsia="宋体" w:cs="宋体"/>
                <w:color w:val="auto"/>
                <w:sz w:val="24"/>
                <w:highlight w:val="none"/>
              </w:rPr>
            </w:pPr>
          </w:p>
        </w:tc>
        <w:tc>
          <w:tcPr>
            <w:tcW w:w="4304" w:type="pct"/>
            <w:tcBorders>
              <w:top w:val="single" w:color="auto" w:sz="6" w:space="0"/>
              <w:left w:val="single" w:color="auto" w:sz="6" w:space="0"/>
              <w:bottom w:val="single" w:color="auto" w:sz="6" w:space="0"/>
              <w:right w:val="single" w:color="auto" w:sz="6" w:space="0"/>
            </w:tcBorders>
            <w:vAlign w:val="center"/>
          </w:tcPr>
          <w:p w14:paraId="3B87DF09">
            <w:pPr>
              <w:spacing w:line="560" w:lineRule="exact"/>
              <w:rPr>
                <w:rFonts w:hint="eastAsia" w:ascii="宋体" w:hAnsi="宋体" w:eastAsia="宋体" w:cs="宋体"/>
                <w:color w:val="auto"/>
                <w:sz w:val="24"/>
                <w:highlight w:val="none"/>
              </w:rPr>
            </w:pPr>
          </w:p>
        </w:tc>
      </w:tr>
      <w:tr w14:paraId="717E76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695" w:type="pct"/>
            <w:tcBorders>
              <w:top w:val="single" w:color="auto" w:sz="6" w:space="0"/>
              <w:left w:val="single" w:color="auto" w:sz="4" w:space="0"/>
              <w:bottom w:val="single" w:color="auto" w:sz="6" w:space="0"/>
              <w:right w:val="single" w:color="auto" w:sz="6" w:space="0"/>
            </w:tcBorders>
            <w:vAlign w:val="center"/>
          </w:tcPr>
          <w:p w14:paraId="4540380F">
            <w:pPr>
              <w:spacing w:line="560" w:lineRule="exact"/>
              <w:rPr>
                <w:rFonts w:hint="eastAsia" w:ascii="宋体" w:hAnsi="宋体" w:eastAsia="宋体" w:cs="宋体"/>
                <w:color w:val="auto"/>
                <w:sz w:val="24"/>
                <w:highlight w:val="none"/>
              </w:rPr>
            </w:pPr>
          </w:p>
        </w:tc>
        <w:tc>
          <w:tcPr>
            <w:tcW w:w="4304" w:type="pct"/>
            <w:tcBorders>
              <w:top w:val="single" w:color="auto" w:sz="6" w:space="0"/>
              <w:left w:val="single" w:color="auto" w:sz="6" w:space="0"/>
              <w:bottom w:val="single" w:color="auto" w:sz="6" w:space="0"/>
              <w:right w:val="single" w:color="auto" w:sz="6" w:space="0"/>
            </w:tcBorders>
            <w:vAlign w:val="center"/>
          </w:tcPr>
          <w:p w14:paraId="56A6A3A7">
            <w:pPr>
              <w:spacing w:line="560" w:lineRule="exact"/>
              <w:rPr>
                <w:rFonts w:hint="eastAsia" w:ascii="宋体" w:hAnsi="宋体" w:eastAsia="宋体" w:cs="宋体"/>
                <w:color w:val="auto"/>
                <w:sz w:val="24"/>
                <w:highlight w:val="none"/>
              </w:rPr>
            </w:pPr>
          </w:p>
        </w:tc>
      </w:tr>
    </w:tbl>
    <w:p w14:paraId="7A0207A7">
      <w:pPr>
        <w:rPr>
          <w:rFonts w:hint="eastAsia" w:ascii="宋体" w:hAnsi="宋体" w:eastAsia="宋体" w:cs="宋体"/>
          <w:b/>
          <w:color w:val="auto"/>
          <w:sz w:val="28"/>
          <w:highlight w:val="none"/>
        </w:rPr>
      </w:pPr>
      <w:r>
        <w:rPr>
          <w:rFonts w:hint="eastAsia" w:ascii="宋体" w:hAnsi="宋体" w:eastAsia="宋体" w:cs="宋体"/>
          <w:b/>
          <w:color w:val="auto"/>
          <w:sz w:val="28"/>
          <w:highlight w:val="none"/>
        </w:rPr>
        <w:br w:type="page"/>
      </w:r>
    </w:p>
    <w:p w14:paraId="50671A25">
      <w:pPr>
        <w:spacing w:line="360" w:lineRule="auto"/>
        <w:jc w:val="center"/>
        <w:outlineLvl w:val="0"/>
        <w:rPr>
          <w:rFonts w:hint="eastAsia" w:ascii="宋体" w:hAnsi="宋体" w:eastAsia="宋体" w:cs="宋体"/>
          <w:b/>
          <w:color w:val="auto"/>
          <w:sz w:val="28"/>
          <w:highlight w:val="none"/>
        </w:rPr>
      </w:pPr>
      <w:bookmarkStart w:id="271" w:name="_Toc10214"/>
      <w:r>
        <w:rPr>
          <w:rFonts w:hint="eastAsia" w:ascii="宋体" w:hAnsi="宋体" w:eastAsia="宋体" w:cs="宋体"/>
          <w:b/>
          <w:color w:val="auto"/>
          <w:sz w:val="28"/>
          <w:highlight w:val="none"/>
        </w:rPr>
        <w:t>第六章  响应文件格式</w:t>
      </w:r>
      <w:bookmarkEnd w:id="125"/>
      <w:bookmarkEnd w:id="271"/>
    </w:p>
    <w:p w14:paraId="79B70DFF">
      <w:pPr>
        <w:spacing w:line="900" w:lineRule="exact"/>
        <w:jc w:val="center"/>
        <w:rPr>
          <w:rFonts w:hint="eastAsia" w:ascii="宋体" w:hAnsi="宋体" w:eastAsia="宋体" w:cs="宋体"/>
          <w:b/>
          <w:color w:val="auto"/>
          <w:sz w:val="72"/>
          <w:highlight w:val="none"/>
        </w:rPr>
      </w:pPr>
    </w:p>
    <w:p w14:paraId="7FCA8627">
      <w:pPr>
        <w:spacing w:line="900" w:lineRule="exact"/>
        <w:jc w:val="center"/>
        <w:outlineLvl w:val="2"/>
        <w:rPr>
          <w:rFonts w:hint="eastAsia" w:ascii="宋体" w:hAnsi="宋体" w:eastAsia="宋体" w:cs="宋体"/>
          <w:b/>
          <w:color w:val="auto"/>
          <w:sz w:val="72"/>
          <w:highlight w:val="none"/>
        </w:rPr>
      </w:pPr>
      <w:r>
        <w:rPr>
          <w:rFonts w:hint="eastAsia" w:ascii="宋体" w:hAnsi="宋体" w:eastAsia="宋体" w:cs="宋体"/>
          <w:b/>
          <w:color w:val="auto"/>
          <w:sz w:val="72"/>
          <w:highlight w:val="none"/>
        </w:rPr>
        <w:t>响</w:t>
      </w:r>
    </w:p>
    <w:p w14:paraId="3876B8F1">
      <w:pPr>
        <w:spacing w:line="900" w:lineRule="exact"/>
        <w:jc w:val="center"/>
        <w:rPr>
          <w:rFonts w:hint="eastAsia" w:ascii="宋体" w:hAnsi="宋体" w:eastAsia="宋体" w:cs="宋体"/>
          <w:b/>
          <w:color w:val="auto"/>
          <w:sz w:val="72"/>
          <w:highlight w:val="none"/>
        </w:rPr>
      </w:pPr>
    </w:p>
    <w:p w14:paraId="4EEE228A">
      <w:pPr>
        <w:spacing w:line="900" w:lineRule="exact"/>
        <w:jc w:val="center"/>
        <w:outlineLvl w:val="2"/>
        <w:rPr>
          <w:rFonts w:hint="eastAsia" w:ascii="宋体" w:hAnsi="宋体" w:eastAsia="宋体" w:cs="宋体"/>
          <w:b/>
          <w:color w:val="auto"/>
          <w:sz w:val="72"/>
          <w:highlight w:val="none"/>
        </w:rPr>
      </w:pPr>
      <w:r>
        <w:rPr>
          <w:rFonts w:hint="eastAsia" w:ascii="宋体" w:hAnsi="宋体" w:eastAsia="宋体" w:cs="宋体"/>
          <w:b/>
          <w:color w:val="auto"/>
          <w:sz w:val="72"/>
          <w:highlight w:val="none"/>
        </w:rPr>
        <w:t>应</w:t>
      </w:r>
    </w:p>
    <w:p w14:paraId="59B3C7F6">
      <w:pPr>
        <w:spacing w:line="900" w:lineRule="exact"/>
        <w:jc w:val="center"/>
        <w:rPr>
          <w:rFonts w:hint="eastAsia" w:ascii="宋体" w:hAnsi="宋体" w:eastAsia="宋体" w:cs="宋体"/>
          <w:b/>
          <w:color w:val="auto"/>
          <w:sz w:val="72"/>
          <w:highlight w:val="none"/>
        </w:rPr>
      </w:pPr>
    </w:p>
    <w:p w14:paraId="0B436E74">
      <w:pPr>
        <w:spacing w:line="900" w:lineRule="exact"/>
        <w:jc w:val="center"/>
        <w:outlineLvl w:val="2"/>
        <w:rPr>
          <w:rFonts w:hint="eastAsia" w:ascii="宋体" w:hAnsi="宋体" w:eastAsia="宋体" w:cs="宋体"/>
          <w:b/>
          <w:color w:val="auto"/>
          <w:sz w:val="72"/>
          <w:highlight w:val="none"/>
        </w:rPr>
      </w:pPr>
      <w:r>
        <w:rPr>
          <w:rFonts w:hint="eastAsia" w:ascii="宋体" w:hAnsi="宋体" w:eastAsia="宋体" w:cs="宋体"/>
          <w:b/>
          <w:color w:val="auto"/>
          <w:sz w:val="72"/>
          <w:highlight w:val="none"/>
        </w:rPr>
        <w:t>文</w:t>
      </w:r>
    </w:p>
    <w:p w14:paraId="78EB324E">
      <w:pPr>
        <w:spacing w:line="900" w:lineRule="exact"/>
        <w:jc w:val="center"/>
        <w:rPr>
          <w:rFonts w:hint="eastAsia" w:ascii="宋体" w:hAnsi="宋体" w:eastAsia="宋体" w:cs="宋体"/>
          <w:b/>
          <w:color w:val="auto"/>
          <w:sz w:val="72"/>
          <w:highlight w:val="none"/>
        </w:rPr>
      </w:pPr>
    </w:p>
    <w:p w14:paraId="49A8ACBA">
      <w:pPr>
        <w:jc w:val="center"/>
        <w:outlineLvl w:val="2"/>
        <w:rPr>
          <w:rFonts w:hint="eastAsia" w:ascii="宋体" w:hAnsi="宋体" w:eastAsia="宋体" w:cs="宋体"/>
          <w:b/>
          <w:color w:val="auto"/>
          <w:sz w:val="72"/>
          <w:highlight w:val="none"/>
        </w:rPr>
      </w:pPr>
      <w:r>
        <w:rPr>
          <w:rFonts w:hint="eastAsia" w:ascii="宋体" w:hAnsi="宋体" w:eastAsia="宋体" w:cs="宋体"/>
          <w:b/>
          <w:color w:val="auto"/>
          <w:sz w:val="72"/>
          <w:highlight w:val="none"/>
        </w:rPr>
        <w:t>件</w:t>
      </w:r>
    </w:p>
    <w:p w14:paraId="352A3687">
      <w:pPr>
        <w:spacing w:after="120" w:afterLines="50"/>
        <w:jc w:val="center"/>
        <w:rPr>
          <w:rFonts w:hint="eastAsia" w:ascii="宋体" w:hAnsi="宋体" w:eastAsia="宋体" w:cs="宋体"/>
          <w:b/>
          <w:color w:val="auto"/>
          <w:sz w:val="72"/>
          <w:highlight w:val="none"/>
        </w:rPr>
      </w:pPr>
    </w:p>
    <w:p w14:paraId="7E61E052">
      <w:pPr>
        <w:spacing w:after="120" w:afterLines="50" w:line="500" w:lineRule="exact"/>
        <w:rPr>
          <w:rFonts w:hint="eastAsia" w:ascii="宋体" w:hAnsi="宋体" w:eastAsia="宋体" w:cs="宋体"/>
          <w:b/>
          <w:color w:val="auto"/>
          <w:sz w:val="72"/>
          <w:highlight w:val="none"/>
        </w:rPr>
      </w:pPr>
    </w:p>
    <w:p w14:paraId="33A36602">
      <w:pPr>
        <w:spacing w:after="120" w:afterLines="50" w:line="500" w:lineRule="exact"/>
        <w:jc w:val="center"/>
        <w:rPr>
          <w:rFonts w:hint="eastAsia" w:ascii="宋体" w:hAnsi="宋体" w:eastAsia="宋体" w:cs="宋体"/>
          <w:b/>
          <w:color w:val="auto"/>
          <w:sz w:val="28"/>
          <w:szCs w:val="28"/>
          <w:highlight w:val="none"/>
        </w:rPr>
      </w:pPr>
    </w:p>
    <w:p w14:paraId="079E5240">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firstLine="1928" w:firstLineChars="600"/>
        <w:textAlignment w:val="auto"/>
        <w:rPr>
          <w:rFonts w:hint="eastAsia" w:ascii="宋体" w:hAnsi="宋体" w:eastAsia="宋体" w:cs="宋体"/>
          <w:b/>
          <w:color w:val="auto"/>
          <w:spacing w:val="20"/>
          <w:kern w:val="0"/>
          <w:sz w:val="32"/>
          <w:szCs w:val="32"/>
          <w:highlight w:val="none"/>
        </w:rPr>
      </w:pPr>
      <w:r>
        <w:rPr>
          <w:rFonts w:hint="eastAsia" w:ascii="宋体" w:hAnsi="宋体" w:eastAsia="宋体" w:cs="宋体"/>
          <w:b/>
          <w:color w:val="auto"/>
          <w:sz w:val="32"/>
          <w:highlight w:val="none"/>
        </w:rPr>
        <w:t>项目名称：</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val="en-US" w:eastAsia="zh-CN"/>
        </w:rPr>
        <w:t xml:space="preserve"> </w:t>
      </w:r>
      <w:r>
        <w:rPr>
          <w:rFonts w:hint="eastAsia" w:ascii="宋体" w:hAnsi="宋体" w:eastAsia="宋体" w:cs="宋体"/>
          <w:b/>
          <w:color w:val="auto"/>
          <w:sz w:val="32"/>
          <w:highlight w:val="none"/>
          <w:u w:val="single"/>
        </w:rPr>
        <w:t xml:space="preserve">  </w:t>
      </w:r>
    </w:p>
    <w:p w14:paraId="37D9737D">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firstLine="1928" w:firstLineChars="600"/>
        <w:textAlignment w:val="auto"/>
        <w:rPr>
          <w:rFonts w:hint="eastAsia" w:ascii="宋体" w:hAnsi="宋体" w:eastAsia="宋体" w:cs="宋体"/>
          <w:b/>
          <w:color w:val="auto"/>
          <w:sz w:val="32"/>
          <w:highlight w:val="none"/>
          <w:u w:val="single"/>
        </w:rPr>
      </w:pPr>
      <w:r>
        <w:rPr>
          <w:rFonts w:hint="eastAsia" w:ascii="宋体" w:hAnsi="宋体" w:eastAsia="宋体" w:cs="宋体"/>
          <w:b/>
          <w:color w:val="auto"/>
          <w:sz w:val="32"/>
          <w:highlight w:val="none"/>
        </w:rPr>
        <w:t>项目编号：</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val="en-US" w:eastAsia="zh-CN"/>
        </w:rPr>
        <w:t xml:space="preserve"> </w:t>
      </w:r>
      <w:r>
        <w:rPr>
          <w:rFonts w:hint="eastAsia" w:ascii="宋体" w:hAnsi="宋体" w:eastAsia="宋体" w:cs="宋体"/>
          <w:b/>
          <w:color w:val="auto"/>
          <w:sz w:val="32"/>
          <w:highlight w:val="none"/>
          <w:u w:val="single"/>
        </w:rPr>
        <w:t xml:space="preserve">   </w:t>
      </w:r>
    </w:p>
    <w:p w14:paraId="28784C8E">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firstLine="1928" w:firstLineChars="600"/>
        <w:textAlignment w:val="auto"/>
        <w:rPr>
          <w:rFonts w:hint="eastAsia" w:ascii="宋体" w:hAnsi="宋体" w:eastAsia="宋体" w:cs="宋体"/>
          <w:b/>
          <w:color w:val="auto"/>
          <w:sz w:val="32"/>
          <w:highlight w:val="none"/>
          <w:u w:val="single"/>
        </w:rPr>
      </w:pPr>
      <w:r>
        <w:rPr>
          <w:rFonts w:hint="eastAsia" w:ascii="宋体" w:hAnsi="宋体" w:eastAsia="宋体" w:cs="宋体"/>
          <w:b/>
          <w:color w:val="auto"/>
          <w:sz w:val="32"/>
          <w:highlight w:val="none"/>
        </w:rPr>
        <w:t>供 应 商：</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val="en-US" w:eastAsia="zh-CN"/>
        </w:rPr>
        <w:t xml:space="preserve">  </w:t>
      </w:r>
      <w:r>
        <w:rPr>
          <w:rFonts w:hint="eastAsia" w:ascii="宋体" w:hAnsi="宋体" w:eastAsia="宋体" w:cs="宋体"/>
          <w:b/>
          <w:color w:val="auto"/>
          <w:sz w:val="32"/>
          <w:highlight w:val="none"/>
          <w:u w:val="single"/>
          <w:lang w:eastAsia="zh-CN"/>
        </w:rPr>
        <w:t>（</w:t>
      </w:r>
      <w:r>
        <w:rPr>
          <w:rFonts w:hint="eastAsia" w:ascii="宋体" w:hAnsi="宋体" w:eastAsia="宋体" w:cs="宋体"/>
          <w:b/>
          <w:color w:val="auto"/>
          <w:sz w:val="32"/>
          <w:highlight w:val="none"/>
          <w:u w:val="single"/>
        </w:rPr>
        <w:t>盖公章</w:t>
      </w:r>
      <w:r>
        <w:rPr>
          <w:rFonts w:hint="eastAsia" w:ascii="宋体" w:hAnsi="宋体" w:eastAsia="宋体" w:cs="宋体"/>
          <w:b/>
          <w:color w:val="auto"/>
          <w:sz w:val="32"/>
          <w:highlight w:val="none"/>
          <w:u w:val="single"/>
          <w:lang w:eastAsia="zh-CN"/>
        </w:rPr>
        <w:t>）</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val="en-US" w:eastAsia="zh-CN"/>
        </w:rPr>
        <w:t xml:space="preserve"> </w:t>
      </w:r>
      <w:r>
        <w:rPr>
          <w:rFonts w:hint="eastAsia" w:ascii="宋体" w:hAnsi="宋体" w:eastAsia="宋体" w:cs="宋体"/>
          <w:b/>
          <w:color w:val="auto"/>
          <w:sz w:val="32"/>
          <w:highlight w:val="none"/>
          <w:u w:val="single"/>
        </w:rPr>
        <w:t xml:space="preserve"> </w:t>
      </w:r>
    </w:p>
    <w:p w14:paraId="5A00A4F8">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firstLine="1928" w:firstLineChars="600"/>
        <w:textAlignment w:val="auto"/>
        <w:rPr>
          <w:rFonts w:hint="eastAsia" w:ascii="宋体" w:hAnsi="宋体" w:eastAsia="宋体" w:cs="宋体"/>
          <w:b/>
          <w:color w:val="auto"/>
          <w:sz w:val="32"/>
          <w:highlight w:val="none"/>
          <w:u w:val="single"/>
        </w:rPr>
      </w:pPr>
    </w:p>
    <w:p w14:paraId="34F1026D">
      <w:pPr>
        <w:spacing w:after="120" w:afterLines="50" w:line="500" w:lineRule="exact"/>
        <w:jc w:val="center"/>
        <w:rPr>
          <w:rFonts w:hint="eastAsia" w:ascii="宋体" w:hAnsi="宋体" w:eastAsia="宋体" w:cs="宋体"/>
          <w:b/>
          <w:color w:val="auto"/>
          <w:sz w:val="32"/>
          <w:highlight w:val="none"/>
        </w:rPr>
      </w:pP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val="en-US" w:eastAsia="zh-CN"/>
        </w:rPr>
        <w:t xml:space="preserve">   </w:t>
      </w:r>
      <w:r>
        <w:rPr>
          <w:rFonts w:hint="eastAsia" w:ascii="宋体" w:hAnsi="宋体" w:eastAsia="宋体" w:cs="宋体"/>
          <w:b/>
          <w:color w:val="auto"/>
          <w:sz w:val="32"/>
          <w:highlight w:val="none"/>
          <w:u w:val="single"/>
        </w:rPr>
        <w:t xml:space="preserve"> </w:t>
      </w:r>
      <w:bookmarkStart w:id="272" w:name="_Toc8037"/>
      <w:r>
        <w:rPr>
          <w:rFonts w:hint="eastAsia" w:ascii="宋体" w:hAnsi="宋体" w:eastAsia="宋体" w:cs="宋体"/>
          <w:b/>
          <w:color w:val="auto"/>
          <w:sz w:val="32"/>
          <w:highlight w:val="none"/>
        </w:rPr>
        <w:t>年</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val="en-US" w:eastAsia="zh-CN"/>
        </w:rPr>
        <w:t xml:space="preserve">  </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rPr>
        <w:t>月</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val="en-US" w:eastAsia="zh-CN"/>
        </w:rPr>
        <w:t xml:space="preserve">  </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rPr>
        <w:t>日</w:t>
      </w:r>
      <w:bookmarkEnd w:id="272"/>
    </w:p>
    <w:p w14:paraId="70265ED9">
      <w:pPr>
        <w:widowControl/>
        <w:jc w:val="left"/>
        <w:rPr>
          <w:rFonts w:hint="eastAsia" w:ascii="宋体" w:hAnsi="宋体" w:eastAsia="宋体" w:cs="宋体"/>
          <w:b/>
          <w:color w:val="auto"/>
          <w:sz w:val="28"/>
          <w:highlight w:val="none"/>
        </w:rPr>
      </w:pPr>
      <w:r>
        <w:rPr>
          <w:rFonts w:hint="eastAsia" w:ascii="宋体" w:hAnsi="宋体" w:eastAsia="宋体" w:cs="宋体"/>
          <w:b/>
          <w:color w:val="auto"/>
          <w:sz w:val="28"/>
          <w:highlight w:val="none"/>
        </w:rPr>
        <w:br w:type="page"/>
      </w:r>
    </w:p>
    <w:p w14:paraId="213F0FB1">
      <w:pPr>
        <w:spacing w:line="360" w:lineRule="auto"/>
        <w:jc w:val="center"/>
        <w:rPr>
          <w:rFonts w:hint="eastAsia" w:ascii="宋体" w:hAnsi="宋体" w:eastAsia="宋体" w:cs="宋体"/>
          <w:b w:val="0"/>
          <w:bCs/>
          <w:color w:val="auto"/>
          <w:sz w:val="24"/>
          <w:highlight w:val="none"/>
          <w:lang w:eastAsia="zh-CN"/>
        </w:rPr>
      </w:pPr>
      <w:bookmarkStart w:id="273" w:name="_Toc17986"/>
      <w:bookmarkStart w:id="274" w:name="_Toc28960"/>
      <w:bookmarkStart w:id="275" w:name="_Toc520983587"/>
      <w:bookmarkStart w:id="276" w:name="_Toc5881"/>
      <w:bookmarkStart w:id="277" w:name="_Toc26791"/>
      <w:bookmarkStart w:id="278" w:name="_Toc461056631"/>
      <w:bookmarkStart w:id="279" w:name="_Toc461053086"/>
      <w:bookmarkStart w:id="280" w:name="_Toc9708"/>
      <w:bookmarkStart w:id="281" w:name="_Toc32353"/>
      <w:r>
        <w:rPr>
          <w:rFonts w:hint="eastAsia" w:ascii="宋体" w:hAnsi="宋体" w:eastAsia="宋体" w:cs="宋体"/>
          <w:b/>
          <w:color w:val="auto"/>
          <w:sz w:val="24"/>
          <w:highlight w:val="none"/>
          <w:lang w:val="en-US" w:eastAsia="zh-CN"/>
        </w:rPr>
        <w:t>一、</w:t>
      </w:r>
      <w:bookmarkStart w:id="282" w:name="_Toc6441"/>
      <w:bookmarkStart w:id="283" w:name="_Toc6120"/>
      <w:r>
        <w:rPr>
          <w:rFonts w:hint="eastAsia" w:ascii="宋体" w:hAnsi="宋体" w:eastAsia="宋体" w:cs="宋体"/>
          <w:b/>
          <w:color w:val="auto"/>
          <w:sz w:val="24"/>
          <w:highlight w:val="none"/>
          <w:lang w:val="en-US" w:eastAsia="zh-CN"/>
        </w:rPr>
        <w:t>供应商基本情况</w:t>
      </w:r>
    </w:p>
    <w:p w14:paraId="03B0219A">
      <w:pPr>
        <w:spacing w:line="360" w:lineRule="auto"/>
        <w:jc w:val="center"/>
        <w:outlineLvl w:val="1"/>
        <w:rPr>
          <w:rFonts w:hint="eastAsia" w:ascii="宋体" w:hAnsi="宋体" w:eastAsia="宋体" w:cs="宋体"/>
          <w:b/>
          <w:color w:val="auto"/>
          <w:sz w:val="24"/>
          <w:highlight w:val="none"/>
        </w:rPr>
      </w:pPr>
      <w:r>
        <w:rPr>
          <w:rFonts w:hint="eastAsia" w:ascii="宋体" w:hAnsi="宋体" w:eastAsia="宋体" w:cs="宋体"/>
          <w:b w:val="0"/>
          <w:bCs/>
          <w:color w:val="auto"/>
          <w:sz w:val="24"/>
          <w:highlight w:val="none"/>
          <w:lang w:eastAsia="zh-CN"/>
        </w:rPr>
        <w:t>（</w:t>
      </w:r>
      <w:r>
        <w:rPr>
          <w:rFonts w:hint="eastAsia" w:ascii="宋体" w:hAnsi="宋体" w:eastAsia="宋体" w:cs="宋体"/>
          <w:b w:val="0"/>
          <w:bCs/>
          <w:color w:val="auto"/>
          <w:sz w:val="24"/>
          <w:highlight w:val="none"/>
          <w:lang w:val="en-US" w:eastAsia="zh-CN"/>
        </w:rPr>
        <w:t>营业执照，供应商可根据自身情况另行提供单位简介等相关材料</w:t>
      </w:r>
      <w:r>
        <w:rPr>
          <w:rFonts w:hint="eastAsia" w:ascii="宋体" w:hAnsi="宋体" w:eastAsia="宋体" w:cs="宋体"/>
          <w:b w:val="0"/>
          <w:bCs/>
          <w:color w:val="auto"/>
          <w:sz w:val="24"/>
          <w:highlight w:val="none"/>
          <w:lang w:eastAsia="zh-CN"/>
        </w:rPr>
        <w:t>）</w:t>
      </w:r>
    </w:p>
    <w:p w14:paraId="5F2DD436">
      <w:pPr>
        <w:spacing w:line="360" w:lineRule="auto"/>
        <w:jc w:val="center"/>
        <w:outlineLvl w:val="1"/>
        <w:rPr>
          <w:rFonts w:hint="eastAsia" w:ascii="宋体" w:hAnsi="宋体" w:eastAsia="宋体" w:cs="宋体"/>
          <w:b/>
          <w:color w:val="auto"/>
          <w:sz w:val="24"/>
          <w:highlight w:val="none"/>
        </w:rPr>
      </w:pPr>
    </w:p>
    <w:p w14:paraId="1D6DA5D4">
      <w:pPr>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p>
    <w:p w14:paraId="78D9CFF8">
      <w:pPr>
        <w:spacing w:line="360" w:lineRule="auto"/>
        <w:jc w:val="center"/>
        <w:outlineLvl w:val="1"/>
        <w:rPr>
          <w:rFonts w:hint="eastAsia" w:ascii="宋体" w:hAnsi="宋体" w:eastAsia="宋体" w:cs="宋体"/>
          <w:b/>
          <w:color w:val="auto"/>
          <w:sz w:val="24"/>
          <w:highlight w:val="none"/>
        </w:rPr>
      </w:pPr>
      <w:r>
        <w:rPr>
          <w:rFonts w:hint="eastAsia" w:ascii="宋体" w:hAnsi="宋体" w:eastAsia="宋体" w:cs="宋体"/>
          <w:b/>
          <w:color w:val="auto"/>
          <w:sz w:val="24"/>
          <w:highlight w:val="none"/>
        </w:rPr>
        <w:t>二、</w:t>
      </w:r>
      <w:bookmarkEnd w:id="282"/>
      <w:bookmarkEnd w:id="283"/>
      <w:r>
        <w:rPr>
          <w:rFonts w:hint="eastAsia" w:ascii="宋体" w:hAnsi="宋体" w:eastAsia="宋体" w:cs="宋体"/>
          <w:b/>
          <w:color w:val="auto"/>
          <w:sz w:val="24"/>
          <w:highlight w:val="none"/>
        </w:rPr>
        <w:t>磋商响应函</w:t>
      </w:r>
    </w:p>
    <w:p w14:paraId="09C83D10">
      <w:pPr>
        <w:pStyle w:val="15"/>
        <w:spacing w:line="360" w:lineRule="auto"/>
        <w:rPr>
          <w:rFonts w:hint="eastAsia" w:ascii="宋体" w:hAnsi="宋体" w:eastAsia="宋体" w:cs="宋体"/>
          <w:color w:val="auto"/>
          <w:sz w:val="24"/>
          <w:highlight w:val="none"/>
        </w:rPr>
      </w:pPr>
    </w:p>
    <w:p w14:paraId="0517CCDB">
      <w:pPr>
        <w:pStyle w:val="15"/>
        <w:spacing w:line="360" w:lineRule="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采购人</w:t>
      </w:r>
      <w:r>
        <w:rPr>
          <w:rFonts w:hint="eastAsia" w:ascii="宋体" w:hAnsi="宋体" w:eastAsia="宋体" w:cs="宋体"/>
          <w:color w:val="auto"/>
          <w:sz w:val="24"/>
          <w:highlight w:val="none"/>
          <w:u w:val="single"/>
          <w:lang w:val="en-US" w:eastAsia="zh-CN"/>
        </w:rPr>
        <w:t>名称</w:t>
      </w:r>
    </w:p>
    <w:p w14:paraId="452049C3">
      <w:pPr>
        <w:spacing w:line="360" w:lineRule="auto"/>
        <w:ind w:firstLine="480" w:firstLineChars="200"/>
        <w:rPr>
          <w:rFonts w:hint="eastAsia" w:ascii="宋体" w:hAnsi="宋体" w:eastAsia="宋体" w:cs="宋体"/>
          <w:dstrike/>
          <w:color w:val="auto"/>
          <w:sz w:val="24"/>
          <w:highlight w:val="none"/>
        </w:rPr>
      </w:pPr>
      <w:r>
        <w:rPr>
          <w:rFonts w:hint="eastAsia" w:ascii="宋体" w:hAnsi="宋体" w:eastAsia="宋体" w:cs="宋体"/>
          <w:color w:val="auto"/>
          <w:sz w:val="24"/>
          <w:highlight w:val="none"/>
        </w:rPr>
        <w:t>根据贵方的</w:t>
      </w:r>
      <w:r>
        <w:rPr>
          <w:rFonts w:hint="eastAsia" w:ascii="宋体" w:hAnsi="宋体" w:eastAsia="宋体" w:cs="宋体"/>
          <w:color w:val="auto"/>
          <w:sz w:val="24"/>
          <w:highlight w:val="none"/>
          <w:lang w:eastAsia="zh-CN"/>
        </w:rPr>
        <w:t>采购邀请</w:t>
      </w:r>
      <w:r>
        <w:rPr>
          <w:rFonts w:hint="eastAsia" w:ascii="宋体" w:hAnsi="宋体" w:eastAsia="宋体" w:cs="宋体"/>
          <w:color w:val="auto"/>
          <w:sz w:val="24"/>
          <w:highlight w:val="none"/>
        </w:rPr>
        <w:t>和磋商</w:t>
      </w:r>
      <w:r>
        <w:rPr>
          <w:rFonts w:hint="eastAsia" w:ascii="宋体" w:hAnsi="宋体" w:eastAsia="宋体" w:cs="宋体"/>
          <w:color w:val="auto"/>
          <w:sz w:val="24"/>
          <w:highlight w:val="none"/>
          <w:lang w:val="en-US" w:eastAsia="zh-CN"/>
        </w:rPr>
        <w:t>文件</w:t>
      </w:r>
      <w:r>
        <w:rPr>
          <w:rFonts w:hint="eastAsia" w:ascii="宋体" w:hAnsi="宋体" w:eastAsia="宋体" w:cs="宋体"/>
          <w:color w:val="auto"/>
          <w:sz w:val="24"/>
          <w:highlight w:val="none"/>
        </w:rPr>
        <w:t>，我方兹宣布同意如下：</w:t>
      </w:r>
    </w:p>
    <w:p w14:paraId="30CC450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szCs w:val="24"/>
          <w:highlight w:val="none"/>
        </w:rPr>
        <w:t>我方根据磋商文件的规定，严格履行合同的责任和义务,并保证于买方要求的日期内完成，并通过买方验收。</w:t>
      </w:r>
    </w:p>
    <w:p w14:paraId="6604F8F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2.我方已详细审核全部磋商文件，包括磋商文件附件及更正公告（如有），我方正式认可并遵守本次磋商文件，并对磋商文件各项条款、规定及要求均无异议。</w:t>
      </w:r>
    </w:p>
    <w:p w14:paraId="781F7C9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3.我方同意从磋商文件规定的磋商日期起遵循本磋商文件，并在磋商文件规定的磋商有效期之前均具有约束力。</w:t>
      </w:r>
    </w:p>
    <w:p w14:paraId="419FAF6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4.我方声明响应文件所提供的一切资料均真实无误、及时、有效，企业运营正常。由于我方提供资料不实而造成的责任和后果由我方承担。我方同意按照贵方提出的要求，提供与磋商有关的任何证据、数据或资料。</w:t>
      </w:r>
    </w:p>
    <w:p w14:paraId="77C93BA2">
      <w:pPr>
        <w:spacing w:line="360" w:lineRule="auto"/>
        <w:ind w:firstLine="480" w:firstLineChars="200"/>
        <w:rPr>
          <w:rFonts w:hint="eastAsia" w:ascii="宋体" w:hAnsi="宋体" w:eastAsia="宋体" w:cs="宋体"/>
          <w:color w:val="auto"/>
          <w:sz w:val="24"/>
          <w:highlight w:val="none"/>
        </w:rPr>
      </w:pPr>
    </w:p>
    <w:p w14:paraId="5CCE0FA0">
      <w:pPr>
        <w:spacing w:line="360" w:lineRule="auto"/>
        <w:ind w:firstLine="4800" w:firstLineChars="2000"/>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供应商盖章：</w:t>
      </w:r>
      <w:r>
        <w:rPr>
          <w:rFonts w:hint="eastAsia" w:ascii="宋体" w:hAnsi="宋体" w:eastAsia="宋体" w:cs="宋体"/>
          <w:color w:val="auto"/>
          <w:sz w:val="24"/>
          <w:highlight w:val="none"/>
          <w:u w:val="single"/>
        </w:rPr>
        <w:t xml:space="preserve">             </w:t>
      </w:r>
    </w:p>
    <w:p w14:paraId="49B7EDE0">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373B8060">
      <w:pPr>
        <w:spacing w:line="360" w:lineRule="auto"/>
        <w:ind w:firstLine="4800" w:firstLineChars="2000"/>
        <w:rPr>
          <w:rFonts w:hint="eastAsia" w:ascii="宋体" w:hAnsi="宋体" w:eastAsia="宋体" w:cs="宋体"/>
          <w:color w:val="auto"/>
          <w:sz w:val="24"/>
          <w:highlight w:val="none"/>
          <w:u w:val="single"/>
        </w:rPr>
      </w:pPr>
    </w:p>
    <w:p w14:paraId="4C6C0C68">
      <w:pPr>
        <w:spacing w:line="360" w:lineRule="auto"/>
        <w:jc w:val="center"/>
        <w:outlineLvl w:val="1"/>
        <w:rPr>
          <w:rFonts w:hint="eastAsia" w:ascii="宋体" w:hAnsi="宋体" w:eastAsia="宋体" w:cs="宋体"/>
          <w:b/>
          <w:color w:val="auto"/>
          <w:sz w:val="24"/>
          <w:highlight w:val="none"/>
        </w:rPr>
      </w:pPr>
      <w:r>
        <w:rPr>
          <w:rFonts w:hint="eastAsia" w:ascii="宋体" w:hAnsi="宋体" w:eastAsia="宋体" w:cs="宋体"/>
          <w:color w:val="auto"/>
          <w:sz w:val="24"/>
          <w:highlight w:val="none"/>
          <w:u w:val="single"/>
        </w:rPr>
        <w:br w:type="page"/>
      </w:r>
      <w:bookmarkStart w:id="284" w:name="_Toc18881"/>
      <w:r>
        <w:rPr>
          <w:rFonts w:hint="eastAsia" w:ascii="宋体" w:hAnsi="宋体" w:eastAsia="宋体" w:cs="宋体"/>
          <w:b/>
          <w:color w:val="auto"/>
          <w:sz w:val="24"/>
          <w:highlight w:val="none"/>
          <w:lang w:val="en-US" w:eastAsia="zh-CN"/>
        </w:rPr>
        <w:t>三</w:t>
      </w:r>
      <w:r>
        <w:rPr>
          <w:rFonts w:hint="eastAsia" w:ascii="宋体" w:hAnsi="宋体" w:eastAsia="宋体" w:cs="宋体"/>
          <w:b/>
          <w:color w:val="auto"/>
          <w:sz w:val="24"/>
          <w:highlight w:val="none"/>
        </w:rPr>
        <w:t>、授权书</w:t>
      </w:r>
    </w:p>
    <w:p w14:paraId="7698D85E">
      <w:pPr>
        <w:spacing w:line="360" w:lineRule="auto"/>
        <w:jc w:val="center"/>
        <w:rPr>
          <w:rFonts w:hint="eastAsia" w:ascii="宋体" w:hAnsi="宋体" w:eastAsia="宋体" w:cs="宋体"/>
          <w:b/>
          <w:color w:val="auto"/>
          <w:sz w:val="24"/>
          <w:highlight w:val="none"/>
        </w:rPr>
      </w:pPr>
    </w:p>
    <w:p w14:paraId="3FF8B02D">
      <w:pPr>
        <w:pStyle w:val="14"/>
        <w:snapToGrid w:val="0"/>
        <w:spacing w:line="360" w:lineRule="auto"/>
        <w:ind w:firstLine="480" w:firstLineChars="200"/>
        <w:jc w:val="both"/>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本授权书声明：</w:t>
      </w:r>
      <w:r>
        <w:rPr>
          <w:rFonts w:hint="eastAsia" w:ascii="宋体" w:hAnsi="宋体" w:eastAsia="宋体" w:cs="宋体"/>
          <w:color w:val="auto"/>
          <w:sz w:val="24"/>
          <w:szCs w:val="28"/>
          <w:highlight w:val="none"/>
          <w:u w:val="single"/>
        </w:rPr>
        <w:t xml:space="preserve">           </w:t>
      </w:r>
      <w:r>
        <w:rPr>
          <w:rFonts w:hint="eastAsia" w:ascii="宋体" w:hAnsi="宋体" w:eastAsia="宋体" w:cs="宋体"/>
          <w:color w:val="auto"/>
          <w:sz w:val="24"/>
          <w:szCs w:val="28"/>
          <w:highlight w:val="none"/>
        </w:rPr>
        <w:t>（供应商名称）授权</w:t>
      </w:r>
      <w:r>
        <w:rPr>
          <w:rFonts w:hint="eastAsia" w:ascii="宋体" w:hAnsi="宋体" w:eastAsia="宋体" w:cs="宋体"/>
          <w:color w:val="auto"/>
          <w:sz w:val="24"/>
          <w:szCs w:val="28"/>
          <w:highlight w:val="none"/>
          <w:u w:val="single"/>
        </w:rPr>
        <w:t xml:space="preserve">       </w:t>
      </w:r>
      <w:r>
        <w:rPr>
          <w:rFonts w:hint="eastAsia" w:ascii="宋体" w:hAnsi="宋体" w:eastAsia="宋体" w:cs="宋体"/>
          <w:color w:val="auto"/>
          <w:sz w:val="24"/>
          <w:szCs w:val="28"/>
          <w:highlight w:val="none"/>
        </w:rPr>
        <w:t>（供应商授权代表姓名）代表我方参加本项目</w:t>
      </w:r>
      <w:r>
        <w:rPr>
          <w:rFonts w:hint="eastAsia" w:ascii="宋体" w:hAnsi="宋体" w:eastAsia="宋体" w:cs="宋体"/>
          <w:bCs/>
          <w:color w:val="auto"/>
          <w:sz w:val="24"/>
          <w:szCs w:val="28"/>
          <w:highlight w:val="none"/>
        </w:rPr>
        <w:t>采购活动</w:t>
      </w:r>
      <w:r>
        <w:rPr>
          <w:rFonts w:hint="eastAsia" w:ascii="宋体" w:hAnsi="宋体" w:eastAsia="宋体" w:cs="宋体"/>
          <w:color w:val="auto"/>
          <w:sz w:val="24"/>
          <w:szCs w:val="28"/>
          <w:highlight w:val="none"/>
        </w:rPr>
        <w:t>，全权代表我方处理磋商过程的一切事宜，包括但不限于：提交响应文件、参与磋商、签约等。供应商授权代表在采购活动过程中所签署的一切文件和处理与之有关的一切事务，本公司均予以认可并对此承担责任。供应商授权代表无转委托权。特此授权。</w:t>
      </w:r>
    </w:p>
    <w:p w14:paraId="6B7F424F">
      <w:pPr>
        <w:pStyle w:val="14"/>
        <w:snapToGrid w:val="0"/>
        <w:spacing w:line="360" w:lineRule="auto"/>
        <w:ind w:firstLine="480" w:firstLineChars="200"/>
        <w:jc w:val="both"/>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本授权书自出具之日起生效。</w:t>
      </w:r>
    </w:p>
    <w:p w14:paraId="5D10620C">
      <w:pPr>
        <w:pStyle w:val="14"/>
        <w:snapToGrid w:val="0"/>
        <w:spacing w:line="360" w:lineRule="auto"/>
        <w:ind w:firstLine="480" w:firstLineChars="200"/>
        <w:jc w:val="left"/>
        <w:rPr>
          <w:rFonts w:hint="eastAsia" w:ascii="宋体" w:hAnsi="宋体" w:eastAsia="宋体" w:cs="宋体"/>
          <w:color w:val="auto"/>
          <w:sz w:val="24"/>
          <w:szCs w:val="28"/>
          <w:highlight w:val="none"/>
        </w:rPr>
      </w:pPr>
    </w:p>
    <w:p w14:paraId="2EE96B6A">
      <w:pPr>
        <w:pStyle w:val="14"/>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szCs w:val="28"/>
          <w:highlight w:val="none"/>
        </w:rPr>
        <w:t>授权代表</w:t>
      </w:r>
      <w:r>
        <w:rPr>
          <w:rFonts w:hint="eastAsia" w:ascii="宋体" w:hAnsi="宋体" w:eastAsia="宋体" w:cs="宋体"/>
          <w:color w:val="auto"/>
          <w:sz w:val="24"/>
          <w:highlight w:val="none"/>
        </w:rPr>
        <w:t>身份证明扫描件：</w:t>
      </w:r>
    </w:p>
    <w:p w14:paraId="4E09B8A6">
      <w:pPr>
        <w:pStyle w:val="14"/>
        <w:snapToGrid w:val="0"/>
        <w:spacing w:line="360" w:lineRule="auto"/>
        <w:ind w:firstLine="480" w:firstLineChars="200"/>
        <w:jc w:val="left"/>
        <w:rPr>
          <w:rFonts w:hint="eastAsia" w:ascii="宋体" w:hAnsi="宋体" w:eastAsia="宋体" w:cs="宋体"/>
          <w:color w:val="auto"/>
          <w:sz w:val="24"/>
          <w:highlight w:val="none"/>
        </w:rPr>
      </w:pPr>
    </w:p>
    <w:p w14:paraId="62363B75">
      <w:pPr>
        <w:pStyle w:val="14"/>
        <w:snapToGrid w:val="0"/>
        <w:spacing w:line="360" w:lineRule="auto"/>
        <w:ind w:firstLine="480" w:firstLineChars="200"/>
        <w:jc w:val="left"/>
        <w:rPr>
          <w:rFonts w:hint="eastAsia" w:ascii="宋体" w:hAnsi="宋体" w:eastAsia="宋体" w:cs="宋体"/>
          <w:color w:val="auto"/>
          <w:sz w:val="24"/>
          <w:highlight w:val="none"/>
        </w:rPr>
      </w:pPr>
    </w:p>
    <w:p w14:paraId="4C2DAEDA">
      <w:pPr>
        <w:pStyle w:val="14"/>
        <w:snapToGrid w:val="0"/>
        <w:spacing w:line="360" w:lineRule="auto"/>
        <w:ind w:firstLine="480" w:firstLineChars="200"/>
        <w:jc w:val="left"/>
        <w:rPr>
          <w:rFonts w:hint="eastAsia" w:ascii="宋体" w:hAnsi="宋体" w:eastAsia="宋体" w:cs="宋体"/>
          <w:color w:val="auto"/>
          <w:sz w:val="24"/>
          <w:highlight w:val="none"/>
        </w:rPr>
      </w:pPr>
    </w:p>
    <w:p w14:paraId="1BDF9157">
      <w:pPr>
        <w:pStyle w:val="14"/>
        <w:snapToGrid w:val="0"/>
        <w:spacing w:line="360" w:lineRule="auto"/>
        <w:ind w:firstLine="480" w:firstLineChars="200"/>
        <w:jc w:val="left"/>
        <w:rPr>
          <w:rFonts w:hint="eastAsia" w:ascii="宋体" w:hAnsi="宋体" w:eastAsia="宋体" w:cs="宋体"/>
          <w:color w:val="auto"/>
          <w:sz w:val="24"/>
          <w:highlight w:val="none"/>
        </w:rPr>
      </w:pPr>
    </w:p>
    <w:p w14:paraId="7C5473E3">
      <w:pPr>
        <w:pStyle w:val="14"/>
        <w:snapToGrid w:val="0"/>
        <w:spacing w:line="360" w:lineRule="auto"/>
        <w:ind w:firstLine="480" w:firstLineChars="200"/>
        <w:jc w:val="left"/>
        <w:rPr>
          <w:rFonts w:hint="eastAsia" w:ascii="宋体" w:hAnsi="宋体" w:eastAsia="宋体" w:cs="宋体"/>
          <w:color w:val="auto"/>
          <w:sz w:val="24"/>
          <w:szCs w:val="28"/>
          <w:highlight w:val="none"/>
          <w:u w:val="single"/>
        </w:rPr>
      </w:pPr>
      <w:r>
        <w:rPr>
          <w:rFonts w:hint="eastAsia" w:ascii="宋体" w:hAnsi="宋体" w:eastAsia="宋体" w:cs="宋体"/>
          <w:color w:val="auto"/>
          <w:sz w:val="24"/>
          <w:szCs w:val="28"/>
          <w:highlight w:val="none"/>
        </w:rPr>
        <w:t>授权代表联系方式：</w:t>
      </w:r>
      <w:r>
        <w:rPr>
          <w:rFonts w:hint="eastAsia" w:ascii="宋体" w:hAnsi="宋体" w:eastAsia="宋体" w:cs="宋体"/>
          <w:color w:val="auto"/>
          <w:sz w:val="24"/>
          <w:szCs w:val="28"/>
          <w:highlight w:val="none"/>
          <w:u w:val="single"/>
        </w:rPr>
        <w:t xml:space="preserve">          </w:t>
      </w:r>
      <w:r>
        <w:rPr>
          <w:rFonts w:hint="eastAsia" w:ascii="宋体" w:hAnsi="宋体" w:eastAsia="宋体" w:cs="宋体"/>
          <w:color w:val="auto"/>
          <w:sz w:val="24"/>
          <w:szCs w:val="28"/>
          <w:highlight w:val="none"/>
          <w:u w:val="none"/>
        </w:rPr>
        <w:t>（请填写手机号码）</w:t>
      </w:r>
    </w:p>
    <w:p w14:paraId="627B1DE2">
      <w:pPr>
        <w:pStyle w:val="14"/>
        <w:snapToGrid w:val="0"/>
        <w:spacing w:line="360" w:lineRule="auto"/>
        <w:ind w:firstLine="480" w:firstLineChars="200"/>
        <w:jc w:val="left"/>
        <w:rPr>
          <w:rFonts w:hint="eastAsia" w:ascii="宋体" w:hAnsi="宋体" w:eastAsia="宋体" w:cs="宋体"/>
          <w:color w:val="auto"/>
          <w:sz w:val="24"/>
          <w:szCs w:val="28"/>
          <w:highlight w:val="none"/>
        </w:rPr>
      </w:pPr>
    </w:p>
    <w:p w14:paraId="72E10ED8">
      <w:pPr>
        <w:spacing w:line="360" w:lineRule="auto"/>
        <w:ind w:firstLine="480" w:firstLineChars="200"/>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特此声明。</w:t>
      </w:r>
    </w:p>
    <w:p w14:paraId="61A23961">
      <w:pPr>
        <w:spacing w:line="360" w:lineRule="auto"/>
        <w:rPr>
          <w:rFonts w:hint="eastAsia" w:ascii="宋体" w:hAnsi="宋体" w:eastAsia="宋体" w:cs="宋体"/>
          <w:color w:val="auto"/>
          <w:sz w:val="24"/>
          <w:szCs w:val="28"/>
          <w:highlight w:val="none"/>
        </w:rPr>
      </w:pPr>
    </w:p>
    <w:p w14:paraId="3FA86276">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供应商盖章：</w:t>
      </w:r>
      <w:r>
        <w:rPr>
          <w:rFonts w:hint="eastAsia" w:ascii="宋体" w:hAnsi="宋体" w:eastAsia="宋体" w:cs="宋体"/>
          <w:color w:val="auto"/>
          <w:sz w:val="24"/>
          <w:highlight w:val="none"/>
          <w:u w:val="single"/>
        </w:rPr>
        <w:t xml:space="preserve">             </w:t>
      </w:r>
    </w:p>
    <w:p w14:paraId="510DAE0C">
      <w:pPr>
        <w:tabs>
          <w:tab w:val="left" w:pos="630"/>
        </w:tabs>
        <w:spacing w:line="360" w:lineRule="auto"/>
        <w:ind w:firstLine="4800" w:firstLineChars="2000"/>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41890204">
      <w:pPr>
        <w:spacing w:line="360" w:lineRule="auto"/>
        <w:rPr>
          <w:rFonts w:hint="eastAsia" w:ascii="宋体" w:hAnsi="宋体" w:eastAsia="宋体" w:cs="宋体"/>
          <w:color w:val="auto"/>
          <w:sz w:val="24"/>
          <w:szCs w:val="28"/>
          <w:highlight w:val="none"/>
        </w:rPr>
      </w:pPr>
    </w:p>
    <w:p w14:paraId="2B2AAD24">
      <w:pPr>
        <w:spacing w:line="360" w:lineRule="auto"/>
        <w:rPr>
          <w:rFonts w:hint="eastAsia" w:ascii="宋体" w:hAnsi="宋体" w:eastAsia="宋体" w:cs="宋体"/>
          <w:color w:val="auto"/>
          <w:sz w:val="24"/>
          <w:szCs w:val="28"/>
          <w:highlight w:val="none"/>
        </w:rPr>
      </w:pPr>
    </w:p>
    <w:p w14:paraId="132B2074">
      <w:pPr>
        <w:pStyle w:val="14"/>
        <w:snapToGrid w:val="0"/>
        <w:spacing w:line="360" w:lineRule="auto"/>
        <w:jc w:val="left"/>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注：</w:t>
      </w:r>
    </w:p>
    <w:p w14:paraId="224E2BD9">
      <w:pPr>
        <w:pStyle w:val="14"/>
        <w:snapToGrid w:val="0"/>
        <w:spacing w:line="360" w:lineRule="auto"/>
        <w:jc w:val="left"/>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1.本项目只允许有唯一的供应商授权代表，提供身份证明扫描件；</w:t>
      </w:r>
    </w:p>
    <w:p w14:paraId="63633FFF">
      <w:pPr>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2.法定代表人参加磋商的无需提供授权书，仅提供身份证明扫描件。</w:t>
      </w:r>
    </w:p>
    <w:p w14:paraId="4C663993">
      <w:pPr>
        <w:spacing w:line="360" w:lineRule="auto"/>
        <w:ind w:firstLine="435"/>
        <w:rPr>
          <w:rFonts w:hint="eastAsia" w:ascii="宋体" w:hAnsi="宋体" w:eastAsia="宋体" w:cs="宋体"/>
          <w:color w:val="auto"/>
          <w:sz w:val="24"/>
          <w:highlight w:val="none"/>
        </w:rPr>
      </w:pPr>
    </w:p>
    <w:p w14:paraId="61D59901">
      <w:pPr>
        <w:rPr>
          <w:rFonts w:hint="eastAsia" w:ascii="宋体" w:hAnsi="宋体" w:eastAsia="宋体" w:cs="宋体"/>
          <w:color w:val="auto"/>
          <w:sz w:val="24"/>
          <w:highlight w:val="none"/>
          <w:u w:val="single"/>
        </w:rPr>
      </w:pPr>
    </w:p>
    <w:p w14:paraId="1316A6C0">
      <w:pPr>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br w:type="page"/>
      </w:r>
    </w:p>
    <w:p w14:paraId="65E83FD7">
      <w:pPr>
        <w:spacing w:line="360" w:lineRule="auto"/>
        <w:jc w:val="center"/>
        <w:outlineLvl w:val="1"/>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四、</w:t>
      </w:r>
      <w:bookmarkEnd w:id="284"/>
      <w:r>
        <w:rPr>
          <w:rFonts w:hint="eastAsia" w:ascii="宋体" w:hAnsi="宋体" w:eastAsia="宋体" w:cs="宋体"/>
          <w:b/>
          <w:color w:val="auto"/>
          <w:sz w:val="24"/>
          <w:highlight w:val="none"/>
        </w:rPr>
        <w:t>供应商资格声明书</w:t>
      </w:r>
    </w:p>
    <w:p w14:paraId="7E352D92">
      <w:pPr>
        <w:pStyle w:val="15"/>
        <w:spacing w:line="360" w:lineRule="auto"/>
        <w:rPr>
          <w:rFonts w:hint="eastAsia" w:ascii="宋体" w:hAnsi="宋体" w:eastAsia="宋体" w:cs="宋体"/>
          <w:color w:val="auto"/>
          <w:sz w:val="24"/>
          <w:highlight w:val="none"/>
        </w:rPr>
      </w:pPr>
    </w:p>
    <w:p w14:paraId="7E9AB109">
      <w:pPr>
        <w:pStyle w:val="15"/>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采购人</w:t>
      </w:r>
      <w:r>
        <w:rPr>
          <w:rFonts w:hint="eastAsia" w:ascii="宋体" w:hAnsi="宋体" w:eastAsia="宋体" w:cs="宋体"/>
          <w:color w:val="auto"/>
          <w:sz w:val="24"/>
          <w:highlight w:val="none"/>
          <w:u w:val="single"/>
          <w:lang w:val="en-US" w:eastAsia="zh-CN"/>
        </w:rPr>
        <w:t>名称</w:t>
      </w:r>
    </w:p>
    <w:p w14:paraId="192710C7">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在参与本次项目磋商中，我单位承诺：</w:t>
      </w:r>
    </w:p>
    <w:p w14:paraId="7D634E46">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（一）具有良好的商业信誉和健全的财务会计制度；</w:t>
      </w:r>
    </w:p>
    <w:p w14:paraId="324AB8CF">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（二）具有履行合同所必需的设备和专业技术能力；</w:t>
      </w:r>
    </w:p>
    <w:p w14:paraId="481C50D5">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（三）有依法缴纳税收和社会保障资金的良好记录；</w:t>
      </w:r>
    </w:p>
    <w:p w14:paraId="135F2E2C">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350EF52">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（五）我单位不存在为采购项目提供整体设计、规范编制或者项目管理、监理、检测等服务后，再参加该采购项目的其他采购活动的情形（单一来源采购项目除外）；</w:t>
      </w:r>
    </w:p>
    <w:p w14:paraId="2193CC28">
      <w:pPr>
        <w:widowControl/>
        <w:spacing w:line="360" w:lineRule="auto"/>
        <w:ind w:firstLine="480" w:firstLineChars="20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（六）与我单位存在单位负责人为同一人或者存在直接控股、管理关系的其他法人单位信息如下（如有，不论其是否参加同一合同项下的政府采购活动均须填写）：</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4"/>
        <w:gridCol w:w="4501"/>
        <w:gridCol w:w="2681"/>
      </w:tblGrid>
      <w:tr w14:paraId="3FE31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934" w:type="dxa"/>
            <w:vAlign w:val="center"/>
          </w:tcPr>
          <w:p w14:paraId="57DABCA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序号</w:t>
            </w:r>
          </w:p>
        </w:tc>
        <w:tc>
          <w:tcPr>
            <w:tcW w:w="4501" w:type="dxa"/>
            <w:vAlign w:val="center"/>
          </w:tcPr>
          <w:p w14:paraId="584A8DB4">
            <w:pPr>
              <w:pStyle w:val="11"/>
              <w:keepNext w:val="0"/>
              <w:keepLines w:val="0"/>
              <w:pageBreakBefore w:val="0"/>
              <w:kinsoku/>
              <w:wordWrap/>
              <w:overflowPunct/>
              <w:topLinePunct w:val="0"/>
              <w:autoSpaceDE/>
              <w:autoSpaceDN/>
              <w:bidi w:val="0"/>
              <w:adjustRightInd/>
              <w:snapToGrid/>
              <w:spacing w:after="0" w:line="400" w:lineRule="exact"/>
              <w:jc w:val="center"/>
              <w:textAlignment w:val="auto"/>
              <w:rPr>
                <w:rFonts w:hint="eastAsia" w:ascii="宋体" w:hAnsi="宋体" w:eastAsia="宋体" w:cs="宋体"/>
                <w:color w:val="auto"/>
                <w:kern w:val="0"/>
                <w:sz w:val="24"/>
                <w:highlight w:val="none"/>
                <w:lang w:val="en-US" w:bidi="ar"/>
              </w:rPr>
            </w:pPr>
            <w:r>
              <w:rPr>
                <w:rFonts w:hint="eastAsia" w:ascii="宋体" w:hAnsi="宋体" w:eastAsia="宋体" w:cs="宋体"/>
                <w:color w:val="auto"/>
                <w:kern w:val="0"/>
                <w:sz w:val="24"/>
                <w:highlight w:val="none"/>
                <w:lang w:val="en-US" w:bidi="ar"/>
              </w:rPr>
              <w:t>单位名称</w:t>
            </w:r>
          </w:p>
        </w:tc>
        <w:tc>
          <w:tcPr>
            <w:tcW w:w="2681" w:type="dxa"/>
            <w:vAlign w:val="center"/>
          </w:tcPr>
          <w:p w14:paraId="56F466BA">
            <w:pPr>
              <w:pStyle w:val="11"/>
              <w:keepNext w:val="0"/>
              <w:keepLines w:val="0"/>
              <w:pageBreakBefore w:val="0"/>
              <w:kinsoku/>
              <w:wordWrap/>
              <w:overflowPunct/>
              <w:topLinePunct w:val="0"/>
              <w:autoSpaceDE/>
              <w:autoSpaceDN/>
              <w:bidi w:val="0"/>
              <w:adjustRightInd/>
              <w:snapToGrid/>
              <w:spacing w:after="0" w:line="400" w:lineRule="exact"/>
              <w:jc w:val="center"/>
              <w:textAlignment w:val="auto"/>
              <w:rPr>
                <w:rFonts w:hint="eastAsia" w:ascii="宋体" w:hAnsi="宋体" w:eastAsia="宋体" w:cs="宋体"/>
                <w:color w:val="auto"/>
                <w:kern w:val="0"/>
                <w:sz w:val="24"/>
                <w:highlight w:val="none"/>
                <w:lang w:val="en-US" w:bidi="ar"/>
              </w:rPr>
            </w:pPr>
            <w:r>
              <w:rPr>
                <w:rFonts w:hint="eastAsia" w:ascii="宋体" w:hAnsi="宋体" w:eastAsia="宋体" w:cs="宋体"/>
                <w:color w:val="auto"/>
                <w:kern w:val="0"/>
                <w:sz w:val="24"/>
                <w:highlight w:val="none"/>
                <w:lang w:val="en-US" w:bidi="ar"/>
              </w:rPr>
              <w:t>相互关系</w:t>
            </w:r>
          </w:p>
        </w:tc>
      </w:tr>
      <w:tr w14:paraId="531BC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934" w:type="dxa"/>
            <w:vAlign w:val="center"/>
          </w:tcPr>
          <w:p w14:paraId="24C4B851">
            <w:pPr>
              <w:pStyle w:val="11"/>
              <w:keepNext w:val="0"/>
              <w:keepLines w:val="0"/>
              <w:pageBreakBefore w:val="0"/>
              <w:kinsoku/>
              <w:wordWrap/>
              <w:overflowPunct/>
              <w:topLinePunct w:val="0"/>
              <w:autoSpaceDE/>
              <w:autoSpaceDN/>
              <w:bidi w:val="0"/>
              <w:adjustRightInd/>
              <w:snapToGrid/>
              <w:spacing w:after="0" w:line="400" w:lineRule="exact"/>
              <w:jc w:val="center"/>
              <w:textAlignment w:val="auto"/>
              <w:rPr>
                <w:rFonts w:hint="eastAsia" w:ascii="宋体" w:hAnsi="宋体" w:eastAsia="宋体" w:cs="宋体"/>
                <w:color w:val="auto"/>
                <w:kern w:val="0"/>
                <w:sz w:val="24"/>
                <w:highlight w:val="none"/>
                <w:lang w:val="en-US" w:bidi="ar"/>
              </w:rPr>
            </w:pPr>
            <w:r>
              <w:rPr>
                <w:rFonts w:hint="eastAsia" w:ascii="宋体" w:hAnsi="宋体" w:eastAsia="宋体" w:cs="宋体"/>
                <w:color w:val="auto"/>
                <w:kern w:val="0"/>
                <w:sz w:val="24"/>
                <w:highlight w:val="none"/>
                <w:lang w:val="en-US" w:bidi="ar"/>
              </w:rPr>
              <w:t>1</w:t>
            </w:r>
          </w:p>
        </w:tc>
        <w:tc>
          <w:tcPr>
            <w:tcW w:w="4501" w:type="dxa"/>
            <w:vAlign w:val="center"/>
          </w:tcPr>
          <w:p w14:paraId="134AC33C">
            <w:pPr>
              <w:pStyle w:val="11"/>
              <w:keepNext w:val="0"/>
              <w:keepLines w:val="0"/>
              <w:pageBreakBefore w:val="0"/>
              <w:kinsoku/>
              <w:wordWrap/>
              <w:overflowPunct/>
              <w:topLinePunct w:val="0"/>
              <w:autoSpaceDE/>
              <w:autoSpaceDN/>
              <w:bidi w:val="0"/>
              <w:adjustRightInd/>
              <w:snapToGrid/>
              <w:spacing w:after="0" w:line="400" w:lineRule="exact"/>
              <w:jc w:val="center"/>
              <w:textAlignment w:val="auto"/>
              <w:rPr>
                <w:rFonts w:hint="eastAsia" w:ascii="宋体" w:hAnsi="宋体" w:eastAsia="宋体" w:cs="宋体"/>
                <w:color w:val="auto"/>
                <w:kern w:val="0"/>
                <w:sz w:val="24"/>
                <w:highlight w:val="none"/>
                <w:lang w:val="en-US" w:bidi="ar"/>
              </w:rPr>
            </w:pPr>
          </w:p>
        </w:tc>
        <w:tc>
          <w:tcPr>
            <w:tcW w:w="2681" w:type="dxa"/>
            <w:vAlign w:val="center"/>
          </w:tcPr>
          <w:p w14:paraId="716E0141">
            <w:pPr>
              <w:pStyle w:val="11"/>
              <w:keepNext w:val="0"/>
              <w:keepLines w:val="0"/>
              <w:pageBreakBefore w:val="0"/>
              <w:kinsoku/>
              <w:wordWrap/>
              <w:overflowPunct/>
              <w:topLinePunct w:val="0"/>
              <w:autoSpaceDE/>
              <w:autoSpaceDN/>
              <w:bidi w:val="0"/>
              <w:adjustRightInd/>
              <w:snapToGrid/>
              <w:spacing w:after="0" w:line="400" w:lineRule="exact"/>
              <w:jc w:val="center"/>
              <w:textAlignment w:val="auto"/>
              <w:rPr>
                <w:rFonts w:hint="eastAsia" w:ascii="宋体" w:hAnsi="宋体" w:eastAsia="宋体" w:cs="宋体"/>
                <w:color w:val="auto"/>
                <w:kern w:val="0"/>
                <w:sz w:val="24"/>
                <w:highlight w:val="none"/>
                <w:lang w:val="en-US" w:bidi="ar"/>
              </w:rPr>
            </w:pPr>
          </w:p>
        </w:tc>
      </w:tr>
      <w:tr w14:paraId="733C7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934" w:type="dxa"/>
            <w:vAlign w:val="center"/>
          </w:tcPr>
          <w:p w14:paraId="70578F0E">
            <w:pPr>
              <w:pStyle w:val="11"/>
              <w:keepNext w:val="0"/>
              <w:keepLines w:val="0"/>
              <w:pageBreakBefore w:val="0"/>
              <w:kinsoku/>
              <w:wordWrap/>
              <w:overflowPunct/>
              <w:topLinePunct w:val="0"/>
              <w:autoSpaceDE/>
              <w:autoSpaceDN/>
              <w:bidi w:val="0"/>
              <w:adjustRightInd/>
              <w:snapToGrid/>
              <w:spacing w:after="0" w:line="400" w:lineRule="exact"/>
              <w:jc w:val="center"/>
              <w:textAlignment w:val="auto"/>
              <w:rPr>
                <w:rFonts w:hint="eastAsia" w:ascii="宋体" w:hAnsi="宋体" w:eastAsia="宋体" w:cs="宋体"/>
                <w:color w:val="auto"/>
                <w:kern w:val="0"/>
                <w:sz w:val="24"/>
                <w:highlight w:val="none"/>
                <w:lang w:val="en-US" w:bidi="ar"/>
              </w:rPr>
            </w:pPr>
            <w:r>
              <w:rPr>
                <w:rFonts w:hint="eastAsia" w:ascii="宋体" w:hAnsi="宋体" w:eastAsia="宋体" w:cs="宋体"/>
                <w:color w:val="auto"/>
                <w:kern w:val="0"/>
                <w:sz w:val="24"/>
                <w:highlight w:val="none"/>
                <w:lang w:val="en-US" w:bidi="ar"/>
              </w:rPr>
              <w:t>2</w:t>
            </w:r>
          </w:p>
        </w:tc>
        <w:tc>
          <w:tcPr>
            <w:tcW w:w="4501" w:type="dxa"/>
            <w:vAlign w:val="center"/>
          </w:tcPr>
          <w:p w14:paraId="64DFA140">
            <w:pPr>
              <w:pStyle w:val="11"/>
              <w:keepNext w:val="0"/>
              <w:keepLines w:val="0"/>
              <w:pageBreakBefore w:val="0"/>
              <w:kinsoku/>
              <w:wordWrap/>
              <w:overflowPunct/>
              <w:topLinePunct w:val="0"/>
              <w:autoSpaceDE/>
              <w:autoSpaceDN/>
              <w:bidi w:val="0"/>
              <w:adjustRightInd/>
              <w:snapToGrid/>
              <w:spacing w:after="0" w:line="400" w:lineRule="exact"/>
              <w:jc w:val="center"/>
              <w:textAlignment w:val="auto"/>
              <w:rPr>
                <w:rFonts w:hint="eastAsia" w:ascii="宋体" w:hAnsi="宋体" w:eastAsia="宋体" w:cs="宋体"/>
                <w:color w:val="auto"/>
                <w:kern w:val="0"/>
                <w:sz w:val="24"/>
                <w:highlight w:val="none"/>
                <w:lang w:val="en-US" w:bidi="ar"/>
              </w:rPr>
            </w:pPr>
          </w:p>
        </w:tc>
        <w:tc>
          <w:tcPr>
            <w:tcW w:w="2681" w:type="dxa"/>
            <w:vAlign w:val="center"/>
          </w:tcPr>
          <w:p w14:paraId="61E62C2F">
            <w:pPr>
              <w:pStyle w:val="11"/>
              <w:keepNext w:val="0"/>
              <w:keepLines w:val="0"/>
              <w:pageBreakBefore w:val="0"/>
              <w:kinsoku/>
              <w:wordWrap/>
              <w:overflowPunct/>
              <w:topLinePunct w:val="0"/>
              <w:autoSpaceDE/>
              <w:autoSpaceDN/>
              <w:bidi w:val="0"/>
              <w:adjustRightInd/>
              <w:snapToGrid/>
              <w:spacing w:after="0" w:line="400" w:lineRule="exact"/>
              <w:jc w:val="center"/>
              <w:textAlignment w:val="auto"/>
              <w:rPr>
                <w:rFonts w:hint="eastAsia" w:ascii="宋体" w:hAnsi="宋体" w:eastAsia="宋体" w:cs="宋体"/>
                <w:color w:val="auto"/>
                <w:kern w:val="0"/>
                <w:sz w:val="24"/>
                <w:highlight w:val="none"/>
                <w:lang w:val="en-US" w:bidi="ar"/>
              </w:rPr>
            </w:pPr>
          </w:p>
        </w:tc>
      </w:tr>
    </w:tbl>
    <w:p w14:paraId="1D302D8B">
      <w:pPr>
        <w:spacing w:line="360" w:lineRule="auto"/>
        <w:ind w:firstLine="435"/>
        <w:rPr>
          <w:rFonts w:hint="eastAsia" w:ascii="宋体" w:hAnsi="宋体" w:eastAsia="宋体" w:cs="宋体"/>
          <w:color w:val="auto"/>
          <w:sz w:val="24"/>
          <w:highlight w:val="none"/>
        </w:rPr>
      </w:pPr>
    </w:p>
    <w:p w14:paraId="4903AB0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本单位对上述声明的真实性负责。如有虚假，将依法承担相应责任。</w:t>
      </w:r>
    </w:p>
    <w:p w14:paraId="3E517A7D">
      <w:pPr>
        <w:spacing w:line="360" w:lineRule="auto"/>
        <w:ind w:firstLine="4800" w:firstLineChars="2000"/>
        <w:rPr>
          <w:rFonts w:hint="eastAsia" w:ascii="宋体" w:hAnsi="宋体" w:eastAsia="宋体" w:cs="宋体"/>
          <w:color w:val="auto"/>
          <w:sz w:val="24"/>
          <w:highlight w:val="none"/>
        </w:rPr>
      </w:pPr>
    </w:p>
    <w:p w14:paraId="6CF7269E">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供应商盖章：</w:t>
      </w:r>
      <w:r>
        <w:rPr>
          <w:rFonts w:hint="eastAsia" w:ascii="宋体" w:hAnsi="宋体" w:eastAsia="宋体" w:cs="宋体"/>
          <w:color w:val="auto"/>
          <w:sz w:val="24"/>
          <w:highlight w:val="none"/>
          <w:u w:val="single"/>
        </w:rPr>
        <w:t xml:space="preserve">             </w:t>
      </w:r>
    </w:p>
    <w:p w14:paraId="0DE10BD7">
      <w:pPr>
        <w:tabs>
          <w:tab w:val="left" w:pos="630"/>
        </w:tabs>
        <w:spacing w:line="360" w:lineRule="auto"/>
        <w:ind w:firstLine="4800" w:firstLineChars="2000"/>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4D9D0078">
      <w:pPr>
        <w:tabs>
          <w:tab w:val="left" w:pos="630"/>
        </w:tabs>
        <w:spacing w:line="360" w:lineRule="auto"/>
        <w:ind w:firstLine="4800" w:firstLineChars="2000"/>
        <w:rPr>
          <w:rFonts w:hint="eastAsia" w:ascii="宋体" w:hAnsi="宋体" w:eastAsia="宋体" w:cs="宋体"/>
          <w:color w:val="auto"/>
          <w:sz w:val="24"/>
          <w:highlight w:val="none"/>
          <w:u w:val="single"/>
        </w:rPr>
      </w:pPr>
    </w:p>
    <w:p w14:paraId="1A4468EF">
      <w:pPr>
        <w:rPr>
          <w:rFonts w:hint="eastAsia" w:ascii="宋体" w:hAnsi="宋体" w:eastAsia="宋体" w:cs="宋体"/>
          <w:color w:val="auto"/>
          <w:sz w:val="24"/>
          <w:highlight w:val="none"/>
          <w:u w:val="single"/>
        </w:rPr>
      </w:pPr>
    </w:p>
    <w:p w14:paraId="4FE66894">
      <w:pPr>
        <w:widowControl/>
        <w:jc w:val="left"/>
        <w:rPr>
          <w:rFonts w:hint="eastAsia" w:ascii="宋体" w:hAnsi="宋体" w:eastAsia="宋体" w:cs="宋体"/>
          <w:color w:val="auto"/>
          <w:sz w:val="24"/>
          <w:highlight w:val="none"/>
          <w:u w:val="single"/>
        </w:rPr>
      </w:pPr>
    </w:p>
    <w:p w14:paraId="1F282C76">
      <w:pPr>
        <w:rPr>
          <w:rFonts w:hint="eastAsia" w:ascii="宋体" w:hAnsi="宋体" w:eastAsia="宋体" w:cs="宋体"/>
          <w:b/>
          <w:color w:val="auto"/>
          <w:sz w:val="24"/>
          <w:highlight w:val="none"/>
        </w:rPr>
      </w:pPr>
    </w:p>
    <w:p w14:paraId="236A745C">
      <w:pPr>
        <w:rPr>
          <w:rFonts w:hint="eastAsia" w:ascii="宋体" w:hAnsi="宋体" w:eastAsia="宋体" w:cs="宋体"/>
          <w:b/>
          <w:color w:val="auto"/>
          <w:sz w:val="24"/>
          <w:highlight w:val="none"/>
        </w:rPr>
      </w:pPr>
    </w:p>
    <w:p w14:paraId="16DFDB2F">
      <w:pPr>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p>
    <w:p w14:paraId="04CB3FF5">
      <w:pPr>
        <w:spacing w:line="360" w:lineRule="auto"/>
        <w:jc w:val="center"/>
        <w:outlineLvl w:val="1"/>
        <w:rPr>
          <w:rFonts w:hint="eastAsia" w:ascii="宋体" w:hAnsi="宋体" w:eastAsia="宋体" w:cs="宋体"/>
          <w:b/>
          <w:color w:val="auto"/>
          <w:sz w:val="24"/>
          <w:highlight w:val="none"/>
        </w:rPr>
      </w:pPr>
      <w:bookmarkStart w:id="285" w:name="_Toc24583"/>
      <w:r>
        <w:rPr>
          <w:rFonts w:hint="eastAsia" w:ascii="宋体" w:hAnsi="宋体" w:eastAsia="宋体" w:cs="宋体"/>
          <w:b/>
          <w:color w:val="auto"/>
          <w:sz w:val="24"/>
          <w:highlight w:val="none"/>
          <w:lang w:val="en-US" w:eastAsia="zh-CN"/>
        </w:rPr>
        <w:t>五、</w:t>
      </w:r>
      <w:r>
        <w:rPr>
          <w:rFonts w:hint="eastAsia" w:ascii="宋体" w:hAnsi="宋体" w:eastAsia="宋体" w:cs="宋体"/>
          <w:b/>
          <w:color w:val="auto"/>
          <w:sz w:val="24"/>
          <w:highlight w:val="none"/>
        </w:rPr>
        <w:t>诚信履约承诺函</w:t>
      </w:r>
    </w:p>
    <w:p w14:paraId="1DC26D1F">
      <w:pPr>
        <w:spacing w:line="360" w:lineRule="auto"/>
        <w:rPr>
          <w:rFonts w:hint="eastAsia" w:ascii="宋体" w:hAnsi="宋体" w:eastAsia="宋体" w:cs="宋体"/>
          <w:b/>
          <w:bCs/>
          <w:color w:val="auto"/>
          <w:sz w:val="24"/>
          <w:highlight w:val="none"/>
        </w:rPr>
      </w:pPr>
    </w:p>
    <w:p w14:paraId="6FF85D71">
      <w:pPr>
        <w:spacing w:line="360" w:lineRule="auto"/>
        <w:rPr>
          <w:rFonts w:hint="eastAsia" w:ascii="宋体" w:hAnsi="宋体" w:eastAsia="宋体" w:cs="宋体"/>
          <w:b/>
          <w:bCs/>
          <w:color w:val="auto"/>
          <w:sz w:val="24"/>
          <w:highlight w:val="none"/>
          <w:u w:val="single"/>
        </w:rPr>
      </w:pPr>
      <w:r>
        <w:rPr>
          <w:rFonts w:hint="eastAsia" w:ascii="宋体" w:hAnsi="宋体" w:eastAsia="宋体" w:cs="宋体"/>
          <w:b/>
          <w:bCs/>
          <w:color w:val="auto"/>
          <w:sz w:val="24"/>
          <w:highlight w:val="none"/>
        </w:rPr>
        <w:t>致：</w:t>
      </w:r>
      <w:r>
        <w:rPr>
          <w:rFonts w:hint="eastAsia" w:ascii="宋体" w:hAnsi="宋体" w:eastAsia="宋体" w:cs="宋体"/>
          <w:b/>
          <w:bCs/>
          <w:color w:val="auto"/>
          <w:sz w:val="24"/>
          <w:highlight w:val="none"/>
          <w:u w:val="single"/>
        </w:rPr>
        <w:t>采购人</w:t>
      </w:r>
      <w:r>
        <w:rPr>
          <w:rFonts w:hint="eastAsia" w:ascii="宋体" w:hAnsi="宋体" w:eastAsia="宋体" w:cs="宋体"/>
          <w:b/>
          <w:bCs/>
          <w:color w:val="auto"/>
          <w:sz w:val="24"/>
          <w:highlight w:val="none"/>
          <w:u w:val="single"/>
          <w:lang w:val="en-US" w:eastAsia="zh-CN"/>
        </w:rPr>
        <w:t>名称</w:t>
      </w:r>
    </w:p>
    <w:p w14:paraId="2CBBB108">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5EFA28A9">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（1）中标或者成交后无正当理由拒不与采购人签订政府采购合同；</w:t>
      </w:r>
    </w:p>
    <w:p w14:paraId="62AB5404">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（2）未按照采购文件确定的事项签订政府采购合同；</w:t>
      </w:r>
    </w:p>
    <w:p w14:paraId="032B4E82">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（3）将政府采购合同转包；</w:t>
      </w:r>
    </w:p>
    <w:p w14:paraId="0BC3A34D">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（4）提供假冒伪劣产品；</w:t>
      </w:r>
    </w:p>
    <w:p w14:paraId="462AE647">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（5）擅自变更、中止或者终止政府采购合同。</w:t>
      </w:r>
    </w:p>
    <w:p w14:paraId="65F58ACF">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6B62E3CD">
      <w:pPr>
        <w:spacing w:line="360" w:lineRule="auto"/>
        <w:rPr>
          <w:rFonts w:hint="eastAsia" w:ascii="宋体" w:hAnsi="宋体" w:eastAsia="宋体" w:cs="宋体"/>
          <w:bCs/>
          <w:color w:val="auto"/>
          <w:sz w:val="24"/>
          <w:highlight w:val="none"/>
        </w:rPr>
      </w:pPr>
    </w:p>
    <w:p w14:paraId="45856CC5">
      <w:pPr>
        <w:spacing w:line="360" w:lineRule="auto"/>
        <w:rPr>
          <w:rFonts w:hint="eastAsia" w:ascii="宋体" w:hAnsi="宋体" w:eastAsia="宋体" w:cs="宋体"/>
          <w:bCs/>
          <w:color w:val="auto"/>
          <w:sz w:val="24"/>
          <w:highlight w:val="none"/>
        </w:rPr>
      </w:pPr>
    </w:p>
    <w:p w14:paraId="4BCC4CBA">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供应商盖章：</w:t>
      </w:r>
      <w:r>
        <w:rPr>
          <w:rFonts w:hint="eastAsia" w:ascii="宋体" w:hAnsi="宋体" w:eastAsia="宋体" w:cs="宋体"/>
          <w:color w:val="auto"/>
          <w:sz w:val="24"/>
          <w:highlight w:val="none"/>
          <w:u w:val="single"/>
        </w:rPr>
        <w:t xml:space="preserve">             </w:t>
      </w:r>
    </w:p>
    <w:p w14:paraId="4A30A574">
      <w:pPr>
        <w:tabs>
          <w:tab w:val="left" w:pos="630"/>
        </w:tabs>
        <w:spacing w:line="360" w:lineRule="auto"/>
        <w:ind w:firstLine="4800" w:firstLineChars="2000"/>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4E75688D">
      <w:pPr>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br w:type="page"/>
      </w:r>
    </w:p>
    <w:p w14:paraId="07A9B7D1">
      <w:pPr>
        <w:jc w:val="center"/>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六、无重大违法记录声明函、无不良信用记录承诺函</w:t>
      </w:r>
    </w:p>
    <w:p w14:paraId="54528594">
      <w:pPr>
        <w:pStyle w:val="23"/>
        <w:spacing w:line="400" w:lineRule="atLeast"/>
        <w:ind w:firstLine="2891" w:firstLineChars="1200"/>
        <w:rPr>
          <w:rFonts w:hint="eastAsia" w:ascii="宋体" w:hAnsi="宋体" w:eastAsia="宋体" w:cs="宋体"/>
          <w:b/>
          <w:color w:val="auto"/>
          <w:sz w:val="24"/>
          <w:szCs w:val="24"/>
          <w:highlight w:val="none"/>
          <w:lang w:val="zh-CN"/>
        </w:rPr>
      </w:pPr>
    </w:p>
    <w:p w14:paraId="20BBE6D2">
      <w:pPr>
        <w:pStyle w:val="23"/>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无重大违法记录声明函</w:t>
      </w:r>
    </w:p>
    <w:p w14:paraId="43112649">
      <w:pPr>
        <w:keepNext w:val="0"/>
        <w:keepLines w:val="0"/>
        <w:pageBreakBefore w:val="0"/>
        <w:widowControl w:val="0"/>
        <w:kinsoku/>
        <w:wordWrap/>
        <w:overflowPunct/>
        <w:topLinePunct w:val="0"/>
        <w:autoSpaceDE/>
        <w:autoSpaceDN/>
        <w:bidi w:val="0"/>
        <w:adjustRightInd/>
        <w:snapToGrid/>
        <w:spacing w:after="120" w:line="520" w:lineRule="exact"/>
        <w:ind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35A1C209">
      <w:pPr>
        <w:keepNext w:val="0"/>
        <w:keepLines w:val="0"/>
        <w:pageBreakBefore w:val="0"/>
        <w:widowControl w:val="0"/>
        <w:kinsoku/>
        <w:wordWrap/>
        <w:overflowPunct/>
        <w:topLinePunct w:val="0"/>
        <w:autoSpaceDE/>
        <w:autoSpaceDN/>
        <w:bidi w:val="0"/>
        <w:adjustRightInd/>
        <w:snapToGrid/>
        <w:spacing w:line="520" w:lineRule="exact"/>
        <w:ind w:firstLine="43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本公司对上述声明的真实性负责。如有虚假，将依法承担相应责任。</w:t>
      </w:r>
    </w:p>
    <w:p w14:paraId="1B336D2F">
      <w:pPr>
        <w:keepNext w:val="0"/>
        <w:keepLines w:val="0"/>
        <w:pageBreakBefore w:val="0"/>
        <w:widowControl w:val="0"/>
        <w:kinsoku/>
        <w:wordWrap/>
        <w:overflowPunct/>
        <w:topLinePunct w:val="0"/>
        <w:autoSpaceDE/>
        <w:autoSpaceDN/>
        <w:bidi w:val="0"/>
        <w:adjustRightInd/>
        <w:snapToGrid/>
        <w:spacing w:line="520" w:lineRule="exact"/>
        <w:ind w:firstLine="435"/>
        <w:textAlignment w:val="auto"/>
        <w:rPr>
          <w:rFonts w:hint="eastAsia" w:ascii="宋体" w:hAnsi="宋体" w:eastAsia="宋体" w:cs="宋体"/>
          <w:color w:val="auto"/>
          <w:sz w:val="24"/>
          <w:szCs w:val="24"/>
          <w:highlight w:val="none"/>
        </w:rPr>
      </w:pPr>
    </w:p>
    <w:p w14:paraId="44F74B2B">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供应商盖章：</w:t>
      </w:r>
      <w:r>
        <w:rPr>
          <w:rFonts w:hint="eastAsia" w:ascii="宋体" w:hAnsi="宋体" w:eastAsia="宋体" w:cs="宋体"/>
          <w:color w:val="auto"/>
          <w:sz w:val="24"/>
          <w:highlight w:val="none"/>
          <w:u w:val="single"/>
        </w:rPr>
        <w:t xml:space="preserve">             </w:t>
      </w:r>
    </w:p>
    <w:p w14:paraId="3BE66E3F">
      <w:pPr>
        <w:tabs>
          <w:tab w:val="left" w:pos="630"/>
        </w:tabs>
        <w:spacing w:line="360" w:lineRule="auto"/>
        <w:ind w:firstLine="4800" w:firstLineChars="2000"/>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7B55CEED">
      <w:pPr>
        <w:keepNext w:val="0"/>
        <w:keepLines w:val="0"/>
        <w:pageBreakBefore w:val="0"/>
        <w:widowControl w:val="0"/>
        <w:kinsoku/>
        <w:wordWrap/>
        <w:overflowPunct/>
        <w:topLinePunct w:val="0"/>
        <w:autoSpaceDE/>
        <w:autoSpaceDN/>
        <w:bidi w:val="0"/>
        <w:adjustRightInd/>
        <w:snapToGrid/>
        <w:spacing w:after="120" w:line="520" w:lineRule="exact"/>
        <w:ind w:firstLine="210"/>
        <w:jc w:val="both"/>
        <w:textAlignment w:val="auto"/>
        <w:rPr>
          <w:rFonts w:hint="eastAsia" w:ascii="宋体" w:hAnsi="宋体" w:eastAsia="宋体" w:cs="宋体"/>
          <w:color w:val="auto"/>
          <w:kern w:val="2"/>
          <w:sz w:val="24"/>
          <w:szCs w:val="20"/>
          <w:highlight w:val="none"/>
          <w:lang w:val="en-US" w:eastAsia="zh-CN" w:bidi="ar-SA"/>
        </w:rPr>
      </w:pPr>
    </w:p>
    <w:p w14:paraId="6D90A697">
      <w:pPr>
        <w:keepNext w:val="0"/>
        <w:keepLines w:val="0"/>
        <w:pageBreakBefore w:val="0"/>
        <w:widowControl w:val="0"/>
        <w:kinsoku/>
        <w:wordWrap/>
        <w:overflowPunct/>
        <w:topLinePunct w:val="0"/>
        <w:autoSpaceDE/>
        <w:autoSpaceDN/>
        <w:bidi w:val="0"/>
        <w:adjustRightInd/>
        <w:snapToGrid/>
        <w:spacing w:after="120" w:line="520" w:lineRule="exact"/>
        <w:ind w:firstLine="210"/>
        <w:jc w:val="both"/>
        <w:textAlignment w:val="auto"/>
        <w:rPr>
          <w:rFonts w:hint="eastAsia" w:ascii="宋体" w:hAnsi="宋体" w:eastAsia="宋体" w:cs="宋体"/>
          <w:color w:val="auto"/>
          <w:kern w:val="2"/>
          <w:sz w:val="24"/>
          <w:szCs w:val="20"/>
          <w:highlight w:val="none"/>
          <w:lang w:val="en-US" w:eastAsia="zh-CN" w:bidi="ar-SA"/>
        </w:rPr>
      </w:pPr>
    </w:p>
    <w:p w14:paraId="1B33B6BD">
      <w:pPr>
        <w:keepNext w:val="0"/>
        <w:keepLines w:val="0"/>
        <w:pageBreakBefore w:val="0"/>
        <w:widowControl w:val="0"/>
        <w:tabs>
          <w:tab w:val="left" w:pos="630"/>
        </w:tabs>
        <w:kinsoku/>
        <w:wordWrap/>
        <w:overflowPunct/>
        <w:topLinePunct w:val="0"/>
        <w:autoSpaceDE/>
        <w:autoSpaceDN/>
        <w:bidi w:val="0"/>
        <w:adjustRightInd/>
        <w:snapToGrid/>
        <w:spacing w:after="156" w:afterLines="50" w:line="5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val="zh-CN"/>
        </w:rPr>
        <w:t>无不良信用记录承诺函</w:t>
      </w:r>
    </w:p>
    <w:p w14:paraId="551BB0F4">
      <w:pPr>
        <w:keepNext w:val="0"/>
        <w:keepLines w:val="0"/>
        <w:pageBreakBefore w:val="0"/>
        <w:widowControl w:val="0"/>
        <w:kinsoku/>
        <w:wordWrap/>
        <w:overflowPunct/>
        <w:topLinePunct w:val="0"/>
        <w:autoSpaceDE/>
        <w:autoSpaceDN/>
        <w:bidi w:val="0"/>
        <w:adjustRightInd/>
        <w:snapToGrid/>
        <w:spacing w:line="520" w:lineRule="exact"/>
        <w:ind w:firstLine="43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本公司郑重承诺，我公司无以下不良信用记录情形：</w:t>
      </w:r>
    </w:p>
    <w:p w14:paraId="31D56A6F">
      <w:pPr>
        <w:keepNext w:val="0"/>
        <w:keepLines w:val="0"/>
        <w:pageBreakBefore w:val="0"/>
        <w:widowControl w:val="0"/>
        <w:kinsoku/>
        <w:wordWrap/>
        <w:overflowPunct/>
        <w:topLinePunct w:val="0"/>
        <w:autoSpaceDE/>
        <w:autoSpaceDN/>
        <w:bidi w:val="0"/>
        <w:adjustRightInd/>
        <w:snapToGrid/>
        <w:spacing w:line="520" w:lineRule="exact"/>
        <w:ind w:firstLine="43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1、公司被人民法院列入失信被执行人；</w:t>
      </w:r>
    </w:p>
    <w:p w14:paraId="7E18AB63">
      <w:pPr>
        <w:keepNext w:val="0"/>
        <w:keepLines w:val="0"/>
        <w:pageBreakBefore w:val="0"/>
        <w:widowControl w:val="0"/>
        <w:kinsoku/>
        <w:wordWrap/>
        <w:overflowPunct/>
        <w:topLinePunct w:val="0"/>
        <w:autoSpaceDE/>
        <w:autoSpaceDN/>
        <w:bidi w:val="0"/>
        <w:adjustRightInd/>
        <w:snapToGrid/>
        <w:spacing w:line="520" w:lineRule="exact"/>
        <w:ind w:firstLine="43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2、公司被市场监督管理部门列入</w:t>
      </w:r>
      <w:r>
        <w:rPr>
          <w:rFonts w:hint="eastAsia" w:ascii="宋体" w:hAnsi="宋体" w:eastAsia="宋体" w:cs="宋体"/>
          <w:color w:val="auto"/>
          <w:sz w:val="24"/>
          <w:szCs w:val="24"/>
          <w:highlight w:val="none"/>
          <w:lang w:eastAsia="zh-CN"/>
        </w:rPr>
        <w:t>严重违法失信企业</w:t>
      </w:r>
      <w:r>
        <w:rPr>
          <w:rFonts w:hint="eastAsia" w:ascii="宋体" w:hAnsi="宋体" w:eastAsia="宋体" w:cs="宋体"/>
          <w:color w:val="auto"/>
          <w:sz w:val="24"/>
          <w:szCs w:val="24"/>
          <w:highlight w:val="none"/>
        </w:rPr>
        <w:t>名录；</w:t>
      </w:r>
    </w:p>
    <w:p w14:paraId="586B3740">
      <w:pPr>
        <w:keepNext w:val="0"/>
        <w:keepLines w:val="0"/>
        <w:pageBreakBefore w:val="0"/>
        <w:widowControl w:val="0"/>
        <w:kinsoku/>
        <w:wordWrap/>
        <w:overflowPunct/>
        <w:topLinePunct w:val="0"/>
        <w:autoSpaceDE/>
        <w:autoSpaceDN/>
        <w:bidi w:val="0"/>
        <w:adjustRightInd/>
        <w:snapToGrid/>
        <w:spacing w:line="520" w:lineRule="exact"/>
        <w:ind w:firstLine="43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3、公司被税务部门列入重大税收违法案件当事人名单的；</w:t>
      </w:r>
    </w:p>
    <w:p w14:paraId="6B397A8A">
      <w:pPr>
        <w:keepNext w:val="0"/>
        <w:keepLines w:val="0"/>
        <w:pageBreakBefore w:val="0"/>
        <w:widowControl w:val="0"/>
        <w:kinsoku/>
        <w:wordWrap/>
        <w:overflowPunct/>
        <w:topLinePunct w:val="0"/>
        <w:autoSpaceDE/>
        <w:autoSpaceDN/>
        <w:bidi w:val="0"/>
        <w:adjustRightInd/>
        <w:snapToGrid/>
        <w:spacing w:line="520" w:lineRule="exact"/>
        <w:ind w:firstLine="43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4、公司被政府采购监管部门列入政府采购严重违法失信行为记录名单。</w:t>
      </w:r>
    </w:p>
    <w:p w14:paraId="180930E2">
      <w:pPr>
        <w:keepNext w:val="0"/>
        <w:keepLines w:val="0"/>
        <w:pageBreakBefore w:val="0"/>
        <w:widowControl w:val="0"/>
        <w:tabs>
          <w:tab w:val="left" w:pos="630"/>
        </w:tabs>
        <w:kinsoku/>
        <w:wordWrap/>
        <w:overflowPunct/>
        <w:topLinePunct w:val="0"/>
        <w:autoSpaceDE/>
        <w:autoSpaceDN/>
        <w:bidi w:val="0"/>
        <w:adjustRightInd/>
        <w:snapToGrid/>
        <w:spacing w:line="520" w:lineRule="exact"/>
        <w:ind w:firstLine="63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本公司对上述声明的真实性负责。如有虚假，将依法承担相应责任。</w:t>
      </w:r>
    </w:p>
    <w:p w14:paraId="2376AFCE">
      <w:pPr>
        <w:pStyle w:val="11"/>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highlight w:val="none"/>
        </w:rPr>
      </w:pPr>
    </w:p>
    <w:p w14:paraId="0EAF0D4F">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供应商盖章：</w:t>
      </w:r>
      <w:r>
        <w:rPr>
          <w:rFonts w:hint="eastAsia" w:ascii="宋体" w:hAnsi="宋体" w:eastAsia="宋体" w:cs="宋体"/>
          <w:color w:val="auto"/>
          <w:sz w:val="24"/>
          <w:highlight w:val="none"/>
          <w:u w:val="single"/>
        </w:rPr>
        <w:t xml:space="preserve">             </w:t>
      </w:r>
    </w:p>
    <w:p w14:paraId="45D61992">
      <w:pPr>
        <w:tabs>
          <w:tab w:val="left" w:pos="630"/>
        </w:tabs>
        <w:spacing w:line="360" w:lineRule="auto"/>
        <w:ind w:firstLine="4800" w:firstLineChars="2000"/>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3080A14D">
      <w:pP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br w:type="page"/>
      </w:r>
    </w:p>
    <w:bookmarkEnd w:id="285"/>
    <w:p w14:paraId="55D70E41">
      <w:pPr>
        <w:spacing w:line="360" w:lineRule="auto"/>
        <w:jc w:val="center"/>
        <w:outlineLvl w:val="1"/>
        <w:rPr>
          <w:rFonts w:hint="eastAsia" w:ascii="宋体" w:hAnsi="宋体" w:eastAsia="宋体" w:cs="宋体"/>
          <w:b/>
          <w:color w:val="auto"/>
          <w:sz w:val="24"/>
          <w:highlight w:val="none"/>
          <w:lang w:val="en-US" w:eastAsia="zh-CN"/>
        </w:rPr>
      </w:pPr>
      <w:bookmarkStart w:id="286" w:name="_Toc23068"/>
      <w:r>
        <w:rPr>
          <w:rFonts w:hint="eastAsia" w:ascii="宋体" w:hAnsi="宋体" w:eastAsia="宋体" w:cs="宋体"/>
          <w:b/>
          <w:color w:val="auto"/>
          <w:sz w:val="24"/>
          <w:highlight w:val="none"/>
          <w:lang w:val="en-US" w:eastAsia="zh-CN"/>
        </w:rPr>
        <w:t>七、中小企业声明函</w:t>
      </w:r>
      <w:bookmarkEnd w:id="286"/>
    </w:p>
    <w:p w14:paraId="6E5184CD">
      <w:pPr>
        <w:pStyle w:val="11"/>
        <w:jc w:val="center"/>
        <w:rPr>
          <w:rFonts w:hint="eastAsia" w:ascii="宋体" w:hAnsi="宋体" w:eastAsia="宋体" w:cs="宋体"/>
          <w:b w:val="0"/>
          <w:i w:val="0"/>
          <w:iCs/>
          <w:color w:val="auto"/>
          <w:sz w:val="24"/>
          <w:highlight w:val="none"/>
          <w:lang w:val="en-US" w:eastAsia="zh-CN"/>
        </w:rPr>
      </w:pPr>
      <w:r>
        <w:rPr>
          <w:rFonts w:hint="eastAsia" w:ascii="宋体" w:hAnsi="宋体" w:eastAsia="宋体" w:cs="宋体"/>
          <w:b w:val="0"/>
          <w:i w:val="0"/>
          <w:iCs/>
          <w:color w:val="auto"/>
          <w:sz w:val="24"/>
          <w:highlight w:val="none"/>
          <w:lang w:val="en-US" w:eastAsia="zh-CN"/>
        </w:rPr>
        <w:t>（</w:t>
      </w:r>
      <w:r>
        <w:rPr>
          <w:rFonts w:hint="eastAsia" w:ascii="宋体" w:hAnsi="宋体" w:eastAsia="宋体" w:cs="宋体"/>
          <w:b w:val="0"/>
          <w:i w:val="0"/>
          <w:iCs/>
          <w:color w:val="auto"/>
          <w:sz w:val="24"/>
          <w:highlight w:val="none"/>
          <w:lang w:val="zh-CN" w:eastAsia="zh-CN"/>
        </w:rPr>
        <w:t>非中小企业</w:t>
      </w:r>
      <w:r>
        <w:rPr>
          <w:rFonts w:hint="eastAsia" w:ascii="宋体" w:hAnsi="宋体" w:eastAsia="宋体" w:cs="宋体"/>
          <w:b w:val="0"/>
          <w:i w:val="0"/>
          <w:iCs/>
          <w:color w:val="auto"/>
          <w:sz w:val="24"/>
          <w:highlight w:val="none"/>
          <w:lang w:val="en-US" w:eastAsia="zh-CN"/>
        </w:rPr>
        <w:t>磋商不需此件）</w:t>
      </w:r>
    </w:p>
    <w:p w14:paraId="2843BF9B">
      <w:pPr>
        <w:rPr>
          <w:rFonts w:hint="eastAsia" w:ascii="宋体" w:hAnsi="宋体" w:eastAsia="宋体" w:cs="宋体"/>
          <w:color w:val="auto"/>
          <w:sz w:val="24"/>
          <w:szCs w:val="24"/>
          <w:highlight w:val="none"/>
        </w:rPr>
      </w:pPr>
    </w:p>
    <w:p w14:paraId="654CCDCA">
      <w:pPr>
        <w:spacing w:line="360" w:lineRule="auto"/>
        <w:ind w:firstLine="435"/>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s="宋体"/>
          <w:color w:val="auto"/>
          <w:sz w:val="24"/>
          <w:szCs w:val="24"/>
          <w:highlight w:val="none"/>
          <w:u w:val="single"/>
          <w:lang w:val="zh-CN"/>
        </w:rPr>
        <w:t>（单位</w:t>
      </w:r>
      <w:r>
        <w:rPr>
          <w:rFonts w:hint="eastAsia" w:ascii="宋体" w:hAnsi="宋体" w:eastAsia="宋体" w:cs="宋体"/>
          <w:color w:val="auto"/>
          <w:sz w:val="24"/>
          <w:szCs w:val="24"/>
          <w:highlight w:val="none"/>
          <w:u w:val="single"/>
        </w:rPr>
        <w:t>名称</w:t>
      </w:r>
      <w:r>
        <w:rPr>
          <w:rFonts w:hint="eastAsia" w:ascii="宋体" w:hAnsi="宋体" w:eastAsia="宋体" w:cs="宋体"/>
          <w:color w:val="auto"/>
          <w:sz w:val="24"/>
          <w:szCs w:val="24"/>
          <w:highlight w:val="none"/>
          <w:u w:val="single"/>
          <w:lang w:val="zh-CN"/>
        </w:rPr>
        <w:t>）</w:t>
      </w:r>
      <w:r>
        <w:rPr>
          <w:rFonts w:hint="eastAsia" w:ascii="宋体" w:hAnsi="宋体" w:eastAsia="宋体" w:cs="宋体"/>
          <w:color w:val="auto"/>
          <w:sz w:val="24"/>
          <w:szCs w:val="24"/>
          <w:highlight w:val="none"/>
          <w:lang w:val="zh-CN"/>
        </w:rPr>
        <w:t>的</w:t>
      </w:r>
      <w:r>
        <w:rPr>
          <w:rFonts w:hint="eastAsia" w:ascii="宋体" w:hAnsi="宋体" w:eastAsia="宋体" w:cs="宋体"/>
          <w:color w:val="auto"/>
          <w:sz w:val="24"/>
          <w:szCs w:val="24"/>
          <w:highlight w:val="none"/>
          <w:u w:val="single"/>
          <w:lang w:val="zh-CN"/>
        </w:rPr>
        <w:t>（项目</w:t>
      </w:r>
      <w:r>
        <w:rPr>
          <w:rFonts w:hint="eastAsia" w:ascii="宋体" w:hAnsi="宋体" w:eastAsia="宋体" w:cs="宋体"/>
          <w:color w:val="auto"/>
          <w:sz w:val="24"/>
          <w:szCs w:val="24"/>
          <w:highlight w:val="none"/>
          <w:u w:val="single"/>
        </w:rPr>
        <w:t>名称</w:t>
      </w:r>
      <w:r>
        <w:rPr>
          <w:rFonts w:hint="eastAsia" w:ascii="宋体" w:hAnsi="宋体" w:eastAsia="宋体" w:cs="宋体"/>
          <w:color w:val="auto"/>
          <w:sz w:val="24"/>
          <w:szCs w:val="24"/>
          <w:highlight w:val="none"/>
          <w:u w:val="single"/>
          <w:lang w:val="zh-CN"/>
        </w:rPr>
        <w:t>）</w:t>
      </w:r>
      <w:r>
        <w:rPr>
          <w:rFonts w:hint="eastAsia" w:ascii="宋体" w:hAnsi="宋体" w:eastAsia="宋体" w:cs="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11CDF848">
      <w:pPr>
        <w:spacing w:line="360" w:lineRule="auto"/>
        <w:ind w:firstLine="435"/>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u w:val="single"/>
          <w:lang w:val="zh-CN"/>
        </w:rPr>
        <w:t xml:space="preserve"> （标的名称） </w:t>
      </w:r>
      <w:r>
        <w:rPr>
          <w:rFonts w:hint="eastAsia" w:ascii="宋体" w:hAnsi="宋体" w:eastAsia="宋体" w:cs="宋体"/>
          <w:color w:val="auto"/>
          <w:sz w:val="24"/>
          <w:szCs w:val="24"/>
          <w:highlight w:val="none"/>
          <w:lang w:val="zh-CN"/>
        </w:rPr>
        <w:t>，属于</w:t>
      </w:r>
      <w:r>
        <w:rPr>
          <w:rFonts w:hint="eastAsia" w:ascii="宋体" w:hAnsi="宋体" w:eastAsia="宋体" w:cs="宋体"/>
          <w:color w:val="auto"/>
          <w:sz w:val="24"/>
          <w:szCs w:val="24"/>
          <w:highlight w:val="none"/>
          <w:u w:val="single"/>
          <w:lang w:val="zh-CN"/>
        </w:rPr>
        <w:t>（采购文件中明确的所属行业）</w:t>
      </w:r>
      <w:r>
        <w:rPr>
          <w:rFonts w:hint="eastAsia" w:ascii="宋体" w:hAnsi="宋体" w:eastAsia="宋体" w:cs="宋体"/>
          <w:color w:val="auto"/>
          <w:sz w:val="24"/>
          <w:szCs w:val="24"/>
          <w:highlight w:val="none"/>
          <w:lang w:val="zh-CN"/>
        </w:rPr>
        <w:t>行业；承接企业为</w:t>
      </w:r>
      <w:r>
        <w:rPr>
          <w:rFonts w:hint="eastAsia" w:ascii="宋体" w:hAnsi="宋体" w:eastAsia="宋体" w:cs="宋体"/>
          <w:color w:val="auto"/>
          <w:sz w:val="24"/>
          <w:szCs w:val="24"/>
          <w:highlight w:val="none"/>
          <w:u w:val="single"/>
          <w:lang w:val="zh-CN"/>
        </w:rPr>
        <w:t>（企业名称）</w:t>
      </w:r>
      <w:r>
        <w:rPr>
          <w:rFonts w:hint="eastAsia" w:ascii="宋体" w:hAnsi="宋体" w:eastAsia="宋体" w:cs="宋体"/>
          <w:color w:val="auto"/>
          <w:sz w:val="24"/>
          <w:szCs w:val="24"/>
          <w:highlight w:val="none"/>
          <w:lang w:val="zh-CN"/>
        </w:rPr>
        <w:t>，从业人员</w:t>
      </w:r>
      <w:r>
        <w:rPr>
          <w:rFonts w:hint="eastAsia" w:ascii="宋体" w:hAnsi="宋体" w:eastAsia="宋体" w:cs="宋体"/>
          <w:color w:val="auto"/>
          <w:sz w:val="24"/>
          <w:szCs w:val="24"/>
          <w:highlight w:val="none"/>
          <w:u w:val="single"/>
          <w:lang w:val="zh-CN"/>
        </w:rPr>
        <w:t xml:space="preserve">     </w:t>
      </w:r>
      <w:r>
        <w:rPr>
          <w:rFonts w:hint="eastAsia" w:ascii="宋体" w:hAnsi="宋体" w:eastAsia="宋体" w:cs="宋体"/>
          <w:color w:val="auto"/>
          <w:sz w:val="24"/>
          <w:szCs w:val="24"/>
          <w:highlight w:val="none"/>
          <w:lang w:val="zh-CN"/>
        </w:rPr>
        <w:t>人，营业收入为</w:t>
      </w:r>
      <w:r>
        <w:rPr>
          <w:rFonts w:hint="eastAsia" w:ascii="宋体" w:hAnsi="宋体" w:eastAsia="宋体" w:cs="宋体"/>
          <w:color w:val="auto"/>
          <w:sz w:val="24"/>
          <w:szCs w:val="24"/>
          <w:highlight w:val="none"/>
          <w:u w:val="single"/>
          <w:lang w:val="zh-CN"/>
        </w:rPr>
        <w:t xml:space="preserve">     </w:t>
      </w:r>
      <w:r>
        <w:rPr>
          <w:rFonts w:hint="eastAsia" w:ascii="宋体" w:hAnsi="宋体" w:eastAsia="宋体" w:cs="宋体"/>
          <w:color w:val="auto"/>
          <w:sz w:val="24"/>
          <w:szCs w:val="24"/>
          <w:highlight w:val="none"/>
          <w:lang w:val="zh-CN"/>
        </w:rPr>
        <w:t>万元，资产总额为</w:t>
      </w:r>
      <w:r>
        <w:rPr>
          <w:rFonts w:hint="eastAsia" w:ascii="宋体" w:hAnsi="宋体" w:eastAsia="宋体" w:cs="宋体"/>
          <w:color w:val="auto"/>
          <w:sz w:val="24"/>
          <w:szCs w:val="24"/>
          <w:highlight w:val="none"/>
          <w:u w:val="single"/>
          <w:lang w:val="zh-CN"/>
        </w:rPr>
        <w:t xml:space="preserve">     </w:t>
      </w:r>
      <w:r>
        <w:rPr>
          <w:rFonts w:hint="eastAsia" w:ascii="宋体" w:hAnsi="宋体" w:eastAsia="宋体" w:cs="宋体"/>
          <w:color w:val="auto"/>
          <w:sz w:val="24"/>
          <w:szCs w:val="24"/>
          <w:highlight w:val="none"/>
          <w:lang w:val="zh-CN"/>
        </w:rPr>
        <w:t>万元，属于</w:t>
      </w:r>
      <w:r>
        <w:rPr>
          <w:rFonts w:hint="eastAsia" w:ascii="宋体" w:hAnsi="宋体" w:eastAsia="宋体" w:cs="宋体"/>
          <w:color w:val="auto"/>
          <w:sz w:val="24"/>
          <w:szCs w:val="24"/>
          <w:highlight w:val="none"/>
          <w:u w:val="single"/>
          <w:lang w:val="zh-CN"/>
        </w:rPr>
        <w:t>（中型企业</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lang w:val="zh-CN"/>
        </w:rPr>
        <w:t>小型企业</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lang w:val="zh-CN"/>
        </w:rPr>
        <w:t>微型企业）</w:t>
      </w:r>
      <w:r>
        <w:rPr>
          <w:rFonts w:hint="eastAsia" w:ascii="宋体" w:hAnsi="宋体" w:eastAsia="宋体" w:cs="宋体"/>
          <w:color w:val="auto"/>
          <w:sz w:val="24"/>
          <w:szCs w:val="24"/>
          <w:highlight w:val="none"/>
          <w:lang w:val="zh-CN"/>
        </w:rPr>
        <w:t>；</w:t>
      </w:r>
    </w:p>
    <w:p w14:paraId="0600F31C">
      <w:pPr>
        <w:spacing w:line="360" w:lineRule="auto"/>
        <w:ind w:firstLine="435"/>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u w:val="single"/>
          <w:lang w:val="zh-CN"/>
        </w:rPr>
        <w:t xml:space="preserve"> （标的名称） </w:t>
      </w:r>
      <w:r>
        <w:rPr>
          <w:rFonts w:hint="eastAsia" w:ascii="宋体" w:hAnsi="宋体" w:eastAsia="宋体" w:cs="宋体"/>
          <w:color w:val="auto"/>
          <w:sz w:val="24"/>
          <w:szCs w:val="24"/>
          <w:highlight w:val="none"/>
          <w:lang w:val="zh-CN"/>
        </w:rPr>
        <w:t>，属于</w:t>
      </w:r>
      <w:r>
        <w:rPr>
          <w:rFonts w:hint="eastAsia" w:ascii="宋体" w:hAnsi="宋体" w:eastAsia="宋体" w:cs="宋体"/>
          <w:color w:val="auto"/>
          <w:sz w:val="24"/>
          <w:szCs w:val="24"/>
          <w:highlight w:val="none"/>
          <w:u w:val="single"/>
          <w:lang w:val="zh-CN"/>
        </w:rPr>
        <w:t>（采购文件中明确的所属行业）</w:t>
      </w:r>
      <w:r>
        <w:rPr>
          <w:rFonts w:hint="eastAsia" w:ascii="宋体" w:hAnsi="宋体" w:eastAsia="宋体" w:cs="宋体"/>
          <w:color w:val="auto"/>
          <w:sz w:val="24"/>
          <w:szCs w:val="24"/>
          <w:highlight w:val="none"/>
          <w:lang w:val="zh-CN"/>
        </w:rPr>
        <w:t>行业；承接企业为</w:t>
      </w:r>
      <w:r>
        <w:rPr>
          <w:rFonts w:hint="eastAsia" w:ascii="宋体" w:hAnsi="宋体" w:eastAsia="宋体" w:cs="宋体"/>
          <w:color w:val="auto"/>
          <w:sz w:val="24"/>
          <w:szCs w:val="24"/>
          <w:highlight w:val="none"/>
          <w:u w:val="single"/>
          <w:lang w:val="zh-CN"/>
        </w:rPr>
        <w:t>（企业名称）</w:t>
      </w:r>
      <w:r>
        <w:rPr>
          <w:rFonts w:hint="eastAsia" w:ascii="宋体" w:hAnsi="宋体" w:eastAsia="宋体" w:cs="宋体"/>
          <w:color w:val="auto"/>
          <w:sz w:val="24"/>
          <w:szCs w:val="24"/>
          <w:highlight w:val="none"/>
          <w:lang w:val="zh-CN"/>
        </w:rPr>
        <w:t>，从业人员</w:t>
      </w:r>
      <w:r>
        <w:rPr>
          <w:rFonts w:hint="eastAsia" w:ascii="宋体" w:hAnsi="宋体" w:eastAsia="宋体" w:cs="宋体"/>
          <w:color w:val="auto"/>
          <w:sz w:val="24"/>
          <w:szCs w:val="24"/>
          <w:highlight w:val="none"/>
          <w:u w:val="single"/>
          <w:lang w:val="zh-CN"/>
        </w:rPr>
        <w:t xml:space="preserve">     </w:t>
      </w:r>
      <w:r>
        <w:rPr>
          <w:rFonts w:hint="eastAsia" w:ascii="宋体" w:hAnsi="宋体" w:eastAsia="宋体" w:cs="宋体"/>
          <w:color w:val="auto"/>
          <w:sz w:val="24"/>
          <w:szCs w:val="24"/>
          <w:highlight w:val="none"/>
          <w:lang w:val="zh-CN"/>
        </w:rPr>
        <w:t>人，营业收入为</w:t>
      </w:r>
      <w:r>
        <w:rPr>
          <w:rFonts w:hint="eastAsia" w:ascii="宋体" w:hAnsi="宋体" w:eastAsia="宋体" w:cs="宋体"/>
          <w:color w:val="auto"/>
          <w:sz w:val="24"/>
          <w:szCs w:val="24"/>
          <w:highlight w:val="none"/>
          <w:u w:val="single"/>
          <w:lang w:val="zh-CN"/>
        </w:rPr>
        <w:t xml:space="preserve">     </w:t>
      </w:r>
      <w:r>
        <w:rPr>
          <w:rFonts w:hint="eastAsia" w:ascii="宋体" w:hAnsi="宋体" w:eastAsia="宋体" w:cs="宋体"/>
          <w:color w:val="auto"/>
          <w:sz w:val="24"/>
          <w:szCs w:val="24"/>
          <w:highlight w:val="none"/>
          <w:lang w:val="zh-CN"/>
        </w:rPr>
        <w:t>万元，资产总额为</w:t>
      </w:r>
      <w:r>
        <w:rPr>
          <w:rFonts w:hint="eastAsia" w:ascii="宋体" w:hAnsi="宋体" w:eastAsia="宋体" w:cs="宋体"/>
          <w:color w:val="auto"/>
          <w:sz w:val="24"/>
          <w:szCs w:val="24"/>
          <w:highlight w:val="none"/>
          <w:u w:val="single"/>
          <w:lang w:val="zh-CN"/>
        </w:rPr>
        <w:t xml:space="preserve">     </w:t>
      </w:r>
      <w:r>
        <w:rPr>
          <w:rFonts w:hint="eastAsia" w:ascii="宋体" w:hAnsi="宋体" w:eastAsia="宋体" w:cs="宋体"/>
          <w:color w:val="auto"/>
          <w:sz w:val="24"/>
          <w:szCs w:val="24"/>
          <w:highlight w:val="none"/>
          <w:lang w:val="zh-CN"/>
        </w:rPr>
        <w:t>万元，属于</w:t>
      </w:r>
      <w:r>
        <w:rPr>
          <w:rFonts w:hint="eastAsia" w:ascii="宋体" w:hAnsi="宋体" w:eastAsia="宋体" w:cs="宋体"/>
          <w:color w:val="auto"/>
          <w:sz w:val="24"/>
          <w:szCs w:val="24"/>
          <w:highlight w:val="none"/>
          <w:u w:val="single"/>
          <w:lang w:val="zh-CN"/>
        </w:rPr>
        <w:t>（中型企业</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lang w:val="zh-CN"/>
        </w:rPr>
        <w:t>小型企业</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lang w:val="zh-CN"/>
        </w:rPr>
        <w:t>微型企业）</w:t>
      </w:r>
      <w:r>
        <w:rPr>
          <w:rFonts w:hint="eastAsia" w:ascii="宋体" w:hAnsi="宋体" w:eastAsia="宋体" w:cs="宋体"/>
          <w:color w:val="auto"/>
          <w:sz w:val="24"/>
          <w:szCs w:val="24"/>
          <w:highlight w:val="none"/>
          <w:lang w:val="zh-CN"/>
        </w:rPr>
        <w:t>；</w:t>
      </w:r>
    </w:p>
    <w:p w14:paraId="4443B05A">
      <w:pPr>
        <w:spacing w:line="360" w:lineRule="auto"/>
        <w:ind w:firstLine="435"/>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w:t>
      </w:r>
    </w:p>
    <w:p w14:paraId="0DB3A34C">
      <w:pPr>
        <w:spacing w:line="360" w:lineRule="auto"/>
        <w:ind w:firstLine="435"/>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以上企业，不属于大企业的分支机构，不存在控股股东为大企业的情形，也不存在与大企业的负责人为同一人的情形。</w:t>
      </w:r>
    </w:p>
    <w:p w14:paraId="56C09BA0">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 xml:space="preserve">本企业对上述声明内容的真实性负责。如有虚假，将依法承担相应责任。 </w:t>
      </w:r>
    </w:p>
    <w:p w14:paraId="72557F10">
      <w:pPr>
        <w:spacing w:line="360" w:lineRule="auto"/>
        <w:ind w:firstLine="435"/>
        <w:rPr>
          <w:rFonts w:hint="eastAsia" w:ascii="宋体" w:hAnsi="宋体" w:eastAsia="宋体" w:cs="宋体"/>
          <w:color w:val="auto"/>
          <w:sz w:val="24"/>
          <w:szCs w:val="24"/>
          <w:highlight w:val="none"/>
        </w:rPr>
      </w:pPr>
    </w:p>
    <w:p w14:paraId="3FCFB051">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供应商盖章：</w:t>
      </w:r>
      <w:r>
        <w:rPr>
          <w:rFonts w:hint="eastAsia" w:ascii="宋体" w:hAnsi="宋体" w:eastAsia="宋体" w:cs="宋体"/>
          <w:color w:val="auto"/>
          <w:sz w:val="24"/>
          <w:highlight w:val="none"/>
          <w:u w:val="single"/>
        </w:rPr>
        <w:t xml:space="preserve">             </w:t>
      </w:r>
    </w:p>
    <w:p w14:paraId="3F9C217B">
      <w:pPr>
        <w:tabs>
          <w:tab w:val="left" w:pos="630"/>
        </w:tabs>
        <w:spacing w:line="360" w:lineRule="auto"/>
        <w:ind w:firstLine="4800" w:firstLineChars="2000"/>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7651E6EA">
      <w:pPr>
        <w:tabs>
          <w:tab w:val="left" w:pos="4620"/>
        </w:tabs>
        <w:spacing w:line="360" w:lineRule="auto"/>
        <w:jc w:val="left"/>
        <w:rPr>
          <w:rFonts w:hint="eastAsia" w:ascii="宋体" w:hAnsi="宋体" w:eastAsia="宋体" w:cs="宋体"/>
          <w:color w:val="auto"/>
          <w:sz w:val="24"/>
          <w:szCs w:val="24"/>
          <w:highlight w:val="none"/>
        </w:rPr>
      </w:pPr>
    </w:p>
    <w:p w14:paraId="4017C028">
      <w:pPr>
        <w:tabs>
          <w:tab w:val="left" w:pos="4620"/>
        </w:tabs>
        <w:spacing w:line="360" w:lineRule="auto"/>
        <w:jc w:val="both"/>
        <w:outlineLvl w:val="9"/>
        <w:rPr>
          <w:rFonts w:hint="eastAsia" w:ascii="宋体" w:hAnsi="宋体" w:eastAsia="宋体" w:cs="宋体"/>
          <w:b/>
          <w:color w:val="auto"/>
          <w:sz w:val="24"/>
          <w:szCs w:val="32"/>
          <w:highlight w:val="none"/>
          <w:lang w:eastAsia="zh-CN"/>
        </w:rPr>
      </w:pPr>
      <w:r>
        <w:rPr>
          <w:rFonts w:hint="eastAsia" w:ascii="宋体" w:hAnsi="宋体" w:eastAsia="宋体" w:cs="宋体"/>
          <w:b/>
          <w:color w:val="auto"/>
          <w:sz w:val="24"/>
          <w:szCs w:val="32"/>
          <w:highlight w:val="none"/>
          <w:lang w:eastAsia="zh-CN"/>
        </w:rPr>
        <w:t>注：</w:t>
      </w:r>
    </w:p>
    <w:p w14:paraId="4218C1DC">
      <w:pPr>
        <w:tabs>
          <w:tab w:val="left" w:pos="4620"/>
        </w:tabs>
        <w:spacing w:line="360" w:lineRule="auto"/>
        <w:jc w:val="both"/>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1.从业人员、营业收入、资产总额填报上一年数据，无上一年数据的新成立企业可不填报。</w:t>
      </w:r>
    </w:p>
    <w:p w14:paraId="76DB995E">
      <w:pPr>
        <w:tabs>
          <w:tab w:val="left" w:pos="4620"/>
        </w:tabs>
        <w:spacing w:line="360" w:lineRule="auto"/>
        <w:jc w:val="both"/>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2．投标人应根据《政府采购促进中小企业发展管理办法》（财库﹝2020﹞46号）和《关于印发中小企业划型标准规定的通知》(工信部联企业〔2011〕300号)相关规定，如实填写中小企业声明函。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val="0"/>
          <w:bCs w:val="0"/>
          <w:color w:val="auto"/>
          <w:sz w:val="24"/>
          <w:szCs w:val="24"/>
          <w:highlight w:val="none"/>
          <w:lang w:val="zh-CN"/>
        </w:rPr>
        <w:t>如有虚假，将依法承担相应责任。</w:t>
      </w:r>
      <w:r>
        <w:rPr>
          <w:rFonts w:hint="eastAsia" w:ascii="宋体" w:hAnsi="宋体" w:eastAsia="宋体" w:cs="宋体"/>
          <w:b w:val="0"/>
          <w:bCs w:val="0"/>
          <w:color w:val="auto"/>
          <w:sz w:val="24"/>
          <w:szCs w:val="24"/>
          <w:highlight w:val="none"/>
        </w:rPr>
        <w:t>投标人</w:t>
      </w:r>
      <w:r>
        <w:rPr>
          <w:rFonts w:hint="eastAsia" w:ascii="宋体" w:hAnsi="宋体" w:eastAsia="宋体" w:cs="宋体"/>
          <w:b w:val="0"/>
          <w:bCs w:val="0"/>
          <w:color w:val="auto"/>
          <w:sz w:val="24"/>
          <w:szCs w:val="24"/>
          <w:highlight w:val="none"/>
          <w:lang w:val="en-US" w:eastAsia="zh-CN"/>
        </w:rPr>
        <w:t>可</w:t>
      </w:r>
      <w:r>
        <w:rPr>
          <w:rFonts w:hint="eastAsia" w:ascii="宋体" w:hAnsi="宋体" w:eastAsia="宋体" w:cs="宋体"/>
          <w:b w:val="0"/>
          <w:bCs w:val="0"/>
          <w:color w:val="auto"/>
          <w:sz w:val="24"/>
          <w:szCs w:val="24"/>
          <w:highlight w:val="none"/>
        </w:rPr>
        <w:t>自行登录工业和信息化部官网（查询网址https://www.miit.gov.cn）进行中小企业规模类型自测。</w:t>
      </w:r>
    </w:p>
    <w:p w14:paraId="1281F9B7">
      <w:pPr>
        <w:tabs>
          <w:tab w:val="left" w:pos="4620"/>
        </w:tabs>
        <w:spacing w:line="360" w:lineRule="auto"/>
        <w:jc w:val="both"/>
        <w:rPr>
          <w:rFonts w:hint="eastAsia" w:ascii="宋体" w:hAnsi="宋体" w:eastAsia="宋体" w:cs="宋体"/>
          <w:b/>
          <w:bCs/>
          <w:color w:val="auto"/>
          <w:sz w:val="24"/>
          <w:szCs w:val="32"/>
          <w:highlight w:val="none"/>
        </w:rPr>
      </w:pPr>
      <w:r>
        <w:rPr>
          <w:rFonts w:hint="eastAsia" w:ascii="宋体" w:hAnsi="宋体" w:eastAsia="宋体" w:cs="宋体"/>
          <w:b w:val="0"/>
          <w:bCs w:val="0"/>
          <w:color w:val="auto"/>
          <w:sz w:val="24"/>
          <w:szCs w:val="24"/>
          <w:highlight w:val="none"/>
        </w:rPr>
        <w:t>3.上述</w:t>
      </w:r>
      <w:r>
        <w:rPr>
          <w:rFonts w:hint="eastAsia" w:ascii="宋体" w:hAnsi="宋体" w:eastAsia="宋体" w:cs="宋体"/>
          <w:b w:val="0"/>
          <w:bCs w:val="0"/>
          <w:color w:val="auto"/>
          <w:sz w:val="24"/>
          <w:szCs w:val="24"/>
          <w:highlight w:val="none"/>
          <w:u w:val="none"/>
        </w:rPr>
        <w:t>“</w:t>
      </w:r>
      <w:r>
        <w:rPr>
          <w:rFonts w:hint="eastAsia" w:ascii="宋体" w:hAnsi="宋体" w:eastAsia="宋体" w:cs="宋体"/>
          <w:b w:val="0"/>
          <w:bCs w:val="0"/>
          <w:color w:val="auto"/>
          <w:sz w:val="24"/>
          <w:szCs w:val="24"/>
          <w:highlight w:val="none"/>
          <w:u w:val="none"/>
          <w:lang w:val="zh-CN"/>
        </w:rPr>
        <w:t>标的名称</w:t>
      </w:r>
      <w:r>
        <w:rPr>
          <w:rFonts w:hint="eastAsia" w:ascii="宋体" w:hAnsi="宋体" w:eastAsia="宋体" w:cs="宋体"/>
          <w:b w:val="0"/>
          <w:bCs w:val="0"/>
          <w:color w:val="auto"/>
          <w:sz w:val="24"/>
          <w:szCs w:val="24"/>
          <w:highlight w:val="none"/>
          <w:u w:val="none"/>
        </w:rPr>
        <w:t>”</w:t>
      </w:r>
      <w:r>
        <w:rPr>
          <w:rFonts w:hint="eastAsia" w:ascii="宋体" w:hAnsi="宋体" w:eastAsia="宋体" w:cs="宋体"/>
          <w:b w:val="0"/>
          <w:bCs w:val="0"/>
          <w:color w:val="auto"/>
          <w:sz w:val="24"/>
          <w:szCs w:val="24"/>
          <w:highlight w:val="none"/>
          <w:u w:val="none"/>
          <w:lang w:val="en-US" w:eastAsia="zh-CN"/>
        </w:rPr>
        <w:t>及</w:t>
      </w:r>
      <w:r>
        <w:rPr>
          <w:rFonts w:hint="eastAsia" w:ascii="宋体" w:hAnsi="宋体" w:eastAsia="宋体" w:cs="宋体"/>
          <w:b w:val="0"/>
          <w:bCs w:val="0"/>
          <w:color w:val="auto"/>
          <w:sz w:val="24"/>
          <w:szCs w:val="24"/>
          <w:highlight w:val="none"/>
          <w:u w:val="none"/>
        </w:rPr>
        <w:t>“采购文件中明确的所属行业”</w:t>
      </w:r>
      <w:r>
        <w:rPr>
          <w:rFonts w:hint="eastAsia" w:ascii="宋体" w:hAnsi="宋体" w:eastAsia="宋体" w:cs="宋体"/>
          <w:b w:val="0"/>
          <w:bCs w:val="0"/>
          <w:color w:val="auto"/>
          <w:sz w:val="24"/>
          <w:szCs w:val="24"/>
          <w:highlight w:val="none"/>
        </w:rPr>
        <w:t>，详见第三章采购需求前附表。</w:t>
      </w:r>
    </w:p>
    <w:p w14:paraId="0D6D2852">
      <w:pPr>
        <w:rPr>
          <w:rFonts w:hint="eastAsia" w:ascii="宋体" w:hAnsi="宋体" w:eastAsia="宋体" w:cs="宋体"/>
          <w:b/>
          <w:color w:val="auto"/>
          <w:sz w:val="24"/>
          <w:highlight w:val="none"/>
        </w:rPr>
      </w:pPr>
      <w:bookmarkStart w:id="287" w:name="_Toc16713"/>
      <w:r>
        <w:rPr>
          <w:rFonts w:hint="eastAsia" w:ascii="宋体" w:hAnsi="宋体" w:eastAsia="宋体" w:cs="宋体"/>
          <w:b/>
          <w:color w:val="auto"/>
          <w:sz w:val="24"/>
          <w:highlight w:val="none"/>
        </w:rPr>
        <w:br w:type="page"/>
      </w:r>
    </w:p>
    <w:p w14:paraId="40C8A933">
      <w:pPr>
        <w:spacing w:line="360" w:lineRule="auto"/>
        <w:jc w:val="center"/>
        <w:outlineLvl w:val="1"/>
        <w:rPr>
          <w:rFonts w:hint="eastAsia" w:ascii="宋体" w:hAnsi="宋体" w:eastAsia="宋体" w:cs="宋体"/>
          <w:b/>
          <w:color w:val="auto"/>
          <w:sz w:val="24"/>
          <w:highlight w:val="none"/>
          <w:lang w:val="en-US" w:eastAsia="zh-CN"/>
        </w:rPr>
      </w:pPr>
      <w:bookmarkStart w:id="288" w:name="_Toc17315"/>
      <w:r>
        <w:rPr>
          <w:rFonts w:hint="eastAsia" w:ascii="宋体" w:hAnsi="宋体" w:eastAsia="宋体" w:cs="宋体"/>
          <w:b/>
          <w:color w:val="auto"/>
          <w:sz w:val="24"/>
          <w:highlight w:val="none"/>
          <w:lang w:val="en-US" w:eastAsia="zh-CN"/>
        </w:rPr>
        <w:t>八、残疾人福利性单位声明函</w:t>
      </w:r>
      <w:bookmarkEnd w:id="287"/>
      <w:bookmarkEnd w:id="288"/>
    </w:p>
    <w:p w14:paraId="5849A52F">
      <w:pPr>
        <w:pStyle w:val="11"/>
        <w:jc w:val="center"/>
        <w:rPr>
          <w:rFonts w:hint="eastAsia" w:ascii="宋体" w:hAnsi="宋体" w:eastAsia="宋体" w:cs="宋体"/>
          <w:b w:val="0"/>
          <w:i w:val="0"/>
          <w:iCs/>
          <w:color w:val="auto"/>
          <w:sz w:val="24"/>
          <w:highlight w:val="none"/>
          <w:lang w:val="en-US" w:eastAsia="zh-CN"/>
        </w:rPr>
      </w:pPr>
      <w:r>
        <w:rPr>
          <w:rFonts w:hint="eastAsia" w:ascii="宋体" w:hAnsi="宋体" w:eastAsia="宋体" w:cs="宋体"/>
          <w:b w:val="0"/>
          <w:i w:val="0"/>
          <w:iCs/>
          <w:color w:val="auto"/>
          <w:sz w:val="24"/>
          <w:highlight w:val="none"/>
          <w:lang w:val="en-US" w:eastAsia="zh-CN"/>
        </w:rPr>
        <w:t>（非残疾人福利性单位磋商不需此件）</w:t>
      </w:r>
    </w:p>
    <w:p w14:paraId="64E770F9">
      <w:pPr>
        <w:spacing w:line="360" w:lineRule="auto"/>
        <w:ind w:firstLine="435"/>
        <w:rPr>
          <w:rFonts w:hint="eastAsia" w:ascii="宋体" w:hAnsi="宋体" w:eastAsia="宋体" w:cs="宋体"/>
          <w:color w:val="auto"/>
          <w:spacing w:val="6"/>
          <w:sz w:val="24"/>
          <w:szCs w:val="24"/>
          <w:highlight w:val="none"/>
        </w:rPr>
      </w:pPr>
    </w:p>
    <w:p w14:paraId="23977F26">
      <w:pPr>
        <w:spacing w:line="360" w:lineRule="auto"/>
        <w:ind w:firstLine="435"/>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w:t>
      </w:r>
      <w:r>
        <w:rPr>
          <w:rFonts w:hint="eastAsia" w:ascii="宋体" w:hAnsi="宋体" w:eastAsia="宋体" w:cs="宋体"/>
          <w:color w:val="auto"/>
          <w:sz w:val="24"/>
          <w:highlight w:val="none"/>
        </w:rPr>
        <w:t>郑重</w:t>
      </w:r>
      <w:r>
        <w:rPr>
          <w:rFonts w:hint="eastAsia" w:ascii="宋体" w:hAnsi="宋体" w:eastAsia="宋体" w:cs="宋体"/>
          <w:color w:val="auto"/>
          <w:spacing w:val="6"/>
          <w:sz w:val="24"/>
          <w:szCs w:val="24"/>
          <w:highlight w:val="none"/>
        </w:rPr>
        <w:t>声明，根据《财政部 民政部 中国残疾人联合会关于促进残疾人就业政府采购政策的通知》（财库</w:t>
      </w:r>
      <w:r>
        <w:rPr>
          <w:rFonts w:hint="eastAsia" w:ascii="宋体" w:hAnsi="宋体" w:eastAsia="宋体" w:cs="宋体"/>
          <w:color w:val="auto"/>
          <w:sz w:val="24"/>
          <w:szCs w:val="24"/>
          <w:highlight w:val="none"/>
        </w:rPr>
        <w:t>〔2017〕141</w:t>
      </w:r>
      <w:r>
        <w:rPr>
          <w:rFonts w:hint="eastAsia" w:ascii="宋体" w:hAnsi="宋体" w:eastAsia="宋体" w:cs="宋体"/>
          <w:color w:val="auto"/>
          <w:spacing w:val="6"/>
          <w:sz w:val="24"/>
          <w:szCs w:val="24"/>
          <w:highlight w:val="none"/>
        </w:rPr>
        <w:t>号）的规定，本单位为</w:t>
      </w:r>
      <w:r>
        <w:rPr>
          <w:rFonts w:hint="eastAsia" w:ascii="宋体" w:hAnsi="宋体" w:eastAsia="宋体" w:cs="宋体"/>
          <w:bCs/>
          <w:color w:val="auto"/>
          <w:sz w:val="24"/>
          <w:szCs w:val="24"/>
          <w:highlight w:val="none"/>
        </w:rPr>
        <w:t>符合</w:t>
      </w:r>
      <w:r>
        <w:rPr>
          <w:rFonts w:hint="eastAsia" w:ascii="宋体" w:hAnsi="宋体" w:eastAsia="宋体" w:cs="宋体"/>
          <w:color w:val="auto"/>
          <w:spacing w:val="6"/>
          <w:sz w:val="24"/>
          <w:szCs w:val="24"/>
          <w:highlight w:val="none"/>
        </w:rPr>
        <w:t>条件的残疾人福利性单位，且本单位参加</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单位的</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项目采购活动</w:t>
      </w:r>
      <w:r>
        <w:rPr>
          <w:rFonts w:hint="eastAsia" w:ascii="宋体" w:hAnsi="宋体" w:eastAsia="宋体" w:cs="宋体"/>
          <w:color w:val="auto"/>
          <w:spacing w:val="6"/>
          <w:sz w:val="24"/>
          <w:szCs w:val="24"/>
          <w:highlight w:val="none"/>
          <w:lang w:val="en-US" w:eastAsia="zh-CN"/>
        </w:rPr>
        <w:t>由本单位提供服务</w:t>
      </w:r>
      <w:r>
        <w:rPr>
          <w:rFonts w:hint="eastAsia" w:ascii="宋体" w:hAnsi="宋体" w:eastAsia="宋体" w:cs="宋体"/>
          <w:color w:val="auto"/>
          <w:spacing w:val="6"/>
          <w:sz w:val="24"/>
          <w:szCs w:val="24"/>
          <w:highlight w:val="none"/>
        </w:rPr>
        <w:t>，或者</w:t>
      </w:r>
      <w:r>
        <w:rPr>
          <w:rFonts w:hint="eastAsia" w:ascii="宋体" w:hAnsi="宋体" w:eastAsia="宋体" w:cs="宋体"/>
          <w:color w:val="auto"/>
          <w:spacing w:val="6"/>
          <w:sz w:val="24"/>
          <w:szCs w:val="24"/>
          <w:highlight w:val="none"/>
          <w:lang w:val="en-US" w:eastAsia="zh-CN"/>
        </w:rPr>
        <w:t>由</w:t>
      </w:r>
      <w:r>
        <w:rPr>
          <w:rFonts w:hint="eastAsia" w:ascii="宋体" w:hAnsi="宋体" w:eastAsia="宋体" w:cs="宋体"/>
          <w:color w:val="auto"/>
          <w:spacing w:val="6"/>
          <w:sz w:val="24"/>
          <w:szCs w:val="24"/>
          <w:highlight w:val="none"/>
        </w:rPr>
        <w:t>其他残疾人福利性单位</w:t>
      </w:r>
      <w:r>
        <w:rPr>
          <w:rFonts w:hint="eastAsia" w:ascii="宋体" w:hAnsi="宋体" w:eastAsia="宋体" w:cs="宋体"/>
          <w:color w:val="auto"/>
          <w:spacing w:val="6"/>
          <w:sz w:val="24"/>
          <w:szCs w:val="24"/>
          <w:highlight w:val="none"/>
          <w:lang w:val="en-US" w:eastAsia="zh-CN"/>
        </w:rPr>
        <w:t>提供服务</w:t>
      </w:r>
      <w:r>
        <w:rPr>
          <w:rFonts w:hint="eastAsia" w:ascii="宋体" w:hAnsi="宋体" w:eastAsia="宋体" w:cs="宋体"/>
          <w:color w:val="auto"/>
          <w:spacing w:val="6"/>
          <w:sz w:val="24"/>
          <w:szCs w:val="24"/>
          <w:highlight w:val="none"/>
        </w:rPr>
        <w:t>。</w:t>
      </w:r>
    </w:p>
    <w:p w14:paraId="53CF47F3">
      <w:pPr>
        <w:spacing w:line="360" w:lineRule="auto"/>
        <w:ind w:firstLine="435"/>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7ABC0195">
      <w:pPr>
        <w:spacing w:line="360" w:lineRule="auto"/>
        <w:ind w:firstLine="4228" w:firstLineChars="1762"/>
        <w:rPr>
          <w:rFonts w:hint="eastAsia" w:ascii="宋体" w:hAnsi="宋体" w:eastAsia="宋体" w:cs="宋体"/>
          <w:color w:val="auto"/>
          <w:sz w:val="24"/>
          <w:szCs w:val="24"/>
          <w:highlight w:val="none"/>
        </w:rPr>
      </w:pPr>
    </w:p>
    <w:p w14:paraId="6FA82C15">
      <w:pPr>
        <w:spacing w:line="360" w:lineRule="auto"/>
        <w:ind w:firstLine="4228" w:firstLineChars="1762"/>
        <w:rPr>
          <w:rFonts w:hint="eastAsia" w:ascii="宋体" w:hAnsi="宋体" w:eastAsia="宋体" w:cs="宋体"/>
          <w:color w:val="auto"/>
          <w:sz w:val="24"/>
          <w:szCs w:val="24"/>
          <w:highlight w:val="none"/>
        </w:rPr>
      </w:pPr>
    </w:p>
    <w:p w14:paraId="23EB6169">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供应商盖章：</w:t>
      </w:r>
      <w:r>
        <w:rPr>
          <w:rFonts w:hint="eastAsia" w:ascii="宋体" w:hAnsi="宋体" w:eastAsia="宋体" w:cs="宋体"/>
          <w:color w:val="auto"/>
          <w:sz w:val="24"/>
          <w:highlight w:val="none"/>
          <w:u w:val="single"/>
        </w:rPr>
        <w:t xml:space="preserve">             </w:t>
      </w:r>
    </w:p>
    <w:p w14:paraId="6845FE3E">
      <w:pPr>
        <w:tabs>
          <w:tab w:val="left" w:pos="630"/>
        </w:tabs>
        <w:spacing w:line="360" w:lineRule="auto"/>
        <w:ind w:firstLine="4800" w:firstLineChars="2000"/>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60C72C40">
      <w:pPr>
        <w:rPr>
          <w:rFonts w:hint="eastAsia" w:ascii="宋体" w:hAnsi="宋体" w:eastAsia="宋体" w:cs="宋体"/>
          <w:b/>
          <w:color w:val="auto"/>
          <w:sz w:val="24"/>
          <w:highlight w:val="none"/>
        </w:rPr>
      </w:pPr>
    </w:p>
    <w:p w14:paraId="73C433E7">
      <w:pPr>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p>
    <w:p w14:paraId="36244FC4">
      <w:pPr>
        <w:spacing w:line="360" w:lineRule="auto"/>
        <w:jc w:val="center"/>
        <w:outlineLvl w:val="1"/>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九</w:t>
      </w:r>
      <w:r>
        <w:rPr>
          <w:rFonts w:hint="eastAsia" w:ascii="宋体" w:hAnsi="宋体" w:eastAsia="宋体" w:cs="宋体"/>
          <w:b/>
          <w:color w:val="auto"/>
          <w:sz w:val="24"/>
          <w:highlight w:val="none"/>
        </w:rPr>
        <w:t>、联合协议</w:t>
      </w:r>
    </w:p>
    <w:p w14:paraId="1F860FFB">
      <w:pPr>
        <w:pStyle w:val="22"/>
        <w:spacing w:line="360" w:lineRule="auto"/>
        <w:rPr>
          <w:rFonts w:hint="eastAsia" w:ascii="宋体" w:hAnsi="宋体" w:eastAsia="宋体" w:cs="宋体"/>
          <w:color w:val="auto"/>
          <w:sz w:val="24"/>
          <w:highlight w:val="none"/>
        </w:rPr>
      </w:pPr>
      <w:r>
        <w:rPr>
          <w:rFonts w:hint="eastAsia" w:ascii="宋体" w:hAnsi="宋体" w:eastAsia="宋体" w:cs="宋体"/>
          <w:b w:val="0"/>
          <w:i w:val="0"/>
          <w:iCs/>
          <w:color w:val="auto"/>
          <w:sz w:val="24"/>
          <w:highlight w:val="none"/>
        </w:rPr>
        <w:t>（不允许联合体</w:t>
      </w:r>
      <w:r>
        <w:rPr>
          <w:rFonts w:hint="eastAsia" w:ascii="宋体" w:hAnsi="宋体" w:eastAsia="宋体" w:cs="宋体"/>
          <w:b w:val="0"/>
          <w:i w:val="0"/>
          <w:iCs/>
          <w:color w:val="auto"/>
          <w:sz w:val="24"/>
          <w:highlight w:val="none"/>
          <w:lang w:val="en-US" w:eastAsia="zh-CN"/>
        </w:rPr>
        <w:t>磋商</w:t>
      </w:r>
      <w:r>
        <w:rPr>
          <w:rFonts w:hint="eastAsia" w:ascii="宋体" w:hAnsi="宋体" w:eastAsia="宋体" w:cs="宋体"/>
          <w:b w:val="0"/>
          <w:i w:val="0"/>
          <w:iCs/>
          <w:color w:val="auto"/>
          <w:sz w:val="24"/>
          <w:highlight w:val="none"/>
        </w:rPr>
        <w:t>或未组成联合体</w:t>
      </w:r>
      <w:r>
        <w:rPr>
          <w:rFonts w:hint="eastAsia" w:ascii="宋体" w:hAnsi="宋体" w:eastAsia="宋体" w:cs="宋体"/>
          <w:b w:val="0"/>
          <w:i w:val="0"/>
          <w:iCs/>
          <w:color w:val="auto"/>
          <w:sz w:val="24"/>
          <w:highlight w:val="none"/>
          <w:lang w:eastAsia="zh-CN"/>
        </w:rPr>
        <w:t>的</w:t>
      </w:r>
      <w:r>
        <w:rPr>
          <w:rFonts w:hint="eastAsia" w:ascii="宋体" w:hAnsi="宋体" w:eastAsia="宋体" w:cs="宋体"/>
          <w:b w:val="0"/>
          <w:i w:val="0"/>
          <w:iCs/>
          <w:color w:val="auto"/>
          <w:sz w:val="24"/>
          <w:highlight w:val="none"/>
        </w:rPr>
        <w:t>，不需此件）</w:t>
      </w:r>
    </w:p>
    <w:p w14:paraId="2B27C399">
      <w:pPr>
        <w:spacing w:line="360" w:lineRule="auto"/>
        <w:ind w:firstLine="435"/>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联合体成员一名称：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565A7D98">
      <w:pPr>
        <w:spacing w:line="360" w:lineRule="auto"/>
        <w:ind w:firstLine="435"/>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联合体成员二名称：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6B769A26">
      <w:pPr>
        <w:spacing w:line="360" w:lineRule="auto"/>
        <w:ind w:firstLine="435"/>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w:t>
      </w:r>
    </w:p>
    <w:p w14:paraId="172FE52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上述各成员单位经过友好协商，自愿组成联合体，共同参加本项目的</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，现就联合体参加</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事宜订立如下协议：</w:t>
      </w:r>
    </w:p>
    <w:p w14:paraId="7436537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（成员单位名称）为联合体牵头人。</w:t>
      </w:r>
    </w:p>
    <w:p w14:paraId="1A7E345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2.在本项目</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阶段，联合体牵头人负责</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项目的一切组织、协调工作，并授权代理人以联合体的名义参加项目的</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，代理人在</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、合同签订过程中所签署的一切文件和处理与本次</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有关的一切事务，联合体各方均予以承认并承担法律责任。联合体成交后，联合体各方共同与采购人签订合同，就本项目对采购人承担连带责任。</w:t>
      </w:r>
    </w:p>
    <w:p w14:paraId="7A51B5AD">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3.联合体各成员单位内部的职责分工及各方负责内容的合同金额占总合同金额的百分比如下：</w:t>
      </w:r>
    </w:p>
    <w:p w14:paraId="3EB58619">
      <w:pPr>
        <w:spacing w:line="360" w:lineRule="auto"/>
        <w:ind w:firstLine="435"/>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联合体成员一名称：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，承担</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工作，负责内容的合同金额占总合同金额的百分比：</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6B19E3F1">
      <w:pPr>
        <w:spacing w:line="360" w:lineRule="auto"/>
        <w:ind w:firstLine="435"/>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联合体成员二名称：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，承担</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工作，负责内容的合同金额占总合同金额的百分比：</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01BE5EDF">
      <w:pPr>
        <w:spacing w:line="360" w:lineRule="auto"/>
        <w:ind w:firstLine="435"/>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w:t>
      </w:r>
    </w:p>
    <w:p w14:paraId="037E5F1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工作和联合体在成交后项目实施过程中的有关费用按各自承担的工作量分摊。</w:t>
      </w:r>
    </w:p>
    <w:p w14:paraId="35E5E94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5．联合体成交后，本联合协议是合同的附件，对联合体各成员单位有合同约束力。</w:t>
      </w:r>
    </w:p>
    <w:p w14:paraId="22B31A4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6．本协议书自签署之日起生效，联合体未成交或者合同履行完毕后自动失效。</w:t>
      </w:r>
    </w:p>
    <w:p w14:paraId="06696AC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联合体成员一：</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（公章）</w:t>
      </w:r>
    </w:p>
    <w:p w14:paraId="500768F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（签字或盖章）</w:t>
      </w:r>
    </w:p>
    <w:p w14:paraId="4A98547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联合体成员二：</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（公章）</w:t>
      </w:r>
    </w:p>
    <w:p w14:paraId="7AB6B2C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（签字或盖章）</w:t>
      </w:r>
    </w:p>
    <w:p w14:paraId="556F3E6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p w14:paraId="680C4DDC">
      <w:pPr>
        <w:pStyle w:val="22"/>
        <w:spacing w:line="360" w:lineRule="auto"/>
        <w:rPr>
          <w:rFonts w:hint="eastAsia" w:ascii="宋体" w:hAnsi="宋体" w:eastAsia="宋体" w:cs="宋体"/>
          <w:color w:val="auto"/>
          <w:sz w:val="24"/>
          <w:highlight w:val="none"/>
        </w:rPr>
      </w:pPr>
    </w:p>
    <w:p w14:paraId="565FE1EA">
      <w:pPr>
        <w:jc w:val="righ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签订日期</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eastAsia="zh-CN"/>
        </w:rPr>
        <w:t xml:space="preserve">   年   月   日</w:t>
      </w:r>
    </w:p>
    <w:p w14:paraId="00BC8499">
      <w:pPr>
        <w:jc w:val="both"/>
        <w:rPr>
          <w:rFonts w:hint="eastAsia" w:ascii="宋体" w:hAnsi="宋体" w:eastAsia="宋体" w:cs="宋体"/>
          <w:color w:val="auto"/>
          <w:sz w:val="28"/>
          <w:highlight w:val="none"/>
        </w:rPr>
      </w:pPr>
      <w:r>
        <w:rPr>
          <w:rFonts w:hint="eastAsia" w:ascii="宋体" w:hAnsi="宋体" w:eastAsia="宋体" w:cs="宋体"/>
          <w:color w:val="auto"/>
          <w:sz w:val="28"/>
          <w:highlight w:val="none"/>
        </w:rPr>
        <w:br w:type="page"/>
      </w:r>
    </w:p>
    <w:p w14:paraId="1FE40733">
      <w:pPr>
        <w:spacing w:line="360" w:lineRule="auto"/>
        <w:jc w:val="center"/>
        <w:outlineLvl w:val="1"/>
        <w:rPr>
          <w:rFonts w:hint="eastAsia" w:ascii="宋体" w:hAnsi="宋体" w:eastAsia="宋体" w:cs="宋体"/>
          <w:b/>
          <w:color w:val="auto"/>
          <w:sz w:val="24"/>
          <w:highlight w:val="none"/>
          <w:lang w:val="en-US" w:eastAsia="zh-CN"/>
        </w:rPr>
      </w:pPr>
      <w:bookmarkStart w:id="289" w:name="_Toc32534"/>
      <w:r>
        <w:rPr>
          <w:rFonts w:hint="eastAsia" w:ascii="宋体" w:hAnsi="宋体" w:eastAsia="宋体" w:cs="宋体"/>
          <w:b/>
          <w:color w:val="auto"/>
          <w:sz w:val="24"/>
          <w:highlight w:val="none"/>
          <w:lang w:val="en-US" w:eastAsia="zh-CN"/>
        </w:rPr>
        <w:t>十、拟分包情况说明及分包意向协议</w:t>
      </w:r>
      <w:bookmarkEnd w:id="289"/>
    </w:p>
    <w:p w14:paraId="1A80E1C3">
      <w:pPr>
        <w:pStyle w:val="11"/>
        <w:jc w:val="center"/>
        <w:rPr>
          <w:rFonts w:hint="eastAsia" w:ascii="宋体" w:hAnsi="宋体" w:eastAsia="宋体" w:cs="宋体"/>
          <w:b w:val="0"/>
          <w:bCs w:val="0"/>
          <w:i w:val="0"/>
          <w:iCs w:val="0"/>
          <w:color w:val="auto"/>
          <w:kern w:val="2"/>
          <w:sz w:val="24"/>
          <w:szCs w:val="18"/>
          <w:highlight w:val="none"/>
          <w:lang w:val="en-US" w:eastAsia="zh-CN" w:bidi="ar-SA"/>
        </w:rPr>
      </w:pPr>
      <w:r>
        <w:rPr>
          <w:rFonts w:hint="eastAsia" w:ascii="宋体" w:hAnsi="宋体" w:eastAsia="宋体" w:cs="宋体"/>
          <w:b w:val="0"/>
          <w:bCs w:val="0"/>
          <w:i w:val="0"/>
          <w:iCs w:val="0"/>
          <w:color w:val="auto"/>
          <w:kern w:val="2"/>
          <w:sz w:val="24"/>
          <w:szCs w:val="18"/>
          <w:highlight w:val="none"/>
          <w:lang w:val="en-US" w:eastAsia="zh-CN" w:bidi="ar-SA"/>
        </w:rPr>
        <w:t>（</w:t>
      </w:r>
      <w:r>
        <w:rPr>
          <w:rFonts w:hint="eastAsia" w:ascii="宋体" w:hAnsi="宋体" w:eastAsia="宋体" w:cs="宋体"/>
          <w:b w:val="0"/>
          <w:i w:val="0"/>
          <w:iCs w:val="0"/>
          <w:color w:val="auto"/>
          <w:sz w:val="24"/>
          <w:highlight w:val="none"/>
        </w:rPr>
        <w:t>不允许</w:t>
      </w:r>
      <w:r>
        <w:rPr>
          <w:rFonts w:hint="eastAsia" w:ascii="宋体" w:hAnsi="宋体" w:eastAsia="宋体" w:cs="宋体"/>
          <w:b w:val="0"/>
          <w:i w:val="0"/>
          <w:iCs w:val="0"/>
          <w:color w:val="auto"/>
          <w:sz w:val="24"/>
          <w:highlight w:val="none"/>
          <w:lang w:val="en-US" w:eastAsia="zh-CN"/>
        </w:rPr>
        <w:t>合同分包</w:t>
      </w:r>
      <w:r>
        <w:rPr>
          <w:rFonts w:hint="eastAsia" w:ascii="宋体" w:hAnsi="宋体" w:eastAsia="宋体" w:cs="宋体"/>
          <w:b w:val="0"/>
          <w:i w:val="0"/>
          <w:iCs w:val="0"/>
          <w:color w:val="auto"/>
          <w:sz w:val="24"/>
          <w:highlight w:val="none"/>
        </w:rPr>
        <w:t>或未</w:t>
      </w:r>
      <w:r>
        <w:rPr>
          <w:rFonts w:hint="eastAsia" w:ascii="宋体" w:hAnsi="宋体" w:eastAsia="宋体" w:cs="宋体"/>
          <w:b w:val="0"/>
          <w:i w:val="0"/>
          <w:iCs w:val="0"/>
          <w:color w:val="auto"/>
          <w:sz w:val="24"/>
          <w:highlight w:val="none"/>
          <w:lang w:val="en-US" w:eastAsia="zh-CN"/>
        </w:rPr>
        <w:t>采用合同分包的</w:t>
      </w:r>
      <w:r>
        <w:rPr>
          <w:rFonts w:hint="eastAsia" w:ascii="宋体" w:hAnsi="宋体" w:eastAsia="宋体" w:cs="宋体"/>
          <w:b w:val="0"/>
          <w:i w:val="0"/>
          <w:iCs w:val="0"/>
          <w:color w:val="auto"/>
          <w:sz w:val="24"/>
          <w:highlight w:val="none"/>
        </w:rPr>
        <w:t>，</w:t>
      </w:r>
      <w:r>
        <w:rPr>
          <w:rFonts w:hint="eastAsia" w:ascii="宋体" w:hAnsi="宋体" w:eastAsia="宋体" w:cs="宋体"/>
          <w:b w:val="0"/>
          <w:bCs w:val="0"/>
          <w:i w:val="0"/>
          <w:iCs w:val="0"/>
          <w:color w:val="auto"/>
          <w:kern w:val="2"/>
          <w:sz w:val="24"/>
          <w:szCs w:val="18"/>
          <w:highlight w:val="none"/>
          <w:lang w:val="en-US" w:eastAsia="zh-CN" w:bidi="ar-SA"/>
        </w:rPr>
        <w:t>不需</w:t>
      </w:r>
      <w:r>
        <w:rPr>
          <w:rFonts w:hint="eastAsia" w:ascii="宋体" w:hAnsi="宋体" w:eastAsia="宋体" w:cs="宋体"/>
          <w:b w:val="0"/>
          <w:i w:val="0"/>
          <w:iCs w:val="0"/>
          <w:color w:val="auto"/>
          <w:sz w:val="24"/>
          <w:highlight w:val="none"/>
          <w:lang w:val="en-US" w:eastAsia="zh-CN"/>
        </w:rPr>
        <w:t>此件）</w:t>
      </w:r>
    </w:p>
    <w:p w14:paraId="58365449">
      <w:pPr>
        <w:spacing w:line="360" w:lineRule="auto"/>
        <w:jc w:val="center"/>
        <w:outlineLvl w:val="2"/>
        <w:rPr>
          <w:rFonts w:hint="eastAsia" w:ascii="宋体" w:hAnsi="宋体" w:eastAsia="宋体" w:cs="宋体"/>
          <w:b/>
          <w:color w:val="auto"/>
          <w:sz w:val="24"/>
          <w:highlight w:val="none"/>
          <w:lang w:val="en-US" w:eastAsia="zh-CN"/>
        </w:rPr>
      </w:pPr>
    </w:p>
    <w:p w14:paraId="33E4379E">
      <w:pPr>
        <w:spacing w:line="360" w:lineRule="auto"/>
        <w:jc w:val="center"/>
        <w:outlineLvl w:val="9"/>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（一）拟分包情况说明</w:t>
      </w:r>
    </w:p>
    <w:p w14:paraId="5D630A86">
      <w:pPr>
        <w:pStyle w:val="15"/>
        <w:spacing w:line="360" w:lineRule="auto"/>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lang w:eastAsia="zh-CN"/>
        </w:rPr>
        <w:t>采购人</w:t>
      </w:r>
      <w:r>
        <w:rPr>
          <w:rFonts w:hint="eastAsia" w:ascii="宋体" w:hAnsi="宋体" w:eastAsia="宋体" w:cs="宋体"/>
          <w:color w:val="auto"/>
          <w:sz w:val="24"/>
          <w:highlight w:val="none"/>
          <w:u w:val="single"/>
          <w:lang w:val="en-US" w:eastAsia="zh-CN"/>
        </w:rPr>
        <w:t>名称</w:t>
      </w:r>
    </w:p>
    <w:p w14:paraId="17EC3048">
      <w:pPr>
        <w:pStyle w:val="11"/>
        <w:spacing w:before="181" w:line="359" w:lineRule="auto"/>
        <w:ind w:left="9" w:right="54" w:firstLine="481"/>
        <w:jc w:val="both"/>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我单位参加</w:t>
      </w:r>
      <w:r>
        <w:rPr>
          <w:rFonts w:hint="eastAsia" w:ascii="宋体" w:hAnsi="宋体" w:eastAsia="宋体" w:cs="宋体"/>
          <w:color w:val="auto"/>
          <w:spacing w:val="-3"/>
          <w:sz w:val="24"/>
          <w:szCs w:val="24"/>
          <w:highlight w:val="none"/>
          <w:lang w:val="en-US" w:eastAsia="zh-CN"/>
        </w:rPr>
        <w:t>本项目</w:t>
      </w:r>
      <w:r>
        <w:rPr>
          <w:rFonts w:hint="eastAsia" w:ascii="宋体" w:hAnsi="宋体" w:eastAsia="宋体" w:cs="宋体"/>
          <w:color w:val="auto"/>
          <w:sz w:val="24"/>
          <w:highlight w:val="none"/>
          <w:lang w:eastAsia="zh-CN"/>
        </w:rPr>
        <w:t>磋商</w:t>
      </w:r>
      <w:r>
        <w:rPr>
          <w:rFonts w:hint="eastAsia" w:ascii="宋体" w:hAnsi="宋体" w:eastAsia="宋体" w:cs="宋体"/>
          <w:color w:val="auto"/>
          <w:kern w:val="2"/>
          <w:sz w:val="24"/>
          <w:szCs w:val="20"/>
          <w:highlight w:val="none"/>
          <w:lang w:val="en-US" w:eastAsia="zh-CN" w:bidi="ar-SA"/>
        </w:rPr>
        <w:t>，拟签订分包合同的单位情况如下表所示，我单位承诺一旦在该项目中获得采购合同将按下表所列情况进行分包，同时承诺分包承担主体不再次分包。</w:t>
      </w:r>
    </w:p>
    <w:tbl>
      <w:tblPr>
        <w:tblStyle w:val="69"/>
        <w:tblW w:w="915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6"/>
        <w:gridCol w:w="1286"/>
        <w:gridCol w:w="1684"/>
        <w:gridCol w:w="1122"/>
        <w:gridCol w:w="1390"/>
        <w:gridCol w:w="1497"/>
        <w:gridCol w:w="1569"/>
      </w:tblGrid>
      <w:tr w14:paraId="7C1252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jc w:val="center"/>
        </w:trPr>
        <w:tc>
          <w:tcPr>
            <w:tcW w:w="606" w:type="dxa"/>
            <w:textDirection w:val="tbRlV"/>
            <w:vAlign w:val="center"/>
          </w:tcPr>
          <w:p w14:paraId="17EEC06F">
            <w:pPr>
              <w:keepNext w:val="0"/>
              <w:keepLines w:val="0"/>
              <w:pageBreakBefore w:val="0"/>
              <w:widowControl w:val="0"/>
              <w:kinsoku/>
              <w:wordWrap/>
              <w:overflowPunct/>
              <w:topLinePunct w:val="0"/>
              <w:autoSpaceDE/>
              <w:autoSpaceDN/>
              <w:bidi w:val="0"/>
              <w:adjustRightInd/>
              <w:snapToGrid/>
              <w:spacing w:line="240" w:lineRule="auto"/>
              <w:ind w:left="170" w:right="164"/>
              <w:jc w:val="center"/>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序号</w:t>
            </w:r>
          </w:p>
        </w:tc>
        <w:tc>
          <w:tcPr>
            <w:tcW w:w="1286" w:type="dxa"/>
            <w:vAlign w:val="center"/>
          </w:tcPr>
          <w:p w14:paraId="62F165E7">
            <w:pPr>
              <w:keepNext w:val="0"/>
              <w:keepLines w:val="0"/>
              <w:pageBreakBefore w:val="0"/>
              <w:widowControl w:val="0"/>
              <w:kinsoku/>
              <w:wordWrap/>
              <w:overflowPunct/>
              <w:topLinePunct w:val="0"/>
              <w:autoSpaceDE/>
              <w:autoSpaceDN/>
              <w:bidi w:val="0"/>
              <w:adjustRightInd/>
              <w:snapToGrid/>
              <w:spacing w:line="240" w:lineRule="auto"/>
              <w:ind w:left="170" w:right="164"/>
              <w:jc w:val="center"/>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分包承担主体名称</w:t>
            </w:r>
          </w:p>
        </w:tc>
        <w:tc>
          <w:tcPr>
            <w:tcW w:w="1684" w:type="dxa"/>
            <w:vAlign w:val="center"/>
          </w:tcPr>
          <w:p w14:paraId="2B24AA25">
            <w:pPr>
              <w:keepNext w:val="0"/>
              <w:keepLines w:val="0"/>
              <w:pageBreakBefore w:val="0"/>
              <w:widowControl w:val="0"/>
              <w:kinsoku/>
              <w:wordWrap/>
              <w:overflowPunct/>
              <w:topLinePunct w:val="0"/>
              <w:autoSpaceDE/>
              <w:autoSpaceDN/>
              <w:bidi w:val="0"/>
              <w:adjustRightInd/>
              <w:snapToGrid/>
              <w:spacing w:line="240" w:lineRule="auto"/>
              <w:ind w:left="170" w:right="164"/>
              <w:jc w:val="center"/>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分包承担主体类型（选择）</w:t>
            </w:r>
          </w:p>
        </w:tc>
        <w:tc>
          <w:tcPr>
            <w:tcW w:w="1122" w:type="dxa"/>
            <w:vAlign w:val="center"/>
          </w:tcPr>
          <w:p w14:paraId="3685EF50">
            <w:pPr>
              <w:keepNext w:val="0"/>
              <w:keepLines w:val="0"/>
              <w:pageBreakBefore w:val="0"/>
              <w:widowControl w:val="0"/>
              <w:kinsoku/>
              <w:wordWrap/>
              <w:overflowPunct/>
              <w:topLinePunct w:val="0"/>
              <w:autoSpaceDE/>
              <w:autoSpaceDN/>
              <w:bidi w:val="0"/>
              <w:adjustRightInd/>
              <w:snapToGrid/>
              <w:spacing w:line="240" w:lineRule="auto"/>
              <w:ind w:left="170" w:right="164"/>
              <w:jc w:val="center"/>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资质等级</w:t>
            </w:r>
          </w:p>
        </w:tc>
        <w:tc>
          <w:tcPr>
            <w:tcW w:w="1390" w:type="dxa"/>
            <w:vAlign w:val="center"/>
          </w:tcPr>
          <w:p w14:paraId="7ABB3766">
            <w:pPr>
              <w:keepNext w:val="0"/>
              <w:keepLines w:val="0"/>
              <w:pageBreakBefore w:val="0"/>
              <w:widowControl w:val="0"/>
              <w:kinsoku/>
              <w:wordWrap/>
              <w:overflowPunct/>
              <w:topLinePunct w:val="0"/>
              <w:autoSpaceDE/>
              <w:autoSpaceDN/>
              <w:bidi w:val="0"/>
              <w:adjustRightInd/>
              <w:snapToGrid/>
              <w:spacing w:line="240" w:lineRule="auto"/>
              <w:ind w:left="170" w:right="164"/>
              <w:jc w:val="center"/>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拟分包合同内容</w:t>
            </w:r>
          </w:p>
        </w:tc>
        <w:tc>
          <w:tcPr>
            <w:tcW w:w="1497" w:type="dxa"/>
            <w:vAlign w:val="center"/>
          </w:tcPr>
          <w:p w14:paraId="04EE92D9">
            <w:pPr>
              <w:keepNext w:val="0"/>
              <w:keepLines w:val="0"/>
              <w:pageBreakBefore w:val="0"/>
              <w:widowControl w:val="0"/>
              <w:kinsoku/>
              <w:wordWrap/>
              <w:overflowPunct/>
              <w:topLinePunct w:val="0"/>
              <w:autoSpaceDE/>
              <w:autoSpaceDN/>
              <w:bidi w:val="0"/>
              <w:adjustRightInd/>
              <w:snapToGrid/>
              <w:spacing w:line="240" w:lineRule="auto"/>
              <w:ind w:left="170" w:right="164"/>
              <w:jc w:val="center"/>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拟分包合同金额（人民币元）</w:t>
            </w:r>
          </w:p>
        </w:tc>
        <w:tc>
          <w:tcPr>
            <w:tcW w:w="1569" w:type="dxa"/>
            <w:vAlign w:val="center"/>
          </w:tcPr>
          <w:p w14:paraId="010CAED5">
            <w:pPr>
              <w:keepNext w:val="0"/>
              <w:keepLines w:val="0"/>
              <w:pageBreakBefore w:val="0"/>
              <w:widowControl w:val="0"/>
              <w:kinsoku/>
              <w:wordWrap/>
              <w:overflowPunct/>
              <w:topLinePunct w:val="0"/>
              <w:autoSpaceDE/>
              <w:autoSpaceDN/>
              <w:bidi w:val="0"/>
              <w:adjustRightInd/>
              <w:snapToGrid/>
              <w:spacing w:line="240" w:lineRule="auto"/>
              <w:ind w:left="170" w:right="164"/>
              <w:jc w:val="center"/>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占合同金额的比例（%）</w:t>
            </w:r>
          </w:p>
        </w:tc>
      </w:tr>
      <w:tr w14:paraId="56F31D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jc w:val="center"/>
        </w:trPr>
        <w:tc>
          <w:tcPr>
            <w:tcW w:w="606" w:type="dxa"/>
            <w:vAlign w:val="center"/>
          </w:tcPr>
          <w:p w14:paraId="29D07385">
            <w:pPr>
              <w:pStyle w:val="70"/>
              <w:spacing w:before="69" w:line="199"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286" w:type="dxa"/>
            <w:vAlign w:val="center"/>
          </w:tcPr>
          <w:p w14:paraId="2F3DB28F">
            <w:pPr>
              <w:pStyle w:val="70"/>
              <w:jc w:val="both"/>
              <w:rPr>
                <w:rFonts w:hint="eastAsia" w:ascii="宋体" w:hAnsi="宋体" w:eastAsia="宋体" w:cs="宋体"/>
                <w:color w:val="auto"/>
                <w:highlight w:val="none"/>
              </w:rPr>
            </w:pPr>
          </w:p>
        </w:tc>
        <w:tc>
          <w:tcPr>
            <w:tcW w:w="1684" w:type="dxa"/>
            <w:vAlign w:val="center"/>
          </w:tcPr>
          <w:p w14:paraId="60FDB7B0">
            <w:pPr>
              <w:pStyle w:val="70"/>
              <w:spacing w:before="37" w:line="221" w:lineRule="auto"/>
              <w:ind w:left="134"/>
              <w:jc w:val="both"/>
              <w:rPr>
                <w:rFonts w:hint="eastAsia" w:ascii="宋体" w:hAnsi="宋体" w:eastAsia="宋体" w:cs="宋体"/>
                <w:color w:val="auto"/>
                <w:sz w:val="24"/>
                <w:szCs w:val="24"/>
                <w:highlight w:val="none"/>
              </w:rPr>
            </w:pPr>
            <w:r>
              <w:rPr>
                <w:rFonts w:hint="eastAsia" w:ascii="宋体" w:hAnsi="宋体" w:eastAsia="宋体" w:cs="宋体"/>
                <w:color w:val="auto"/>
                <w:spacing w:val="11"/>
                <w:sz w:val="24"/>
                <w:szCs w:val="24"/>
                <w:highlight w:val="none"/>
              </w:rPr>
              <w:t>□中型企业</w:t>
            </w:r>
          </w:p>
          <w:p w14:paraId="2DAF9B7F">
            <w:pPr>
              <w:pStyle w:val="70"/>
              <w:spacing w:before="22" w:line="223" w:lineRule="auto"/>
              <w:ind w:left="373" w:right="208" w:hanging="239"/>
              <w:jc w:val="both"/>
              <w:rPr>
                <w:rFonts w:hint="eastAsia" w:ascii="宋体" w:hAnsi="宋体" w:eastAsia="宋体" w:cs="宋体"/>
                <w:color w:val="auto"/>
                <w:spacing w:val="11"/>
                <w:sz w:val="24"/>
                <w:szCs w:val="24"/>
                <w:highlight w:val="none"/>
                <w:lang w:val="en-US" w:eastAsia="zh-CN"/>
              </w:rPr>
            </w:pPr>
            <w:r>
              <w:rPr>
                <w:rFonts w:hint="eastAsia" w:ascii="宋体" w:hAnsi="宋体" w:eastAsia="宋体" w:cs="宋体"/>
                <w:color w:val="auto"/>
                <w:spacing w:val="11"/>
                <w:sz w:val="24"/>
                <w:szCs w:val="24"/>
                <w:highlight w:val="none"/>
              </w:rPr>
              <w:t>□小微企</w:t>
            </w:r>
            <w:r>
              <w:rPr>
                <w:rFonts w:hint="eastAsia" w:ascii="宋体" w:hAnsi="宋体" w:eastAsia="宋体" w:cs="宋体"/>
                <w:color w:val="auto"/>
                <w:spacing w:val="11"/>
                <w:sz w:val="24"/>
                <w:szCs w:val="24"/>
                <w:highlight w:val="none"/>
                <w:lang w:val="en-US" w:eastAsia="zh-CN"/>
              </w:rPr>
              <w:t>业</w:t>
            </w:r>
          </w:p>
          <w:p w14:paraId="34208ADC">
            <w:pPr>
              <w:pStyle w:val="70"/>
              <w:spacing w:before="22" w:line="223" w:lineRule="auto"/>
              <w:ind w:left="373" w:right="208" w:hanging="239"/>
              <w:jc w:val="both"/>
              <w:rPr>
                <w:rFonts w:hint="eastAsia" w:ascii="宋体" w:hAnsi="宋体" w:eastAsia="宋体" w:cs="宋体"/>
                <w:color w:val="auto"/>
                <w:sz w:val="24"/>
                <w:szCs w:val="24"/>
                <w:highlight w:val="none"/>
              </w:rPr>
            </w:pPr>
            <w:r>
              <w:rPr>
                <w:rFonts w:hint="eastAsia" w:ascii="宋体" w:hAnsi="宋体" w:eastAsia="宋体" w:cs="宋体"/>
                <w:color w:val="auto"/>
                <w:spacing w:val="19"/>
                <w:sz w:val="24"/>
                <w:szCs w:val="24"/>
                <w:highlight w:val="none"/>
              </w:rPr>
              <w:t>□其他</w:t>
            </w:r>
          </w:p>
        </w:tc>
        <w:tc>
          <w:tcPr>
            <w:tcW w:w="1122" w:type="dxa"/>
            <w:vAlign w:val="center"/>
          </w:tcPr>
          <w:p w14:paraId="710B62A5">
            <w:pPr>
              <w:pStyle w:val="70"/>
              <w:jc w:val="both"/>
              <w:rPr>
                <w:rFonts w:hint="eastAsia" w:ascii="宋体" w:hAnsi="宋体" w:eastAsia="宋体" w:cs="宋体"/>
                <w:color w:val="auto"/>
                <w:highlight w:val="none"/>
              </w:rPr>
            </w:pPr>
          </w:p>
        </w:tc>
        <w:tc>
          <w:tcPr>
            <w:tcW w:w="1390" w:type="dxa"/>
            <w:vAlign w:val="center"/>
          </w:tcPr>
          <w:p w14:paraId="071FE57E">
            <w:pPr>
              <w:pStyle w:val="70"/>
              <w:jc w:val="both"/>
              <w:rPr>
                <w:rFonts w:hint="eastAsia" w:ascii="宋体" w:hAnsi="宋体" w:eastAsia="宋体" w:cs="宋体"/>
                <w:color w:val="auto"/>
                <w:highlight w:val="none"/>
              </w:rPr>
            </w:pPr>
          </w:p>
        </w:tc>
        <w:tc>
          <w:tcPr>
            <w:tcW w:w="1497" w:type="dxa"/>
            <w:vAlign w:val="center"/>
          </w:tcPr>
          <w:p w14:paraId="34AC6C17">
            <w:pPr>
              <w:pStyle w:val="70"/>
              <w:jc w:val="both"/>
              <w:rPr>
                <w:rFonts w:hint="eastAsia" w:ascii="宋体" w:hAnsi="宋体" w:eastAsia="宋体" w:cs="宋体"/>
                <w:color w:val="auto"/>
                <w:highlight w:val="none"/>
              </w:rPr>
            </w:pPr>
          </w:p>
        </w:tc>
        <w:tc>
          <w:tcPr>
            <w:tcW w:w="1569" w:type="dxa"/>
            <w:vAlign w:val="center"/>
          </w:tcPr>
          <w:p w14:paraId="514F1C7A">
            <w:pPr>
              <w:pStyle w:val="70"/>
              <w:jc w:val="both"/>
              <w:rPr>
                <w:rFonts w:hint="eastAsia" w:ascii="宋体" w:hAnsi="宋体" w:eastAsia="宋体" w:cs="宋体"/>
                <w:color w:val="auto"/>
                <w:highlight w:val="none"/>
              </w:rPr>
            </w:pPr>
          </w:p>
        </w:tc>
      </w:tr>
      <w:tr w14:paraId="6F3B0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2" w:hRule="atLeast"/>
          <w:jc w:val="center"/>
        </w:trPr>
        <w:tc>
          <w:tcPr>
            <w:tcW w:w="606" w:type="dxa"/>
            <w:vAlign w:val="center"/>
          </w:tcPr>
          <w:p w14:paraId="492A627E">
            <w:pPr>
              <w:pStyle w:val="70"/>
              <w:spacing w:before="69" w:line="201"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w:t>
            </w:r>
          </w:p>
        </w:tc>
        <w:tc>
          <w:tcPr>
            <w:tcW w:w="1286" w:type="dxa"/>
            <w:vAlign w:val="center"/>
          </w:tcPr>
          <w:p w14:paraId="109C125A">
            <w:pPr>
              <w:pStyle w:val="70"/>
              <w:jc w:val="both"/>
              <w:rPr>
                <w:rFonts w:hint="eastAsia" w:ascii="宋体" w:hAnsi="宋体" w:eastAsia="宋体" w:cs="宋体"/>
                <w:color w:val="auto"/>
                <w:highlight w:val="none"/>
              </w:rPr>
            </w:pPr>
          </w:p>
        </w:tc>
        <w:tc>
          <w:tcPr>
            <w:tcW w:w="1684" w:type="dxa"/>
            <w:vAlign w:val="center"/>
          </w:tcPr>
          <w:p w14:paraId="11644EF1">
            <w:pPr>
              <w:pStyle w:val="70"/>
              <w:spacing w:before="38" w:line="221" w:lineRule="auto"/>
              <w:ind w:left="134"/>
              <w:jc w:val="both"/>
              <w:rPr>
                <w:rFonts w:hint="eastAsia" w:ascii="宋体" w:hAnsi="宋体" w:eastAsia="宋体" w:cs="宋体"/>
                <w:color w:val="auto"/>
                <w:sz w:val="24"/>
                <w:szCs w:val="24"/>
                <w:highlight w:val="none"/>
              </w:rPr>
            </w:pPr>
            <w:r>
              <w:rPr>
                <w:rFonts w:hint="eastAsia" w:ascii="宋体" w:hAnsi="宋体" w:eastAsia="宋体" w:cs="宋体"/>
                <w:color w:val="auto"/>
                <w:spacing w:val="11"/>
                <w:sz w:val="24"/>
                <w:szCs w:val="24"/>
                <w:highlight w:val="none"/>
              </w:rPr>
              <w:t>□中型企业</w:t>
            </w:r>
          </w:p>
          <w:p w14:paraId="05526C05">
            <w:pPr>
              <w:pStyle w:val="70"/>
              <w:spacing w:before="25" w:line="222" w:lineRule="auto"/>
              <w:ind w:left="373" w:right="208" w:hanging="239"/>
              <w:jc w:val="both"/>
              <w:rPr>
                <w:rFonts w:hint="eastAsia" w:ascii="宋体" w:hAnsi="宋体" w:eastAsia="宋体" w:cs="宋体"/>
                <w:color w:val="auto"/>
                <w:spacing w:val="11"/>
                <w:sz w:val="24"/>
                <w:szCs w:val="24"/>
                <w:highlight w:val="none"/>
              </w:rPr>
            </w:pPr>
            <w:r>
              <w:rPr>
                <w:rFonts w:hint="eastAsia" w:ascii="宋体" w:hAnsi="宋体" w:eastAsia="宋体" w:cs="宋体"/>
                <w:color w:val="auto"/>
                <w:spacing w:val="11"/>
                <w:sz w:val="24"/>
                <w:szCs w:val="24"/>
                <w:highlight w:val="none"/>
              </w:rPr>
              <w:t>□小微企</w:t>
            </w:r>
            <w:r>
              <w:rPr>
                <w:rFonts w:hint="eastAsia" w:ascii="宋体" w:hAnsi="宋体" w:eastAsia="宋体" w:cs="宋体"/>
                <w:color w:val="auto"/>
                <w:spacing w:val="11"/>
                <w:sz w:val="24"/>
                <w:szCs w:val="24"/>
                <w:highlight w:val="none"/>
                <w:lang w:val="en-US" w:eastAsia="zh-CN"/>
              </w:rPr>
              <w:t>业</w:t>
            </w:r>
          </w:p>
          <w:p w14:paraId="55DF6CDC">
            <w:pPr>
              <w:pStyle w:val="70"/>
              <w:spacing w:before="25" w:line="222" w:lineRule="auto"/>
              <w:ind w:left="373" w:right="208" w:hanging="239"/>
              <w:jc w:val="both"/>
              <w:rPr>
                <w:rFonts w:hint="eastAsia" w:ascii="宋体" w:hAnsi="宋体" w:eastAsia="宋体" w:cs="宋体"/>
                <w:color w:val="auto"/>
                <w:sz w:val="24"/>
                <w:szCs w:val="24"/>
                <w:highlight w:val="none"/>
              </w:rPr>
            </w:pPr>
            <w:r>
              <w:rPr>
                <w:rFonts w:hint="eastAsia" w:ascii="宋体" w:hAnsi="宋体" w:eastAsia="宋体" w:cs="宋体"/>
                <w:color w:val="auto"/>
                <w:spacing w:val="19"/>
                <w:sz w:val="24"/>
                <w:szCs w:val="24"/>
                <w:highlight w:val="none"/>
              </w:rPr>
              <w:t>□其他</w:t>
            </w:r>
          </w:p>
        </w:tc>
        <w:tc>
          <w:tcPr>
            <w:tcW w:w="1122" w:type="dxa"/>
            <w:vAlign w:val="center"/>
          </w:tcPr>
          <w:p w14:paraId="72C299FB">
            <w:pPr>
              <w:pStyle w:val="70"/>
              <w:jc w:val="both"/>
              <w:rPr>
                <w:rFonts w:hint="eastAsia" w:ascii="宋体" w:hAnsi="宋体" w:eastAsia="宋体" w:cs="宋体"/>
                <w:color w:val="auto"/>
                <w:highlight w:val="none"/>
              </w:rPr>
            </w:pPr>
          </w:p>
        </w:tc>
        <w:tc>
          <w:tcPr>
            <w:tcW w:w="1390" w:type="dxa"/>
            <w:vAlign w:val="center"/>
          </w:tcPr>
          <w:p w14:paraId="0C8BB6BF">
            <w:pPr>
              <w:pStyle w:val="70"/>
              <w:jc w:val="both"/>
              <w:rPr>
                <w:rFonts w:hint="eastAsia" w:ascii="宋体" w:hAnsi="宋体" w:eastAsia="宋体" w:cs="宋体"/>
                <w:color w:val="auto"/>
                <w:highlight w:val="none"/>
              </w:rPr>
            </w:pPr>
          </w:p>
        </w:tc>
        <w:tc>
          <w:tcPr>
            <w:tcW w:w="1497" w:type="dxa"/>
            <w:vAlign w:val="center"/>
          </w:tcPr>
          <w:p w14:paraId="653A35CF">
            <w:pPr>
              <w:pStyle w:val="70"/>
              <w:jc w:val="both"/>
              <w:rPr>
                <w:rFonts w:hint="eastAsia" w:ascii="宋体" w:hAnsi="宋体" w:eastAsia="宋体" w:cs="宋体"/>
                <w:color w:val="auto"/>
                <w:highlight w:val="none"/>
              </w:rPr>
            </w:pPr>
          </w:p>
        </w:tc>
        <w:tc>
          <w:tcPr>
            <w:tcW w:w="1569" w:type="dxa"/>
            <w:vAlign w:val="center"/>
          </w:tcPr>
          <w:p w14:paraId="34B2E266">
            <w:pPr>
              <w:pStyle w:val="70"/>
              <w:jc w:val="both"/>
              <w:rPr>
                <w:rFonts w:hint="eastAsia" w:ascii="宋体" w:hAnsi="宋体" w:eastAsia="宋体" w:cs="宋体"/>
                <w:color w:val="auto"/>
                <w:highlight w:val="none"/>
              </w:rPr>
            </w:pPr>
          </w:p>
        </w:tc>
      </w:tr>
      <w:tr w14:paraId="608A3A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5" w:hRule="atLeast"/>
          <w:jc w:val="center"/>
        </w:trPr>
        <w:tc>
          <w:tcPr>
            <w:tcW w:w="606" w:type="dxa"/>
            <w:vAlign w:val="center"/>
          </w:tcPr>
          <w:p w14:paraId="61FA861B">
            <w:pPr>
              <w:pStyle w:val="70"/>
              <w:spacing w:before="69" w:line="81" w:lineRule="exact"/>
              <w:jc w:val="center"/>
              <w:rPr>
                <w:rFonts w:hint="eastAsia" w:ascii="宋体" w:hAnsi="宋体" w:eastAsia="宋体" w:cs="宋体"/>
                <w:color w:val="auto"/>
                <w:sz w:val="24"/>
                <w:szCs w:val="24"/>
                <w:highlight w:val="none"/>
              </w:rPr>
            </w:pPr>
            <w:r>
              <w:rPr>
                <w:rFonts w:hint="eastAsia" w:ascii="宋体" w:hAnsi="宋体" w:eastAsia="宋体" w:cs="宋体"/>
                <w:color w:val="auto"/>
                <w:position w:val="1"/>
                <w:sz w:val="24"/>
                <w:szCs w:val="24"/>
                <w:highlight w:val="none"/>
              </w:rPr>
              <w:t>…</w:t>
            </w:r>
          </w:p>
        </w:tc>
        <w:tc>
          <w:tcPr>
            <w:tcW w:w="1286" w:type="dxa"/>
            <w:vAlign w:val="center"/>
          </w:tcPr>
          <w:p w14:paraId="296FD1A8">
            <w:pPr>
              <w:pStyle w:val="70"/>
              <w:jc w:val="both"/>
              <w:rPr>
                <w:rFonts w:hint="eastAsia" w:ascii="宋体" w:hAnsi="宋体" w:eastAsia="宋体" w:cs="宋体"/>
                <w:color w:val="auto"/>
                <w:highlight w:val="none"/>
              </w:rPr>
            </w:pPr>
          </w:p>
        </w:tc>
        <w:tc>
          <w:tcPr>
            <w:tcW w:w="1684" w:type="dxa"/>
            <w:vAlign w:val="center"/>
          </w:tcPr>
          <w:p w14:paraId="7B9C2B5B">
            <w:pPr>
              <w:pStyle w:val="70"/>
              <w:jc w:val="both"/>
              <w:rPr>
                <w:rFonts w:hint="eastAsia" w:ascii="宋体" w:hAnsi="宋体" w:eastAsia="宋体" w:cs="宋体"/>
                <w:color w:val="auto"/>
                <w:highlight w:val="none"/>
              </w:rPr>
            </w:pPr>
          </w:p>
        </w:tc>
        <w:tc>
          <w:tcPr>
            <w:tcW w:w="1122" w:type="dxa"/>
            <w:vAlign w:val="center"/>
          </w:tcPr>
          <w:p w14:paraId="094F9DFE">
            <w:pPr>
              <w:pStyle w:val="70"/>
              <w:jc w:val="both"/>
              <w:rPr>
                <w:rFonts w:hint="eastAsia" w:ascii="宋体" w:hAnsi="宋体" w:eastAsia="宋体" w:cs="宋体"/>
                <w:color w:val="auto"/>
                <w:highlight w:val="none"/>
              </w:rPr>
            </w:pPr>
          </w:p>
        </w:tc>
        <w:tc>
          <w:tcPr>
            <w:tcW w:w="1390" w:type="dxa"/>
            <w:vAlign w:val="center"/>
          </w:tcPr>
          <w:p w14:paraId="631F23A9">
            <w:pPr>
              <w:pStyle w:val="70"/>
              <w:jc w:val="both"/>
              <w:rPr>
                <w:rFonts w:hint="eastAsia" w:ascii="宋体" w:hAnsi="宋体" w:eastAsia="宋体" w:cs="宋体"/>
                <w:color w:val="auto"/>
                <w:highlight w:val="none"/>
              </w:rPr>
            </w:pPr>
          </w:p>
        </w:tc>
        <w:tc>
          <w:tcPr>
            <w:tcW w:w="1497" w:type="dxa"/>
            <w:vAlign w:val="center"/>
          </w:tcPr>
          <w:p w14:paraId="09ACD010">
            <w:pPr>
              <w:pStyle w:val="70"/>
              <w:jc w:val="both"/>
              <w:rPr>
                <w:rFonts w:hint="eastAsia" w:ascii="宋体" w:hAnsi="宋体" w:eastAsia="宋体" w:cs="宋体"/>
                <w:color w:val="auto"/>
                <w:highlight w:val="none"/>
              </w:rPr>
            </w:pPr>
          </w:p>
        </w:tc>
        <w:tc>
          <w:tcPr>
            <w:tcW w:w="1569" w:type="dxa"/>
            <w:vAlign w:val="center"/>
          </w:tcPr>
          <w:p w14:paraId="1FB6B0FE">
            <w:pPr>
              <w:pStyle w:val="70"/>
              <w:jc w:val="both"/>
              <w:rPr>
                <w:rFonts w:hint="eastAsia" w:ascii="宋体" w:hAnsi="宋体" w:eastAsia="宋体" w:cs="宋体"/>
                <w:color w:val="auto"/>
                <w:highlight w:val="none"/>
              </w:rPr>
            </w:pPr>
          </w:p>
        </w:tc>
      </w:tr>
      <w:tr w14:paraId="07DD60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6088" w:type="dxa"/>
            <w:gridSpan w:val="5"/>
            <w:vAlign w:val="center"/>
          </w:tcPr>
          <w:p w14:paraId="21F28CF2">
            <w:pPr>
              <w:spacing w:before="193" w:line="222" w:lineRule="auto"/>
              <w:ind w:left="5170"/>
              <w:jc w:val="both"/>
              <w:rPr>
                <w:rFonts w:hint="eastAsia" w:ascii="宋体" w:hAnsi="宋体" w:eastAsia="宋体" w:cs="宋体"/>
                <w:color w:val="auto"/>
                <w:sz w:val="24"/>
                <w:szCs w:val="24"/>
                <w:highlight w:val="none"/>
              </w:rPr>
            </w:pPr>
            <w:r>
              <w:rPr>
                <w:rFonts w:hint="eastAsia" w:ascii="宋体" w:hAnsi="宋体" w:eastAsia="宋体" w:cs="宋体"/>
                <w:color w:val="auto"/>
                <w:spacing w:val="-15"/>
                <w:sz w:val="24"/>
                <w:szCs w:val="24"/>
                <w:highlight w:val="none"/>
              </w:rPr>
              <w:t>合计：</w:t>
            </w:r>
          </w:p>
        </w:tc>
        <w:tc>
          <w:tcPr>
            <w:tcW w:w="1497" w:type="dxa"/>
            <w:vAlign w:val="center"/>
          </w:tcPr>
          <w:p w14:paraId="3FAB4E54">
            <w:pPr>
              <w:pStyle w:val="70"/>
              <w:jc w:val="both"/>
              <w:rPr>
                <w:rFonts w:hint="eastAsia" w:ascii="宋体" w:hAnsi="宋体" w:eastAsia="宋体" w:cs="宋体"/>
                <w:color w:val="auto"/>
                <w:highlight w:val="none"/>
              </w:rPr>
            </w:pPr>
          </w:p>
        </w:tc>
        <w:tc>
          <w:tcPr>
            <w:tcW w:w="1569" w:type="dxa"/>
            <w:vAlign w:val="center"/>
          </w:tcPr>
          <w:p w14:paraId="0EEB1EA8">
            <w:pPr>
              <w:pStyle w:val="70"/>
              <w:jc w:val="both"/>
              <w:rPr>
                <w:rFonts w:hint="eastAsia" w:ascii="宋体" w:hAnsi="宋体" w:eastAsia="宋体" w:cs="宋体"/>
                <w:color w:val="auto"/>
                <w:highlight w:val="none"/>
              </w:rPr>
            </w:pPr>
          </w:p>
        </w:tc>
      </w:tr>
    </w:tbl>
    <w:p w14:paraId="11AD6A36">
      <w:pPr>
        <w:spacing w:line="272" w:lineRule="auto"/>
        <w:rPr>
          <w:rFonts w:hint="eastAsia" w:ascii="宋体" w:hAnsi="宋体" w:eastAsia="宋体" w:cs="宋体"/>
          <w:color w:val="auto"/>
          <w:sz w:val="21"/>
          <w:highlight w:val="none"/>
        </w:rPr>
      </w:pPr>
    </w:p>
    <w:p w14:paraId="2314FA46">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供应商盖章：</w:t>
      </w:r>
      <w:r>
        <w:rPr>
          <w:rFonts w:hint="eastAsia" w:ascii="宋体" w:hAnsi="宋体" w:eastAsia="宋体" w:cs="宋体"/>
          <w:color w:val="auto"/>
          <w:sz w:val="24"/>
          <w:highlight w:val="none"/>
          <w:u w:val="single"/>
        </w:rPr>
        <w:t xml:space="preserve">             </w:t>
      </w:r>
    </w:p>
    <w:p w14:paraId="54673AD9">
      <w:pPr>
        <w:tabs>
          <w:tab w:val="left" w:pos="630"/>
        </w:tabs>
        <w:spacing w:line="360" w:lineRule="auto"/>
        <w:ind w:firstLine="4800" w:firstLineChars="2000"/>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5C9E9712">
      <w:pPr>
        <w:pStyle w:val="11"/>
        <w:spacing w:before="1" w:line="224" w:lineRule="auto"/>
        <w:ind w:left="9"/>
        <w:rPr>
          <w:rFonts w:hint="eastAsia" w:ascii="宋体" w:hAnsi="宋体" w:eastAsia="宋体" w:cs="宋体"/>
          <w:color w:val="auto"/>
          <w:spacing w:val="-17"/>
          <w:sz w:val="24"/>
          <w:szCs w:val="24"/>
          <w:highlight w:val="none"/>
        </w:rPr>
      </w:pPr>
    </w:p>
    <w:p w14:paraId="220D5615">
      <w:pPr>
        <w:pStyle w:val="11"/>
        <w:spacing w:before="1" w:line="224" w:lineRule="auto"/>
        <w:ind w:left="9"/>
        <w:rPr>
          <w:rFonts w:hint="eastAsia" w:ascii="宋体" w:hAnsi="宋体" w:eastAsia="宋体" w:cs="宋体"/>
          <w:color w:val="auto"/>
          <w:sz w:val="24"/>
          <w:szCs w:val="24"/>
          <w:highlight w:val="none"/>
        </w:rPr>
      </w:pPr>
      <w:r>
        <w:rPr>
          <w:rFonts w:hint="eastAsia" w:ascii="宋体" w:hAnsi="宋体" w:eastAsia="宋体" w:cs="宋体"/>
          <w:color w:val="auto"/>
          <w:spacing w:val="-17"/>
          <w:sz w:val="24"/>
          <w:szCs w:val="24"/>
          <w:highlight w:val="none"/>
        </w:rPr>
        <w:t>注：</w:t>
      </w:r>
    </w:p>
    <w:p w14:paraId="32B16094">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1.拟分包情况说明仅需加盖供应商签章。</w:t>
      </w:r>
    </w:p>
    <w:p w14:paraId="4C7EB64E">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考虑</w:t>
      </w:r>
      <w:r>
        <w:rPr>
          <w:rFonts w:hint="eastAsia" w:ascii="宋体" w:hAnsi="宋体" w:eastAsia="宋体" w:cs="宋体"/>
          <w:color w:val="auto"/>
          <w:spacing w:val="-4"/>
          <w:sz w:val="24"/>
          <w:szCs w:val="24"/>
          <w:highlight w:val="none"/>
        </w:rPr>
        <w:t>拟分包合同金额</w:t>
      </w:r>
      <w:r>
        <w:rPr>
          <w:rFonts w:hint="eastAsia" w:ascii="宋体" w:hAnsi="宋体" w:eastAsia="宋体" w:cs="宋体"/>
          <w:color w:val="auto"/>
          <w:sz w:val="24"/>
          <w:highlight w:val="none"/>
        </w:rPr>
        <w:t>的方便，</w:t>
      </w:r>
      <w:r>
        <w:rPr>
          <w:rFonts w:hint="eastAsia" w:ascii="宋体" w:hAnsi="宋体" w:eastAsia="宋体" w:cs="宋体"/>
          <w:b w:val="0"/>
          <w:bCs w:val="0"/>
          <w:color w:val="auto"/>
          <w:sz w:val="24"/>
          <w:highlight w:val="none"/>
          <w:lang w:val="en-US" w:eastAsia="zh-CN"/>
        </w:rPr>
        <w:t>若采购文件无特殊规定，</w:t>
      </w:r>
      <w:r>
        <w:rPr>
          <w:rFonts w:hint="eastAsia" w:ascii="宋体" w:hAnsi="宋体" w:eastAsia="宋体" w:cs="宋体"/>
          <w:color w:val="auto"/>
          <w:sz w:val="24"/>
          <w:highlight w:val="none"/>
        </w:rPr>
        <w:t>供应商在填写</w:t>
      </w:r>
      <w:r>
        <w:rPr>
          <w:rFonts w:hint="eastAsia" w:ascii="宋体" w:hAnsi="宋体" w:eastAsia="宋体" w:cs="宋体"/>
          <w:color w:val="auto"/>
          <w:sz w:val="24"/>
          <w:highlight w:val="none"/>
          <w:lang w:eastAsia="zh-CN"/>
        </w:rPr>
        <w:t>最后报价</w:t>
      </w:r>
      <w:r>
        <w:rPr>
          <w:rFonts w:hint="eastAsia" w:ascii="宋体" w:hAnsi="宋体" w:eastAsia="宋体" w:cs="宋体"/>
          <w:color w:val="auto"/>
          <w:sz w:val="24"/>
          <w:highlight w:val="none"/>
        </w:rPr>
        <w:t>后，（第一次报价-</w:t>
      </w:r>
      <w:r>
        <w:rPr>
          <w:rFonts w:hint="eastAsia" w:ascii="宋体" w:hAnsi="宋体" w:eastAsia="宋体" w:cs="宋体"/>
          <w:color w:val="auto"/>
          <w:sz w:val="24"/>
          <w:highlight w:val="none"/>
          <w:lang w:eastAsia="zh-CN"/>
        </w:rPr>
        <w:t>最后报价</w:t>
      </w:r>
      <w:r>
        <w:rPr>
          <w:rFonts w:hint="eastAsia" w:ascii="宋体" w:hAnsi="宋体" w:eastAsia="宋体" w:cs="宋体"/>
          <w:color w:val="auto"/>
          <w:sz w:val="24"/>
          <w:highlight w:val="none"/>
        </w:rPr>
        <w:t>）除以第一次报价后得出的优惠率视同为</w:t>
      </w:r>
      <w:r>
        <w:rPr>
          <w:rFonts w:hint="eastAsia" w:ascii="宋体" w:hAnsi="宋体" w:eastAsia="宋体" w:cs="宋体"/>
          <w:color w:val="auto"/>
          <w:sz w:val="24"/>
          <w:highlight w:val="none"/>
          <w:lang w:val="en-US" w:eastAsia="zh-CN"/>
        </w:rPr>
        <w:t>上述</w:t>
      </w:r>
      <w:r>
        <w:rPr>
          <w:rFonts w:hint="eastAsia" w:ascii="宋体" w:hAnsi="宋体" w:eastAsia="宋体" w:cs="宋体"/>
          <w:color w:val="auto"/>
          <w:sz w:val="24"/>
          <w:highlight w:val="none"/>
        </w:rPr>
        <w:t>表中</w:t>
      </w:r>
      <w:r>
        <w:rPr>
          <w:rFonts w:hint="eastAsia" w:ascii="宋体" w:hAnsi="宋体" w:eastAsia="宋体" w:cs="宋体"/>
          <w:color w:val="auto"/>
          <w:spacing w:val="-4"/>
          <w:sz w:val="24"/>
          <w:szCs w:val="24"/>
          <w:highlight w:val="none"/>
        </w:rPr>
        <w:t>拟分包合同金额</w:t>
      </w:r>
      <w:r>
        <w:rPr>
          <w:rFonts w:hint="eastAsia" w:ascii="宋体" w:hAnsi="宋体" w:eastAsia="宋体" w:cs="宋体"/>
          <w:color w:val="auto"/>
          <w:sz w:val="24"/>
          <w:highlight w:val="none"/>
        </w:rPr>
        <w:t>的优惠浮动值（特定分项优惠除外），而不考虑措施项目清单和规费税金清单的金额改变</w:t>
      </w:r>
      <w:r>
        <w:rPr>
          <w:rFonts w:hint="eastAsia" w:ascii="宋体" w:hAnsi="宋体" w:eastAsia="宋体" w:cs="宋体"/>
          <w:bCs/>
          <w:color w:val="auto"/>
          <w:sz w:val="24"/>
          <w:highlight w:val="none"/>
        </w:rPr>
        <w:t>。</w:t>
      </w:r>
    </w:p>
    <w:p w14:paraId="5FB4149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如</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文件载明本项目分包承担主体应具备的相应资质条件，则</w:t>
      </w: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rPr>
        <w:t>须在本表中列明分包承担主体的资质等级，并后附</w:t>
      </w:r>
      <w:r>
        <w:rPr>
          <w:rFonts w:hint="eastAsia" w:ascii="宋体" w:hAnsi="宋体" w:eastAsia="宋体" w:cs="宋体"/>
          <w:color w:val="auto"/>
          <w:sz w:val="24"/>
          <w:highlight w:val="none"/>
          <w:lang w:val="en-US" w:eastAsia="zh-CN"/>
        </w:rPr>
        <w:t>材料扫描件或电子证照</w:t>
      </w:r>
      <w:r>
        <w:rPr>
          <w:rFonts w:hint="eastAsia" w:ascii="宋体" w:hAnsi="宋体" w:eastAsia="宋体" w:cs="宋体"/>
          <w:color w:val="auto"/>
          <w:sz w:val="24"/>
          <w:highlight w:val="none"/>
        </w:rPr>
        <w:t>，否则</w:t>
      </w:r>
      <w:r>
        <w:rPr>
          <w:rFonts w:hint="eastAsia" w:ascii="宋体" w:hAnsi="宋体" w:eastAsia="宋体" w:cs="宋体"/>
          <w:b/>
          <w:bCs/>
          <w:color w:val="auto"/>
          <w:sz w:val="24"/>
          <w:highlight w:val="none"/>
          <w:lang w:val="en-US" w:eastAsia="zh-CN"/>
        </w:rPr>
        <w:t>响应</w:t>
      </w:r>
      <w:r>
        <w:rPr>
          <w:rFonts w:hint="eastAsia" w:ascii="宋体" w:hAnsi="宋体" w:eastAsia="宋体" w:cs="宋体"/>
          <w:b/>
          <w:bCs/>
          <w:color w:val="auto"/>
          <w:sz w:val="24"/>
          <w:highlight w:val="none"/>
        </w:rPr>
        <w:t>无效</w:t>
      </w:r>
      <w:r>
        <w:rPr>
          <w:rFonts w:hint="eastAsia" w:ascii="宋体" w:hAnsi="宋体" w:eastAsia="宋体" w:cs="宋体"/>
          <w:color w:val="auto"/>
          <w:sz w:val="24"/>
          <w:highlight w:val="none"/>
        </w:rPr>
        <w:t>。</w:t>
      </w:r>
    </w:p>
    <w:p w14:paraId="783343D7">
      <w:pPr>
        <w:spacing w:line="360" w:lineRule="auto"/>
        <w:ind w:firstLine="435"/>
        <w:rPr>
          <w:rFonts w:hint="eastAsia" w:ascii="宋体" w:hAnsi="宋体" w:eastAsia="宋体" w:cs="宋体"/>
          <w:color w:val="auto"/>
          <w:sz w:val="24"/>
          <w:highlight w:val="none"/>
        </w:rPr>
      </w:pPr>
    </w:p>
    <w:p w14:paraId="782D4841">
      <w:pPr>
        <w:spacing w:line="360" w:lineRule="auto"/>
        <w:ind w:firstLine="435"/>
        <w:rPr>
          <w:rFonts w:hint="eastAsia" w:ascii="宋体" w:hAnsi="宋体" w:eastAsia="宋体" w:cs="宋体"/>
          <w:color w:val="auto"/>
          <w:sz w:val="24"/>
          <w:highlight w:val="none"/>
        </w:rPr>
        <w:sectPr>
          <w:headerReference r:id="rId4" w:type="default"/>
          <w:footerReference r:id="rId5" w:type="default"/>
          <w:pgSz w:w="11907" w:h="16840"/>
          <w:pgMar w:top="1117" w:right="1417" w:bottom="1117" w:left="1417" w:header="510" w:footer="886" w:gutter="0"/>
          <w:pgNumType w:fmt="decimal"/>
          <w:cols w:space="720" w:num="1"/>
        </w:sectPr>
      </w:pPr>
    </w:p>
    <w:p w14:paraId="14405F7E">
      <w:pPr>
        <w:spacing w:line="360" w:lineRule="auto"/>
        <w:jc w:val="center"/>
        <w:outlineLvl w:val="9"/>
        <w:rPr>
          <w:rFonts w:hint="eastAsia" w:ascii="宋体" w:hAnsi="宋体" w:eastAsia="宋体" w:cs="宋体"/>
          <w:color w:val="auto"/>
          <w:sz w:val="24"/>
          <w:highlight w:val="none"/>
          <w:lang w:val="en-US" w:eastAsia="zh-CN"/>
        </w:rPr>
      </w:pPr>
      <w:r>
        <w:rPr>
          <w:rFonts w:hint="eastAsia" w:ascii="宋体" w:hAnsi="宋体" w:eastAsia="宋体" w:cs="宋体"/>
          <w:b/>
          <w:color w:val="auto"/>
          <w:sz w:val="24"/>
          <w:highlight w:val="none"/>
          <w:lang w:val="en-US" w:eastAsia="zh-CN"/>
        </w:rPr>
        <w:t>（二）分包意向协议</w:t>
      </w:r>
    </w:p>
    <w:p w14:paraId="0C5CD83B">
      <w:pPr>
        <w:spacing w:line="360" w:lineRule="auto"/>
        <w:ind w:firstLine="435"/>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rPr>
        <w:t>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2A960E6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接受分包企业</w:t>
      </w:r>
      <w:r>
        <w:rPr>
          <w:rFonts w:hint="eastAsia" w:ascii="宋体" w:hAnsi="宋体" w:eastAsia="宋体" w:cs="宋体"/>
          <w:color w:val="auto"/>
          <w:sz w:val="24"/>
          <w:highlight w:val="none"/>
          <w:lang w:val="en-US" w:eastAsia="zh-CN"/>
        </w:rPr>
        <w:t>一</w:t>
      </w:r>
      <w:r>
        <w:rPr>
          <w:rFonts w:hint="eastAsia" w:ascii="宋体" w:hAnsi="宋体" w:eastAsia="宋体" w:cs="宋体"/>
          <w:color w:val="auto"/>
          <w:sz w:val="24"/>
          <w:highlight w:val="none"/>
        </w:rPr>
        <w:t>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05C71A3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接受分包企业</w:t>
      </w:r>
      <w:r>
        <w:rPr>
          <w:rFonts w:hint="eastAsia" w:ascii="宋体" w:hAnsi="宋体" w:eastAsia="宋体" w:cs="宋体"/>
          <w:color w:val="auto"/>
          <w:sz w:val="24"/>
          <w:highlight w:val="none"/>
          <w:lang w:val="en-US" w:eastAsia="zh-CN"/>
        </w:rPr>
        <w:t>二</w:t>
      </w:r>
      <w:r>
        <w:rPr>
          <w:rFonts w:hint="eastAsia" w:ascii="宋体" w:hAnsi="宋体" w:eastAsia="宋体" w:cs="宋体"/>
          <w:color w:val="auto"/>
          <w:sz w:val="24"/>
          <w:highlight w:val="none"/>
        </w:rPr>
        <w:t>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4608DCE0">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w:t>
      </w:r>
    </w:p>
    <w:p w14:paraId="6F77D2A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依据《</w:t>
      </w:r>
      <w:r>
        <w:rPr>
          <w:rFonts w:hint="eastAsia" w:ascii="宋体" w:hAnsi="宋体" w:eastAsia="宋体" w:cs="宋体"/>
          <w:color w:val="auto"/>
          <w:sz w:val="24"/>
          <w:highlight w:val="none"/>
        </w:rPr>
        <w:t>政府采购促进中小企业发展管理办法</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（财库〔2020〕46号）</w:t>
      </w:r>
      <w:r>
        <w:rPr>
          <w:rFonts w:hint="eastAsia" w:ascii="宋体" w:hAnsi="宋体" w:eastAsia="宋体" w:cs="宋体"/>
          <w:color w:val="auto"/>
          <w:sz w:val="24"/>
          <w:highlight w:val="none"/>
          <w:lang w:val="en-US" w:eastAsia="zh-CN"/>
        </w:rPr>
        <w:t>第八条规定，</w:t>
      </w:r>
      <w:r>
        <w:rPr>
          <w:rFonts w:hint="eastAsia" w:ascii="宋体" w:hAnsi="宋体" w:eastAsia="宋体" w:cs="宋体"/>
          <w:color w:val="auto"/>
          <w:sz w:val="24"/>
          <w:highlight w:val="none"/>
        </w:rPr>
        <w:t>现就</w:t>
      </w:r>
      <w:r>
        <w:rPr>
          <w:rFonts w:hint="eastAsia" w:ascii="宋体" w:hAnsi="宋体" w:eastAsia="宋体" w:cs="宋体"/>
          <w:color w:val="auto"/>
          <w:sz w:val="24"/>
          <w:highlight w:val="none"/>
          <w:lang w:val="en-US" w:eastAsia="zh-CN"/>
        </w:rPr>
        <w:t>分包意向</w:t>
      </w:r>
      <w:r>
        <w:rPr>
          <w:rFonts w:hint="eastAsia" w:ascii="宋体" w:hAnsi="宋体" w:eastAsia="宋体" w:cs="宋体"/>
          <w:color w:val="auto"/>
          <w:sz w:val="24"/>
          <w:highlight w:val="none"/>
        </w:rPr>
        <w:t>事宜订立如下协议：</w:t>
      </w:r>
    </w:p>
    <w:p w14:paraId="2CB85CE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1.本项目供应商</w:t>
      </w:r>
      <w:r>
        <w:rPr>
          <w:rFonts w:hint="eastAsia" w:ascii="宋体" w:hAnsi="宋体" w:eastAsia="宋体" w:cs="宋体"/>
          <w:color w:val="auto"/>
          <w:sz w:val="24"/>
          <w:highlight w:val="none"/>
        </w:rPr>
        <w:t>为</w:t>
      </w:r>
      <w:r>
        <w:rPr>
          <w:rFonts w:hint="eastAsia" w:ascii="宋体" w:hAnsi="宋体" w:eastAsia="宋体" w:cs="宋体"/>
          <w:color w:val="auto"/>
          <w:sz w:val="24"/>
          <w:highlight w:val="none"/>
          <w:lang w:val="en-US" w:eastAsia="zh-CN"/>
        </w:rPr>
        <w:t>本项目总承包单位</w:t>
      </w:r>
      <w:r>
        <w:rPr>
          <w:rFonts w:hint="eastAsia" w:ascii="宋体" w:hAnsi="宋体" w:eastAsia="宋体" w:cs="宋体"/>
          <w:color w:val="auto"/>
          <w:sz w:val="24"/>
          <w:highlight w:val="none"/>
        </w:rPr>
        <w:t>。</w:t>
      </w:r>
    </w:p>
    <w:p w14:paraId="48CB888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2.在本项目</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阶段，</w:t>
      </w:r>
      <w:r>
        <w:rPr>
          <w:rFonts w:hint="eastAsia" w:ascii="宋体" w:hAnsi="宋体" w:eastAsia="宋体" w:cs="宋体"/>
          <w:color w:val="auto"/>
          <w:sz w:val="24"/>
          <w:highlight w:val="none"/>
          <w:lang w:val="en-US" w:eastAsia="zh-CN"/>
        </w:rPr>
        <w:t>总承包单位</w:t>
      </w:r>
      <w:r>
        <w:rPr>
          <w:rFonts w:hint="eastAsia" w:ascii="宋体" w:hAnsi="宋体" w:eastAsia="宋体" w:cs="宋体"/>
          <w:color w:val="auto"/>
          <w:sz w:val="24"/>
          <w:highlight w:val="none"/>
        </w:rPr>
        <w:t>负责</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项目的一切组织、协调工作，并授权代理人参加项目的</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，代理人在项目采购过程中所签署的一切文件和处理与本次</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有关的一切事务，</w:t>
      </w:r>
      <w:r>
        <w:rPr>
          <w:rFonts w:hint="eastAsia" w:ascii="宋体" w:hAnsi="宋体" w:eastAsia="宋体" w:cs="宋体"/>
          <w:color w:val="auto"/>
          <w:sz w:val="24"/>
          <w:highlight w:val="none"/>
          <w:lang w:val="en-US" w:eastAsia="zh-CN"/>
        </w:rPr>
        <w:t>总承包单位与采购人签订本项目采购合同</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分别</w:t>
      </w:r>
      <w:r>
        <w:rPr>
          <w:rFonts w:hint="eastAsia" w:ascii="宋体" w:hAnsi="宋体" w:eastAsia="宋体" w:cs="宋体"/>
          <w:color w:val="auto"/>
          <w:sz w:val="24"/>
          <w:highlight w:val="none"/>
        </w:rPr>
        <w:t>与</w:t>
      </w:r>
      <w:r>
        <w:rPr>
          <w:rFonts w:hint="eastAsia" w:ascii="宋体" w:hAnsi="宋体" w:eastAsia="宋体" w:cs="宋体"/>
          <w:color w:val="auto"/>
          <w:sz w:val="24"/>
          <w:highlight w:val="none"/>
          <w:lang w:val="en-US" w:eastAsia="zh-CN"/>
        </w:rPr>
        <w:t>各分包企业</w:t>
      </w:r>
      <w:r>
        <w:rPr>
          <w:rFonts w:hint="eastAsia" w:ascii="宋体" w:hAnsi="宋体" w:eastAsia="宋体" w:cs="宋体"/>
          <w:color w:val="auto"/>
          <w:sz w:val="24"/>
          <w:highlight w:val="none"/>
        </w:rPr>
        <w:t>签订</w:t>
      </w:r>
      <w:r>
        <w:rPr>
          <w:rFonts w:hint="eastAsia" w:ascii="宋体" w:hAnsi="宋体" w:eastAsia="宋体" w:cs="宋体"/>
          <w:color w:val="auto"/>
          <w:sz w:val="24"/>
          <w:highlight w:val="none"/>
          <w:lang w:val="en-US" w:eastAsia="zh-CN"/>
        </w:rPr>
        <w:t>分包</w:t>
      </w:r>
      <w:r>
        <w:rPr>
          <w:rFonts w:hint="eastAsia" w:ascii="宋体" w:hAnsi="宋体" w:eastAsia="宋体" w:cs="宋体"/>
          <w:color w:val="auto"/>
          <w:sz w:val="24"/>
          <w:highlight w:val="none"/>
        </w:rPr>
        <w:t>合同，就本项目对采购人承担连带责任。</w:t>
      </w:r>
    </w:p>
    <w:p w14:paraId="4C987FF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r>
        <w:rPr>
          <w:rFonts w:hint="eastAsia" w:ascii="宋体" w:hAnsi="宋体" w:eastAsia="宋体" w:cs="宋体"/>
          <w:color w:val="auto"/>
          <w:sz w:val="24"/>
          <w:highlight w:val="none"/>
          <w:lang w:val="en-US" w:eastAsia="zh-CN"/>
        </w:rPr>
        <w:t>各</w:t>
      </w:r>
      <w:r>
        <w:rPr>
          <w:rFonts w:hint="eastAsia" w:ascii="宋体" w:hAnsi="宋体" w:eastAsia="宋体" w:cs="宋体"/>
          <w:color w:val="auto"/>
          <w:sz w:val="24"/>
          <w:highlight w:val="none"/>
        </w:rPr>
        <w:t>单位内部的职责分工及各方负责内容的合同金额占总合同金额的百分比如下：</w:t>
      </w:r>
    </w:p>
    <w:p w14:paraId="4DF0DD2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，承担</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工作，负责内容的合同金额</w:t>
      </w:r>
      <w:r>
        <w:rPr>
          <w:rFonts w:hint="eastAsia" w:ascii="宋体" w:hAnsi="宋体" w:eastAsia="宋体" w:cs="宋体"/>
          <w:color w:val="auto"/>
          <w:sz w:val="24"/>
          <w:highlight w:val="none"/>
          <w:lang w:eastAsia="zh-CN"/>
        </w:rPr>
        <w:t>为</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none"/>
          <w:lang w:val="en-US" w:eastAsia="zh-CN"/>
        </w:rPr>
        <w:t>，</w:t>
      </w:r>
      <w:r>
        <w:rPr>
          <w:rFonts w:hint="eastAsia" w:ascii="宋体" w:hAnsi="宋体" w:eastAsia="宋体" w:cs="宋体"/>
          <w:color w:val="auto"/>
          <w:sz w:val="24"/>
          <w:highlight w:val="none"/>
        </w:rPr>
        <w:t>占总合同金额的百分比：</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432DA553">
      <w:pPr>
        <w:spacing w:line="360" w:lineRule="auto"/>
        <w:ind w:firstLine="435"/>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接受</w:t>
      </w:r>
      <w:r>
        <w:rPr>
          <w:rFonts w:hint="eastAsia" w:ascii="宋体" w:hAnsi="宋体" w:eastAsia="宋体" w:cs="宋体"/>
          <w:color w:val="auto"/>
          <w:sz w:val="24"/>
          <w:highlight w:val="none"/>
          <w:lang w:val="en-US" w:eastAsia="zh-CN"/>
        </w:rPr>
        <w:t>分包企业</w:t>
      </w:r>
      <w:r>
        <w:rPr>
          <w:rFonts w:hint="eastAsia" w:ascii="宋体" w:hAnsi="宋体" w:eastAsia="宋体" w:cs="宋体"/>
          <w:color w:val="auto"/>
          <w:sz w:val="24"/>
          <w:highlight w:val="none"/>
        </w:rPr>
        <w:t>一名称：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，承担</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工作</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负责内容的合同金额</w:t>
      </w:r>
      <w:r>
        <w:rPr>
          <w:rFonts w:hint="eastAsia" w:ascii="宋体" w:hAnsi="宋体" w:eastAsia="宋体" w:cs="宋体"/>
          <w:color w:val="auto"/>
          <w:sz w:val="24"/>
          <w:highlight w:val="none"/>
          <w:lang w:eastAsia="zh-CN"/>
        </w:rPr>
        <w:t>为</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none"/>
          <w:lang w:val="en-US" w:eastAsia="zh-CN"/>
        </w:rPr>
        <w:t>，</w:t>
      </w:r>
      <w:r>
        <w:rPr>
          <w:rFonts w:hint="eastAsia" w:ascii="宋体" w:hAnsi="宋体" w:eastAsia="宋体" w:cs="宋体"/>
          <w:color w:val="auto"/>
          <w:sz w:val="24"/>
          <w:highlight w:val="none"/>
        </w:rPr>
        <w:t>占总合同金额的百分比：</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2FAE1FB7">
      <w:pPr>
        <w:spacing w:line="360" w:lineRule="auto"/>
        <w:ind w:firstLine="435"/>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接受</w:t>
      </w:r>
      <w:r>
        <w:rPr>
          <w:rFonts w:hint="eastAsia" w:ascii="宋体" w:hAnsi="宋体" w:eastAsia="宋体" w:cs="宋体"/>
          <w:color w:val="auto"/>
          <w:sz w:val="24"/>
          <w:highlight w:val="none"/>
          <w:lang w:val="en-US" w:eastAsia="zh-CN"/>
        </w:rPr>
        <w:t>分包企业</w:t>
      </w:r>
      <w:r>
        <w:rPr>
          <w:rFonts w:hint="eastAsia" w:ascii="宋体" w:hAnsi="宋体" w:eastAsia="宋体" w:cs="宋体"/>
          <w:color w:val="auto"/>
          <w:sz w:val="24"/>
          <w:highlight w:val="none"/>
        </w:rPr>
        <w:t>二名称：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，承担</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工作，负责内容的合同金额</w:t>
      </w:r>
      <w:r>
        <w:rPr>
          <w:rFonts w:hint="eastAsia" w:ascii="宋体" w:hAnsi="宋体" w:eastAsia="宋体" w:cs="宋体"/>
          <w:color w:val="auto"/>
          <w:sz w:val="24"/>
          <w:highlight w:val="none"/>
          <w:lang w:eastAsia="zh-CN"/>
        </w:rPr>
        <w:t>为</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none"/>
          <w:lang w:val="en-US" w:eastAsia="zh-CN"/>
        </w:rPr>
        <w:t>，</w:t>
      </w:r>
      <w:r>
        <w:rPr>
          <w:rFonts w:hint="eastAsia" w:ascii="宋体" w:hAnsi="宋体" w:eastAsia="宋体" w:cs="宋体"/>
          <w:color w:val="auto"/>
          <w:sz w:val="24"/>
          <w:highlight w:val="none"/>
        </w:rPr>
        <w:t>占总合同金额的百分比：</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1C25E4F9">
      <w:pPr>
        <w:spacing w:line="360" w:lineRule="auto"/>
        <w:ind w:firstLine="435"/>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w:t>
      </w:r>
    </w:p>
    <w:p w14:paraId="0F99271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r>
        <w:rPr>
          <w:rFonts w:hint="eastAsia" w:ascii="宋体" w:hAnsi="宋体" w:eastAsia="宋体" w:cs="宋体"/>
          <w:color w:val="auto"/>
          <w:sz w:val="24"/>
          <w:highlight w:val="none"/>
          <w:lang w:val="en-US" w:eastAsia="zh-CN"/>
        </w:rPr>
        <w:t>.成交</w:t>
      </w:r>
      <w:r>
        <w:rPr>
          <w:rFonts w:hint="eastAsia" w:ascii="宋体" w:hAnsi="宋体" w:eastAsia="宋体" w:cs="宋体"/>
          <w:color w:val="auto"/>
          <w:sz w:val="24"/>
          <w:highlight w:val="none"/>
        </w:rPr>
        <w:t>后，本</w:t>
      </w:r>
      <w:r>
        <w:rPr>
          <w:rFonts w:hint="eastAsia" w:ascii="宋体" w:hAnsi="宋体" w:eastAsia="宋体" w:cs="宋体"/>
          <w:color w:val="auto"/>
          <w:sz w:val="24"/>
          <w:highlight w:val="none"/>
          <w:lang w:val="en-US" w:eastAsia="zh-CN"/>
        </w:rPr>
        <w:t>分包意向</w:t>
      </w:r>
      <w:r>
        <w:rPr>
          <w:rFonts w:hint="eastAsia" w:ascii="宋体" w:hAnsi="宋体" w:eastAsia="宋体" w:cs="宋体"/>
          <w:color w:val="auto"/>
          <w:sz w:val="24"/>
          <w:highlight w:val="none"/>
        </w:rPr>
        <w:t>协议是合同的附件，对</w:t>
      </w:r>
      <w:r>
        <w:rPr>
          <w:rFonts w:hint="eastAsia" w:ascii="宋体" w:hAnsi="宋体" w:eastAsia="宋体" w:cs="宋体"/>
          <w:color w:val="auto"/>
          <w:sz w:val="24"/>
          <w:highlight w:val="none"/>
          <w:lang w:val="en-US" w:eastAsia="zh-CN"/>
        </w:rPr>
        <w:t>分包</w:t>
      </w:r>
      <w:r>
        <w:rPr>
          <w:rFonts w:hint="eastAsia" w:ascii="宋体" w:hAnsi="宋体" w:eastAsia="宋体" w:cs="宋体"/>
          <w:color w:val="auto"/>
          <w:sz w:val="24"/>
          <w:highlight w:val="none"/>
        </w:rPr>
        <w:t>各成员单位有合同约束力。</w:t>
      </w:r>
    </w:p>
    <w:p w14:paraId="30EC2855">
      <w:pPr>
        <w:spacing w:line="360" w:lineRule="auto"/>
        <w:ind w:firstLine="435"/>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本协议书自签署之日起生效，未中标或者合同履行完毕后自动失效。</w:t>
      </w:r>
    </w:p>
    <w:p w14:paraId="6456A7A4">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6.接受分包的中小企业与总承包单位不存在直接控股、管理关系。</w:t>
      </w:r>
    </w:p>
    <w:p w14:paraId="719C2DC1">
      <w:pPr>
        <w:pStyle w:val="11"/>
        <w:rPr>
          <w:rFonts w:hint="eastAsia" w:ascii="宋体" w:hAnsi="宋体" w:eastAsia="宋体" w:cs="宋体"/>
          <w:color w:val="auto"/>
          <w:highlight w:val="none"/>
          <w:lang w:val="en-US" w:eastAsia="zh-CN"/>
        </w:rPr>
      </w:pPr>
    </w:p>
    <w:p w14:paraId="47F7B62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（公章）</w:t>
      </w:r>
    </w:p>
    <w:p w14:paraId="7728239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（签字或盖章）</w:t>
      </w:r>
    </w:p>
    <w:p w14:paraId="54EC6084">
      <w:pPr>
        <w:spacing w:line="360" w:lineRule="auto"/>
        <w:ind w:firstLine="435"/>
        <w:rPr>
          <w:rFonts w:hint="eastAsia" w:ascii="宋体" w:hAnsi="宋体" w:eastAsia="宋体" w:cs="宋体"/>
          <w:color w:val="auto"/>
          <w:sz w:val="24"/>
          <w:highlight w:val="none"/>
        </w:rPr>
      </w:pPr>
    </w:p>
    <w:p w14:paraId="6852531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接受分包企业</w:t>
      </w:r>
      <w:r>
        <w:rPr>
          <w:rFonts w:hint="eastAsia" w:ascii="宋体" w:hAnsi="宋体" w:eastAsia="宋体" w:cs="宋体"/>
          <w:color w:val="auto"/>
          <w:sz w:val="24"/>
          <w:highlight w:val="none"/>
          <w:lang w:val="en-US" w:eastAsia="zh-CN"/>
        </w:rPr>
        <w:t>一</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（公章）</w:t>
      </w:r>
    </w:p>
    <w:p w14:paraId="216101B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（签字或盖章）</w:t>
      </w:r>
    </w:p>
    <w:p w14:paraId="63C9A770">
      <w:pPr>
        <w:spacing w:line="360" w:lineRule="auto"/>
        <w:ind w:firstLine="435"/>
        <w:rPr>
          <w:rFonts w:hint="eastAsia" w:ascii="宋体" w:hAnsi="宋体" w:eastAsia="宋体" w:cs="宋体"/>
          <w:color w:val="auto"/>
          <w:sz w:val="24"/>
          <w:highlight w:val="none"/>
        </w:rPr>
      </w:pPr>
    </w:p>
    <w:p w14:paraId="18E69BC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接受分包企业</w:t>
      </w:r>
      <w:r>
        <w:rPr>
          <w:rFonts w:hint="eastAsia" w:ascii="宋体" w:hAnsi="宋体" w:eastAsia="宋体" w:cs="宋体"/>
          <w:color w:val="auto"/>
          <w:sz w:val="24"/>
          <w:highlight w:val="none"/>
          <w:lang w:val="en-US" w:eastAsia="zh-CN"/>
        </w:rPr>
        <w:t>二</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（公章）</w:t>
      </w:r>
    </w:p>
    <w:p w14:paraId="2B9ED3D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（签字或盖章）</w:t>
      </w:r>
    </w:p>
    <w:p w14:paraId="4A5FA76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p w14:paraId="666A847E">
      <w:pPr>
        <w:pStyle w:val="22"/>
        <w:spacing w:line="360" w:lineRule="auto"/>
        <w:rPr>
          <w:rFonts w:hint="eastAsia" w:ascii="宋体" w:hAnsi="宋体" w:eastAsia="宋体" w:cs="宋体"/>
          <w:color w:val="auto"/>
          <w:sz w:val="24"/>
          <w:highlight w:val="none"/>
        </w:rPr>
      </w:pPr>
    </w:p>
    <w:p w14:paraId="03900A08">
      <w:pPr>
        <w:spacing w:line="360" w:lineRule="auto"/>
        <w:ind w:right="480"/>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签订日期:</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14:paraId="24AE9D1F">
      <w:pPr>
        <w:spacing w:line="360" w:lineRule="auto"/>
        <w:ind w:right="480" w:firstLine="4680" w:firstLineChars="1950"/>
        <w:rPr>
          <w:rFonts w:hint="eastAsia" w:ascii="宋体" w:hAnsi="宋体" w:eastAsia="宋体" w:cs="宋体"/>
          <w:color w:val="auto"/>
          <w:sz w:val="24"/>
          <w:highlight w:val="none"/>
        </w:rPr>
      </w:pPr>
    </w:p>
    <w:p w14:paraId="1D266840">
      <w:pPr>
        <w:spacing w:line="360" w:lineRule="auto"/>
        <w:ind w:right="480" w:firstLine="5460" w:firstLineChars="1950"/>
        <w:rPr>
          <w:rFonts w:hint="eastAsia" w:ascii="宋体" w:hAnsi="宋体" w:eastAsia="宋体" w:cs="宋体"/>
          <w:color w:val="auto"/>
          <w:sz w:val="28"/>
          <w:highlight w:val="none"/>
        </w:rPr>
      </w:pPr>
    </w:p>
    <w:p w14:paraId="60FE67AD">
      <w:pPr>
        <w:adjustRightInd w:val="0"/>
        <w:snapToGrid w:val="0"/>
        <w:spacing w:line="360" w:lineRule="auto"/>
        <w:rPr>
          <w:rFonts w:hint="eastAsia" w:ascii="宋体" w:hAnsi="宋体" w:eastAsia="宋体" w:cs="宋体"/>
          <w:b/>
          <w:bCs/>
          <w:color w:val="auto"/>
          <w:sz w:val="24"/>
          <w:szCs w:val="28"/>
          <w:highlight w:val="none"/>
        </w:rPr>
      </w:pPr>
      <w:r>
        <w:rPr>
          <w:rFonts w:hint="eastAsia" w:ascii="宋体" w:hAnsi="宋体" w:eastAsia="宋体" w:cs="宋体"/>
          <w:b/>
          <w:bCs/>
          <w:color w:val="auto"/>
          <w:sz w:val="24"/>
          <w:szCs w:val="28"/>
          <w:highlight w:val="none"/>
        </w:rPr>
        <w:t>注：</w:t>
      </w:r>
    </w:p>
    <w:p w14:paraId="75E70ADB">
      <w:pPr>
        <w:spacing w:line="360" w:lineRule="auto"/>
        <w:ind w:firstLine="435"/>
        <w:rPr>
          <w:rFonts w:hint="eastAsia" w:ascii="宋体" w:hAnsi="宋体" w:eastAsia="宋体" w:cs="宋体"/>
          <w:b w:val="0"/>
          <w:bCs w:val="0"/>
          <w:color w:val="auto"/>
          <w:sz w:val="24"/>
          <w:szCs w:val="28"/>
          <w:highlight w:val="none"/>
          <w:lang w:eastAsia="zh-CN"/>
        </w:rPr>
      </w:pPr>
      <w:r>
        <w:rPr>
          <w:rFonts w:hint="eastAsia" w:ascii="宋体" w:hAnsi="宋体" w:eastAsia="宋体" w:cs="宋体"/>
          <w:b w:val="0"/>
          <w:bCs w:val="0"/>
          <w:color w:val="auto"/>
          <w:sz w:val="24"/>
          <w:szCs w:val="28"/>
          <w:highlight w:val="none"/>
          <w:lang w:val="en-US" w:eastAsia="zh-CN"/>
        </w:rPr>
        <w:t>1.</w:t>
      </w:r>
      <w:r>
        <w:rPr>
          <w:rFonts w:hint="eastAsia" w:ascii="宋体" w:hAnsi="宋体" w:eastAsia="宋体" w:cs="宋体"/>
          <w:b w:val="0"/>
          <w:bCs w:val="0"/>
          <w:color w:val="auto"/>
          <w:sz w:val="24"/>
          <w:szCs w:val="28"/>
          <w:highlight w:val="none"/>
        </w:rPr>
        <w:t>分包意向协议中须约定向中小企业分包的项目内容及分包内容占合同金额比例</w:t>
      </w:r>
      <w:r>
        <w:rPr>
          <w:rFonts w:hint="eastAsia" w:ascii="宋体" w:hAnsi="宋体" w:eastAsia="宋体" w:cs="宋体"/>
          <w:b w:val="0"/>
          <w:bCs w:val="0"/>
          <w:color w:val="auto"/>
          <w:sz w:val="24"/>
          <w:szCs w:val="28"/>
          <w:highlight w:val="none"/>
          <w:lang w:eastAsia="zh-CN"/>
        </w:rPr>
        <w:t>。</w:t>
      </w:r>
    </w:p>
    <w:p w14:paraId="5DF174AC">
      <w:pPr>
        <w:spacing w:line="360" w:lineRule="auto"/>
        <w:ind w:firstLine="435"/>
        <w:rPr>
          <w:rFonts w:hint="eastAsia" w:ascii="宋体" w:hAnsi="宋体" w:eastAsia="宋体" w:cs="宋体"/>
          <w:b/>
          <w:bCs/>
          <w:color w:val="auto"/>
          <w:sz w:val="24"/>
          <w:szCs w:val="28"/>
          <w:highlight w:val="none"/>
          <w:lang w:val="en-US" w:eastAsia="zh-CN"/>
        </w:rPr>
      </w:pPr>
      <w:r>
        <w:rPr>
          <w:rFonts w:hint="eastAsia" w:ascii="宋体" w:hAnsi="宋体" w:eastAsia="宋体" w:cs="宋体"/>
          <w:b w:val="0"/>
          <w:bCs w:val="0"/>
          <w:color w:val="auto"/>
          <w:sz w:val="24"/>
          <w:highlight w:val="none"/>
          <w:lang w:val="en-US" w:eastAsia="zh-CN"/>
        </w:rPr>
        <w:t>2.</w:t>
      </w:r>
      <w:r>
        <w:rPr>
          <w:rFonts w:hint="eastAsia" w:ascii="宋体" w:hAnsi="宋体" w:eastAsia="宋体" w:cs="宋体"/>
          <w:b w:val="0"/>
          <w:bCs w:val="0"/>
          <w:color w:val="auto"/>
          <w:sz w:val="24"/>
          <w:highlight w:val="none"/>
        </w:rPr>
        <w:t>考虑</w:t>
      </w:r>
      <w:r>
        <w:rPr>
          <w:rFonts w:hint="eastAsia" w:ascii="宋体" w:hAnsi="宋体" w:eastAsia="宋体" w:cs="宋体"/>
          <w:b w:val="0"/>
          <w:bCs w:val="0"/>
          <w:color w:val="auto"/>
          <w:sz w:val="24"/>
          <w:highlight w:val="none"/>
          <w:lang w:val="en-US" w:eastAsia="zh-CN"/>
        </w:rPr>
        <w:t>上述</w:t>
      </w:r>
      <w:r>
        <w:rPr>
          <w:rFonts w:hint="eastAsia" w:ascii="宋体" w:hAnsi="宋体" w:eastAsia="宋体" w:cs="宋体"/>
          <w:b w:val="0"/>
          <w:bCs w:val="0"/>
          <w:color w:val="auto"/>
          <w:sz w:val="24"/>
          <w:highlight w:val="none"/>
        </w:rPr>
        <w:t>负责内容合同金额的方便，</w:t>
      </w:r>
      <w:r>
        <w:rPr>
          <w:rFonts w:hint="eastAsia" w:ascii="宋体" w:hAnsi="宋体" w:eastAsia="宋体" w:cs="宋体"/>
          <w:b w:val="0"/>
          <w:bCs w:val="0"/>
          <w:color w:val="auto"/>
          <w:sz w:val="24"/>
          <w:highlight w:val="none"/>
          <w:lang w:val="en-US" w:eastAsia="zh-CN"/>
        </w:rPr>
        <w:t>若采购文件无特殊规定，</w:t>
      </w:r>
      <w:r>
        <w:rPr>
          <w:rFonts w:hint="eastAsia" w:ascii="宋体" w:hAnsi="宋体" w:eastAsia="宋体" w:cs="宋体"/>
          <w:b w:val="0"/>
          <w:bCs w:val="0"/>
          <w:color w:val="auto"/>
          <w:sz w:val="24"/>
          <w:highlight w:val="none"/>
        </w:rPr>
        <w:t>供应商在填写</w:t>
      </w:r>
      <w:r>
        <w:rPr>
          <w:rFonts w:hint="eastAsia" w:ascii="宋体" w:hAnsi="宋体" w:eastAsia="宋体" w:cs="宋体"/>
          <w:b w:val="0"/>
          <w:bCs w:val="0"/>
          <w:color w:val="auto"/>
          <w:sz w:val="24"/>
          <w:highlight w:val="none"/>
          <w:lang w:eastAsia="zh-CN"/>
        </w:rPr>
        <w:t>最后报价</w:t>
      </w:r>
      <w:r>
        <w:rPr>
          <w:rFonts w:hint="eastAsia" w:ascii="宋体" w:hAnsi="宋体" w:eastAsia="宋体" w:cs="宋体"/>
          <w:b w:val="0"/>
          <w:bCs w:val="0"/>
          <w:color w:val="auto"/>
          <w:sz w:val="24"/>
          <w:highlight w:val="none"/>
        </w:rPr>
        <w:t>后，</w:t>
      </w:r>
      <w:r>
        <w:rPr>
          <w:rFonts w:hint="eastAsia" w:ascii="宋体" w:hAnsi="宋体" w:eastAsia="宋体" w:cs="宋体"/>
          <w:b w:val="0"/>
          <w:bCs w:val="0"/>
          <w:color w:val="auto"/>
          <w:sz w:val="24"/>
          <w:highlight w:val="none"/>
          <w:lang w:val="en-US" w:eastAsia="zh-CN"/>
        </w:rPr>
        <w:t>根据</w:t>
      </w:r>
      <w:r>
        <w:rPr>
          <w:rFonts w:hint="eastAsia" w:ascii="宋体" w:hAnsi="宋体" w:eastAsia="宋体" w:cs="宋体"/>
          <w:b w:val="0"/>
          <w:bCs w:val="0"/>
          <w:color w:val="auto"/>
          <w:sz w:val="24"/>
          <w:highlight w:val="none"/>
        </w:rPr>
        <w:t>（第一次报价-</w:t>
      </w:r>
      <w:r>
        <w:rPr>
          <w:rFonts w:hint="eastAsia" w:ascii="宋体" w:hAnsi="宋体" w:eastAsia="宋体" w:cs="宋体"/>
          <w:b w:val="0"/>
          <w:bCs w:val="0"/>
          <w:color w:val="auto"/>
          <w:sz w:val="24"/>
          <w:highlight w:val="none"/>
          <w:lang w:eastAsia="zh-CN"/>
        </w:rPr>
        <w:t>最后报价</w:t>
      </w:r>
      <w:r>
        <w:rPr>
          <w:rFonts w:hint="eastAsia" w:ascii="宋体" w:hAnsi="宋体" w:eastAsia="宋体" w:cs="宋体"/>
          <w:b w:val="0"/>
          <w:bCs w:val="0"/>
          <w:color w:val="auto"/>
          <w:sz w:val="24"/>
          <w:highlight w:val="none"/>
        </w:rPr>
        <w:t>）除以第一次报价后得出的优惠率视同为</w:t>
      </w:r>
      <w:r>
        <w:rPr>
          <w:rFonts w:hint="eastAsia" w:ascii="宋体" w:hAnsi="宋体" w:eastAsia="宋体" w:cs="宋体"/>
          <w:b w:val="0"/>
          <w:bCs w:val="0"/>
          <w:color w:val="auto"/>
          <w:sz w:val="24"/>
          <w:highlight w:val="none"/>
          <w:lang w:val="en-US" w:eastAsia="zh-CN"/>
        </w:rPr>
        <w:t>上述</w:t>
      </w:r>
      <w:r>
        <w:rPr>
          <w:rFonts w:hint="eastAsia" w:ascii="宋体" w:hAnsi="宋体" w:eastAsia="宋体" w:cs="宋体"/>
          <w:b w:val="0"/>
          <w:bCs w:val="0"/>
          <w:color w:val="auto"/>
          <w:sz w:val="24"/>
          <w:highlight w:val="none"/>
        </w:rPr>
        <w:t>负责内容合同金额的优惠浮动值（特定分项优惠除外），而不考虑措施项目清单和规费税金清单的金额改变。</w:t>
      </w:r>
    </w:p>
    <w:p w14:paraId="6DA21855">
      <w:pPr>
        <w:bidi w:val="0"/>
        <w:jc w:val="center"/>
        <w:rPr>
          <w:rFonts w:hint="eastAsia" w:ascii="宋体" w:hAnsi="宋体" w:eastAsia="宋体" w:cs="宋体"/>
          <w:color w:val="auto"/>
          <w:szCs w:val="24"/>
          <w:highlight w:val="none"/>
          <w:lang w:val="en-US" w:eastAsia="zh-CN"/>
        </w:rPr>
      </w:pPr>
      <w:r>
        <w:rPr>
          <w:rFonts w:hint="eastAsia" w:ascii="宋体" w:hAnsi="宋体" w:eastAsia="宋体" w:cs="宋体"/>
          <w:b/>
          <w:color w:val="auto"/>
          <w:highlight w:val="none"/>
        </w:rPr>
        <w:br w:type="page"/>
      </w:r>
      <w:bookmarkStart w:id="290" w:name="_Toc15154"/>
      <w:r>
        <w:rPr>
          <w:rFonts w:hint="eastAsia" w:ascii="宋体" w:hAnsi="宋体" w:eastAsia="宋体" w:cs="宋体"/>
          <w:b/>
          <w:bCs/>
          <w:color w:val="auto"/>
          <w:sz w:val="24"/>
          <w:szCs w:val="22"/>
          <w:highlight w:val="none"/>
          <w:lang w:val="en-US" w:eastAsia="zh-CN"/>
        </w:rPr>
        <w:t>十一</w:t>
      </w:r>
      <w:r>
        <w:rPr>
          <w:rFonts w:hint="eastAsia" w:ascii="宋体" w:hAnsi="宋体" w:eastAsia="宋体" w:cs="宋体"/>
          <w:b/>
          <w:bCs/>
          <w:color w:val="auto"/>
          <w:sz w:val="24"/>
          <w:szCs w:val="22"/>
          <w:highlight w:val="none"/>
        </w:rPr>
        <w:t>、其他资格</w:t>
      </w:r>
      <w:bookmarkEnd w:id="290"/>
      <w:r>
        <w:rPr>
          <w:rFonts w:hint="eastAsia" w:ascii="宋体" w:hAnsi="宋体" w:eastAsia="宋体" w:cs="宋体"/>
          <w:b/>
          <w:bCs/>
          <w:color w:val="auto"/>
          <w:sz w:val="24"/>
          <w:szCs w:val="22"/>
          <w:highlight w:val="none"/>
          <w:lang w:val="en-US" w:eastAsia="zh-CN"/>
        </w:rPr>
        <w:t>证明材料</w:t>
      </w:r>
    </w:p>
    <w:p w14:paraId="5974A0D0">
      <w:pPr>
        <w:pStyle w:val="7"/>
        <w:keepNext/>
        <w:keepLines/>
        <w:pageBreakBefore w:val="0"/>
        <w:widowControl w:val="0"/>
        <w:kinsoku/>
        <w:wordWrap/>
        <w:overflowPunct/>
        <w:topLinePunct w:val="0"/>
        <w:autoSpaceDE/>
        <w:autoSpaceDN/>
        <w:bidi w:val="0"/>
        <w:adjustRightInd/>
        <w:snapToGrid/>
        <w:spacing w:before="140" w:after="140" w:line="416" w:lineRule="auto"/>
        <w:jc w:val="center"/>
        <w:textAlignment w:val="auto"/>
        <w:rPr>
          <w:rFonts w:hint="eastAsia" w:ascii="宋体" w:hAnsi="宋体" w:eastAsia="宋体" w:cs="宋体"/>
          <w:color w:val="auto"/>
          <w:sz w:val="24"/>
          <w:szCs w:val="24"/>
          <w:highlight w:val="none"/>
        </w:rPr>
      </w:pPr>
      <w:bookmarkStart w:id="291" w:name="_Toc2753"/>
      <w:bookmarkStart w:id="292" w:name="_Toc31168"/>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如有，</w:t>
      </w:r>
      <w:r>
        <w:rPr>
          <w:rFonts w:hint="eastAsia" w:ascii="宋体" w:hAnsi="宋体" w:eastAsia="宋体" w:cs="宋体"/>
          <w:b w:val="0"/>
          <w:bCs w:val="0"/>
          <w:color w:val="auto"/>
          <w:sz w:val="24"/>
          <w:szCs w:val="24"/>
          <w:highlight w:val="none"/>
        </w:rPr>
        <w:t>提供符合</w:t>
      </w:r>
      <w:r>
        <w:rPr>
          <w:rFonts w:hint="eastAsia" w:ascii="宋体" w:hAnsi="宋体" w:eastAsia="宋体" w:cs="宋体"/>
          <w:b w:val="0"/>
          <w:bCs w:val="0"/>
          <w:color w:val="auto"/>
          <w:sz w:val="24"/>
          <w:szCs w:val="24"/>
          <w:highlight w:val="none"/>
          <w:lang w:val="en-US" w:eastAsia="zh-CN"/>
        </w:rPr>
        <w:t>磋商文件要求的其他资格</w:t>
      </w:r>
      <w:r>
        <w:rPr>
          <w:rFonts w:hint="eastAsia" w:ascii="宋体" w:hAnsi="宋体" w:eastAsia="宋体" w:cs="宋体"/>
          <w:b w:val="0"/>
          <w:bCs w:val="0"/>
          <w:color w:val="auto"/>
          <w:sz w:val="24"/>
          <w:szCs w:val="24"/>
          <w:highlight w:val="none"/>
        </w:rPr>
        <w:t>证明</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w:t>
      </w:r>
      <w:bookmarkEnd w:id="291"/>
      <w:bookmarkEnd w:id="292"/>
    </w:p>
    <w:p w14:paraId="626776E5">
      <w:pPr>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p>
    <w:p w14:paraId="3E58D54B">
      <w:pPr>
        <w:spacing w:line="360" w:lineRule="auto"/>
        <w:jc w:val="center"/>
        <w:outlineLvl w:val="1"/>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十二、</w:t>
      </w:r>
      <w:r>
        <w:rPr>
          <w:rFonts w:hint="eastAsia" w:ascii="宋体" w:hAnsi="宋体" w:eastAsia="宋体" w:cs="宋体"/>
          <w:b/>
          <w:color w:val="auto"/>
          <w:sz w:val="24"/>
          <w:highlight w:val="none"/>
        </w:rPr>
        <w:t>磋商响应表</w:t>
      </w:r>
    </w:p>
    <w:p w14:paraId="0DD6F794">
      <w:pPr>
        <w:spacing w:line="360" w:lineRule="auto"/>
        <w:ind w:firstLine="435"/>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6.1商务响应表</w:t>
      </w:r>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916"/>
        <w:gridCol w:w="2498"/>
        <w:gridCol w:w="2575"/>
        <w:gridCol w:w="810"/>
      </w:tblGrid>
      <w:tr w14:paraId="78521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3763AE5E">
            <w:pPr>
              <w:pStyle w:val="14"/>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序号</w:t>
            </w:r>
          </w:p>
        </w:tc>
        <w:tc>
          <w:tcPr>
            <w:tcW w:w="1124" w:type="pct"/>
            <w:vAlign w:val="center"/>
          </w:tcPr>
          <w:p w14:paraId="4DC1EED3">
            <w:pPr>
              <w:pStyle w:val="14"/>
              <w:jc w:val="center"/>
              <w:rPr>
                <w:rFonts w:hint="eastAsia" w:ascii="宋体" w:hAnsi="宋体" w:eastAsia="宋体" w:cs="宋体"/>
                <w:b/>
                <w:color w:val="auto"/>
                <w:sz w:val="24"/>
                <w:highlight w:val="none"/>
              </w:rPr>
            </w:pPr>
            <w:r>
              <w:rPr>
                <w:rFonts w:hint="eastAsia" w:ascii="宋体" w:hAnsi="宋体" w:eastAsia="宋体" w:cs="宋体"/>
                <w:b/>
                <w:bCs/>
                <w:color w:val="auto"/>
                <w:sz w:val="24"/>
                <w:szCs w:val="24"/>
                <w:highlight w:val="none"/>
              </w:rPr>
              <w:t>商务条款</w:t>
            </w:r>
          </w:p>
        </w:tc>
        <w:tc>
          <w:tcPr>
            <w:tcW w:w="1465" w:type="pct"/>
            <w:vAlign w:val="center"/>
          </w:tcPr>
          <w:p w14:paraId="5DB1CCF5">
            <w:pPr>
              <w:pStyle w:val="14"/>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磋商文件要求</w:t>
            </w:r>
          </w:p>
        </w:tc>
        <w:tc>
          <w:tcPr>
            <w:tcW w:w="1510" w:type="pct"/>
            <w:vAlign w:val="center"/>
          </w:tcPr>
          <w:p w14:paraId="706899DD">
            <w:pPr>
              <w:pStyle w:val="14"/>
              <w:jc w:val="center"/>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rPr>
              <w:t>供应商</w:t>
            </w:r>
            <w:r>
              <w:rPr>
                <w:rFonts w:hint="eastAsia" w:ascii="宋体" w:hAnsi="宋体" w:eastAsia="宋体" w:cs="宋体"/>
                <w:b/>
                <w:color w:val="auto"/>
                <w:sz w:val="24"/>
                <w:highlight w:val="none"/>
                <w:lang w:val="en-US" w:eastAsia="zh-CN"/>
              </w:rPr>
              <w:t>承诺</w:t>
            </w:r>
          </w:p>
        </w:tc>
        <w:tc>
          <w:tcPr>
            <w:tcW w:w="475" w:type="pct"/>
            <w:vAlign w:val="center"/>
          </w:tcPr>
          <w:p w14:paraId="69AD7628">
            <w:pPr>
              <w:pStyle w:val="14"/>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偏离说明</w:t>
            </w:r>
          </w:p>
        </w:tc>
      </w:tr>
      <w:tr w14:paraId="7798B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125BF501">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1124" w:type="pct"/>
            <w:vAlign w:val="center"/>
          </w:tcPr>
          <w:p w14:paraId="3C19EB6F">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付款方式</w:t>
            </w:r>
          </w:p>
        </w:tc>
        <w:tc>
          <w:tcPr>
            <w:tcW w:w="1465" w:type="pct"/>
            <w:vAlign w:val="center"/>
          </w:tcPr>
          <w:p w14:paraId="58C0CA3A">
            <w:pPr>
              <w:jc w:val="center"/>
              <w:rPr>
                <w:rFonts w:hint="eastAsia" w:ascii="宋体" w:hAnsi="宋体" w:eastAsia="宋体" w:cs="宋体"/>
                <w:color w:val="auto"/>
                <w:sz w:val="24"/>
                <w:highlight w:val="none"/>
              </w:rPr>
            </w:pPr>
          </w:p>
        </w:tc>
        <w:tc>
          <w:tcPr>
            <w:tcW w:w="1510" w:type="pct"/>
            <w:vAlign w:val="center"/>
          </w:tcPr>
          <w:p w14:paraId="1710C6A0">
            <w:pPr>
              <w:jc w:val="center"/>
              <w:rPr>
                <w:rFonts w:hint="eastAsia" w:ascii="宋体" w:hAnsi="宋体" w:eastAsia="宋体" w:cs="宋体"/>
                <w:color w:val="auto"/>
                <w:sz w:val="24"/>
                <w:highlight w:val="none"/>
              </w:rPr>
            </w:pPr>
          </w:p>
        </w:tc>
        <w:tc>
          <w:tcPr>
            <w:tcW w:w="475" w:type="pct"/>
            <w:vAlign w:val="center"/>
          </w:tcPr>
          <w:p w14:paraId="7A9A5FE8">
            <w:pPr>
              <w:jc w:val="center"/>
              <w:rPr>
                <w:rFonts w:hint="eastAsia" w:ascii="宋体" w:hAnsi="宋体" w:eastAsia="宋体" w:cs="宋体"/>
                <w:color w:val="auto"/>
                <w:sz w:val="24"/>
                <w:highlight w:val="none"/>
              </w:rPr>
            </w:pPr>
          </w:p>
        </w:tc>
      </w:tr>
      <w:tr w14:paraId="59CC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0B29C75">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1124" w:type="pct"/>
            <w:vAlign w:val="center"/>
          </w:tcPr>
          <w:p w14:paraId="389E7917">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服务地点</w:t>
            </w:r>
          </w:p>
        </w:tc>
        <w:tc>
          <w:tcPr>
            <w:tcW w:w="1465" w:type="pct"/>
            <w:vAlign w:val="center"/>
          </w:tcPr>
          <w:p w14:paraId="60DBA4A3">
            <w:pPr>
              <w:jc w:val="center"/>
              <w:rPr>
                <w:rFonts w:hint="eastAsia" w:ascii="宋体" w:hAnsi="宋体" w:eastAsia="宋体" w:cs="宋体"/>
                <w:color w:val="auto"/>
                <w:sz w:val="24"/>
                <w:highlight w:val="none"/>
              </w:rPr>
            </w:pPr>
          </w:p>
        </w:tc>
        <w:tc>
          <w:tcPr>
            <w:tcW w:w="1510" w:type="pct"/>
            <w:vAlign w:val="center"/>
          </w:tcPr>
          <w:p w14:paraId="373BF439">
            <w:pPr>
              <w:jc w:val="center"/>
              <w:rPr>
                <w:rFonts w:hint="eastAsia" w:ascii="宋体" w:hAnsi="宋体" w:eastAsia="宋体" w:cs="宋体"/>
                <w:color w:val="auto"/>
                <w:sz w:val="24"/>
                <w:highlight w:val="none"/>
              </w:rPr>
            </w:pPr>
          </w:p>
        </w:tc>
        <w:tc>
          <w:tcPr>
            <w:tcW w:w="475" w:type="pct"/>
            <w:vAlign w:val="center"/>
          </w:tcPr>
          <w:p w14:paraId="6C7A2A94">
            <w:pPr>
              <w:jc w:val="center"/>
              <w:rPr>
                <w:rFonts w:hint="eastAsia" w:ascii="宋体" w:hAnsi="宋体" w:eastAsia="宋体" w:cs="宋体"/>
                <w:color w:val="auto"/>
                <w:sz w:val="24"/>
                <w:highlight w:val="none"/>
              </w:rPr>
            </w:pPr>
          </w:p>
        </w:tc>
      </w:tr>
      <w:tr w14:paraId="1836C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BBB4D69">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1124" w:type="pct"/>
            <w:vAlign w:val="center"/>
          </w:tcPr>
          <w:p w14:paraId="72C1869B">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服务期限</w:t>
            </w:r>
          </w:p>
        </w:tc>
        <w:tc>
          <w:tcPr>
            <w:tcW w:w="1465" w:type="pct"/>
            <w:vAlign w:val="center"/>
          </w:tcPr>
          <w:p w14:paraId="2597A425">
            <w:pPr>
              <w:jc w:val="center"/>
              <w:rPr>
                <w:rFonts w:hint="eastAsia" w:ascii="宋体" w:hAnsi="宋体" w:eastAsia="宋体" w:cs="宋体"/>
                <w:color w:val="auto"/>
                <w:sz w:val="24"/>
                <w:highlight w:val="none"/>
              </w:rPr>
            </w:pPr>
          </w:p>
        </w:tc>
        <w:tc>
          <w:tcPr>
            <w:tcW w:w="1510" w:type="pct"/>
            <w:vAlign w:val="center"/>
          </w:tcPr>
          <w:p w14:paraId="4B660B16">
            <w:pPr>
              <w:pStyle w:val="51"/>
              <w:jc w:val="center"/>
              <w:rPr>
                <w:rFonts w:hint="eastAsia" w:ascii="宋体" w:hAnsi="宋体" w:eastAsia="宋体" w:cs="宋体"/>
                <w:color w:val="auto"/>
                <w:highlight w:val="none"/>
              </w:rPr>
            </w:pPr>
          </w:p>
        </w:tc>
        <w:tc>
          <w:tcPr>
            <w:tcW w:w="475" w:type="pct"/>
            <w:vAlign w:val="center"/>
          </w:tcPr>
          <w:p w14:paraId="4A4ADEC0">
            <w:pPr>
              <w:jc w:val="center"/>
              <w:rPr>
                <w:rFonts w:hint="eastAsia" w:ascii="宋体" w:hAnsi="宋体" w:eastAsia="宋体" w:cs="宋体"/>
                <w:color w:val="auto"/>
                <w:sz w:val="24"/>
                <w:highlight w:val="none"/>
              </w:rPr>
            </w:pPr>
          </w:p>
        </w:tc>
      </w:tr>
      <w:tr w14:paraId="23F4F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07E0DA1E">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tc>
        <w:tc>
          <w:tcPr>
            <w:tcW w:w="1124" w:type="pct"/>
            <w:vAlign w:val="center"/>
          </w:tcPr>
          <w:p w14:paraId="7273ECA6">
            <w:pPr>
              <w:jc w:val="center"/>
              <w:rPr>
                <w:rFonts w:hint="eastAsia" w:ascii="宋体" w:hAnsi="宋体" w:eastAsia="宋体" w:cs="宋体"/>
                <w:color w:val="auto"/>
                <w:sz w:val="24"/>
                <w:highlight w:val="none"/>
              </w:rPr>
            </w:pPr>
          </w:p>
        </w:tc>
        <w:tc>
          <w:tcPr>
            <w:tcW w:w="1465" w:type="pct"/>
            <w:vAlign w:val="center"/>
          </w:tcPr>
          <w:p w14:paraId="162E7FDC">
            <w:pPr>
              <w:jc w:val="center"/>
              <w:rPr>
                <w:rFonts w:hint="eastAsia" w:ascii="宋体" w:hAnsi="宋体" w:eastAsia="宋体" w:cs="宋体"/>
                <w:color w:val="auto"/>
                <w:sz w:val="24"/>
                <w:highlight w:val="none"/>
              </w:rPr>
            </w:pPr>
          </w:p>
        </w:tc>
        <w:tc>
          <w:tcPr>
            <w:tcW w:w="1510" w:type="pct"/>
            <w:vAlign w:val="center"/>
          </w:tcPr>
          <w:p w14:paraId="70F97E50">
            <w:pPr>
              <w:jc w:val="center"/>
              <w:rPr>
                <w:rFonts w:hint="eastAsia" w:ascii="宋体" w:hAnsi="宋体" w:eastAsia="宋体" w:cs="宋体"/>
                <w:color w:val="auto"/>
                <w:sz w:val="24"/>
                <w:highlight w:val="none"/>
              </w:rPr>
            </w:pPr>
          </w:p>
        </w:tc>
        <w:tc>
          <w:tcPr>
            <w:tcW w:w="475" w:type="pct"/>
            <w:vAlign w:val="center"/>
          </w:tcPr>
          <w:p w14:paraId="09F5F0DD">
            <w:pPr>
              <w:jc w:val="center"/>
              <w:rPr>
                <w:rFonts w:hint="eastAsia" w:ascii="宋体" w:hAnsi="宋体" w:eastAsia="宋体" w:cs="宋体"/>
                <w:color w:val="auto"/>
                <w:sz w:val="24"/>
                <w:highlight w:val="none"/>
              </w:rPr>
            </w:pPr>
          </w:p>
        </w:tc>
      </w:tr>
    </w:tbl>
    <w:p w14:paraId="73FF0854">
      <w:pPr>
        <w:spacing w:line="360" w:lineRule="auto"/>
        <w:ind w:firstLine="435"/>
        <w:outlineLvl w:val="2"/>
        <w:rPr>
          <w:rFonts w:hint="eastAsia" w:ascii="宋体" w:hAnsi="宋体" w:eastAsia="宋体" w:cs="宋体"/>
          <w:b/>
          <w:color w:val="auto"/>
          <w:sz w:val="24"/>
          <w:highlight w:val="none"/>
        </w:rPr>
      </w:pPr>
    </w:p>
    <w:p w14:paraId="6D241EEF">
      <w:pPr>
        <w:spacing w:line="360" w:lineRule="auto"/>
        <w:ind w:firstLine="4800" w:firstLineChars="2000"/>
        <w:rPr>
          <w:rFonts w:hint="eastAsia" w:ascii="宋体" w:hAnsi="宋体" w:eastAsia="宋体" w:cs="宋体"/>
          <w:color w:val="auto"/>
          <w:sz w:val="24"/>
          <w:highlight w:val="none"/>
        </w:rPr>
      </w:pPr>
    </w:p>
    <w:p w14:paraId="3340AE9C">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供应商盖章：</w:t>
      </w:r>
      <w:r>
        <w:rPr>
          <w:rFonts w:hint="eastAsia" w:ascii="宋体" w:hAnsi="宋体" w:eastAsia="宋体" w:cs="宋体"/>
          <w:color w:val="auto"/>
          <w:sz w:val="24"/>
          <w:highlight w:val="none"/>
          <w:u w:val="single"/>
        </w:rPr>
        <w:t xml:space="preserve">             </w:t>
      </w:r>
    </w:p>
    <w:p w14:paraId="0B23E2EE">
      <w:pPr>
        <w:tabs>
          <w:tab w:val="left" w:pos="630"/>
        </w:tabs>
        <w:spacing w:line="360" w:lineRule="auto"/>
        <w:ind w:firstLine="4800" w:firstLineChars="2000"/>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5D62CAAF">
      <w:pPr>
        <w:adjustRightInd w:val="0"/>
        <w:snapToGrid w:val="0"/>
        <w:spacing w:line="360" w:lineRule="auto"/>
        <w:rPr>
          <w:rFonts w:hint="eastAsia" w:ascii="宋体" w:hAnsi="宋体" w:eastAsia="宋体" w:cs="宋体"/>
          <w:b/>
          <w:bCs/>
          <w:color w:val="auto"/>
          <w:sz w:val="24"/>
          <w:szCs w:val="28"/>
          <w:highlight w:val="none"/>
        </w:rPr>
      </w:pPr>
    </w:p>
    <w:p w14:paraId="41B4FE9B">
      <w:pPr>
        <w:adjustRightInd w:val="0"/>
        <w:snapToGrid w:val="0"/>
        <w:spacing w:line="360" w:lineRule="auto"/>
        <w:rPr>
          <w:rFonts w:hint="eastAsia" w:ascii="宋体" w:hAnsi="宋体" w:eastAsia="宋体" w:cs="宋体"/>
          <w:color w:val="auto"/>
          <w:sz w:val="24"/>
          <w:szCs w:val="28"/>
          <w:highlight w:val="none"/>
        </w:rPr>
      </w:pPr>
      <w:r>
        <w:rPr>
          <w:rFonts w:hint="eastAsia" w:ascii="宋体" w:hAnsi="宋体" w:eastAsia="宋体" w:cs="宋体"/>
          <w:b/>
          <w:bCs/>
          <w:color w:val="auto"/>
          <w:sz w:val="24"/>
          <w:szCs w:val="28"/>
          <w:highlight w:val="none"/>
        </w:rPr>
        <w:t>备注：</w:t>
      </w:r>
      <w:r>
        <w:rPr>
          <w:rFonts w:hint="eastAsia" w:ascii="宋体" w:hAnsi="宋体" w:eastAsia="宋体" w:cs="宋体"/>
          <w:color w:val="auto"/>
          <w:sz w:val="24"/>
          <w:szCs w:val="28"/>
          <w:highlight w:val="none"/>
          <w:lang w:val="en-US" w:eastAsia="zh-CN"/>
        </w:rPr>
        <w:t>服务期</w:t>
      </w:r>
      <w:r>
        <w:rPr>
          <w:rFonts w:hint="eastAsia" w:ascii="宋体" w:hAnsi="宋体" w:eastAsia="宋体" w:cs="宋体"/>
          <w:color w:val="auto"/>
          <w:sz w:val="24"/>
          <w:szCs w:val="28"/>
          <w:highlight w:val="none"/>
        </w:rPr>
        <w:t>响应及付款响应等须与</w:t>
      </w:r>
      <w:r>
        <w:rPr>
          <w:rFonts w:hint="eastAsia" w:ascii="宋体" w:hAnsi="宋体" w:eastAsia="宋体" w:cs="宋体"/>
          <w:color w:val="auto"/>
          <w:sz w:val="24"/>
          <w:szCs w:val="28"/>
          <w:highlight w:val="none"/>
          <w:lang w:val="en-US" w:eastAsia="zh-CN"/>
        </w:rPr>
        <w:t>磋商</w:t>
      </w:r>
      <w:r>
        <w:rPr>
          <w:rFonts w:hint="eastAsia" w:ascii="宋体" w:hAnsi="宋体" w:eastAsia="宋体" w:cs="宋体"/>
          <w:color w:val="auto"/>
          <w:sz w:val="24"/>
          <w:szCs w:val="28"/>
          <w:highlight w:val="none"/>
        </w:rPr>
        <w:t>文件要求无重大偏离，否则可能导致</w:t>
      </w:r>
      <w:r>
        <w:rPr>
          <w:rFonts w:hint="eastAsia" w:ascii="宋体" w:hAnsi="宋体" w:eastAsia="宋体" w:cs="宋体"/>
          <w:color w:val="auto"/>
          <w:sz w:val="24"/>
          <w:szCs w:val="28"/>
          <w:highlight w:val="none"/>
          <w:lang w:val="en-US" w:eastAsia="zh-CN"/>
        </w:rPr>
        <w:t>响应</w:t>
      </w:r>
      <w:r>
        <w:rPr>
          <w:rFonts w:hint="eastAsia" w:ascii="宋体" w:hAnsi="宋体" w:eastAsia="宋体" w:cs="宋体"/>
          <w:color w:val="auto"/>
          <w:sz w:val="24"/>
          <w:szCs w:val="28"/>
          <w:highlight w:val="none"/>
        </w:rPr>
        <w:t>无效。</w:t>
      </w:r>
    </w:p>
    <w:p w14:paraId="7AF87E99">
      <w:pPr>
        <w:adjustRightInd w:val="0"/>
        <w:snapToGrid w:val="0"/>
        <w:spacing w:line="360" w:lineRule="auto"/>
        <w:rPr>
          <w:rFonts w:hint="eastAsia" w:ascii="宋体" w:hAnsi="宋体" w:eastAsia="宋体" w:cs="宋体"/>
          <w:color w:val="auto"/>
          <w:sz w:val="24"/>
          <w:szCs w:val="28"/>
          <w:highlight w:val="none"/>
        </w:rPr>
      </w:pPr>
    </w:p>
    <w:p w14:paraId="798522F4">
      <w:pPr>
        <w:adjustRightInd w:val="0"/>
        <w:snapToGrid w:val="0"/>
        <w:spacing w:line="360" w:lineRule="auto"/>
        <w:rPr>
          <w:rFonts w:hint="eastAsia" w:ascii="宋体" w:hAnsi="宋体" w:eastAsia="宋体" w:cs="宋体"/>
          <w:color w:val="auto"/>
          <w:sz w:val="24"/>
          <w:szCs w:val="28"/>
          <w:highlight w:val="none"/>
        </w:rPr>
      </w:pPr>
    </w:p>
    <w:p w14:paraId="7141B3C0">
      <w:pPr>
        <w:adjustRightInd w:val="0"/>
        <w:snapToGrid w:val="0"/>
        <w:spacing w:line="360" w:lineRule="auto"/>
        <w:rPr>
          <w:rFonts w:hint="eastAsia" w:ascii="宋体" w:hAnsi="宋体" w:eastAsia="宋体" w:cs="宋体"/>
          <w:color w:val="auto"/>
          <w:sz w:val="24"/>
          <w:szCs w:val="28"/>
          <w:highlight w:val="none"/>
        </w:rPr>
      </w:pPr>
    </w:p>
    <w:p w14:paraId="7F69D9D2">
      <w:pPr>
        <w:adjustRightInd w:val="0"/>
        <w:snapToGrid w:val="0"/>
        <w:spacing w:line="360" w:lineRule="auto"/>
        <w:rPr>
          <w:rFonts w:hint="eastAsia" w:ascii="宋体" w:hAnsi="宋体" w:eastAsia="宋体" w:cs="宋体"/>
          <w:color w:val="auto"/>
          <w:sz w:val="24"/>
          <w:szCs w:val="28"/>
          <w:highlight w:val="none"/>
        </w:rPr>
      </w:pPr>
    </w:p>
    <w:p w14:paraId="43B6422A">
      <w:pPr>
        <w:adjustRightInd w:val="0"/>
        <w:snapToGrid w:val="0"/>
        <w:spacing w:line="360" w:lineRule="auto"/>
        <w:rPr>
          <w:rFonts w:hint="eastAsia" w:ascii="宋体" w:hAnsi="宋体" w:eastAsia="宋体" w:cs="宋体"/>
          <w:color w:val="auto"/>
          <w:sz w:val="24"/>
          <w:szCs w:val="28"/>
          <w:highlight w:val="none"/>
        </w:rPr>
      </w:pPr>
    </w:p>
    <w:p w14:paraId="5DF57EF3">
      <w:pPr>
        <w:adjustRightInd w:val="0"/>
        <w:snapToGrid w:val="0"/>
        <w:spacing w:line="360" w:lineRule="auto"/>
        <w:rPr>
          <w:rFonts w:hint="eastAsia" w:ascii="宋体" w:hAnsi="宋体" w:eastAsia="宋体" w:cs="宋体"/>
          <w:color w:val="auto"/>
          <w:sz w:val="24"/>
          <w:szCs w:val="28"/>
          <w:highlight w:val="none"/>
        </w:rPr>
      </w:pPr>
    </w:p>
    <w:p w14:paraId="5F18A1D4">
      <w:pPr>
        <w:spacing w:line="360" w:lineRule="auto"/>
        <w:jc w:val="center"/>
        <w:outlineLvl w:val="1"/>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十三、其他技术响应证明材料</w:t>
      </w:r>
    </w:p>
    <w:p w14:paraId="343B68AF">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如有，</w:t>
      </w:r>
      <w:r>
        <w:rPr>
          <w:rFonts w:hint="eastAsia" w:ascii="宋体" w:hAnsi="宋体" w:eastAsia="宋体" w:cs="宋体"/>
          <w:color w:val="auto"/>
          <w:sz w:val="24"/>
          <w:highlight w:val="none"/>
        </w:rPr>
        <w:t>提供符合</w:t>
      </w:r>
      <w:r>
        <w:rPr>
          <w:rFonts w:hint="eastAsia" w:ascii="宋体" w:hAnsi="宋体" w:eastAsia="宋体" w:cs="宋体"/>
          <w:color w:val="auto"/>
          <w:sz w:val="24"/>
          <w:highlight w:val="none"/>
          <w:lang w:val="en-US" w:eastAsia="zh-CN"/>
        </w:rPr>
        <w:t>磋商文件要求的其他技术响应</w:t>
      </w:r>
      <w:r>
        <w:rPr>
          <w:rFonts w:hint="eastAsia" w:ascii="宋体" w:hAnsi="宋体" w:eastAsia="宋体" w:cs="宋体"/>
          <w:color w:val="auto"/>
          <w:sz w:val="24"/>
          <w:highlight w:val="none"/>
        </w:rPr>
        <w:t>证明</w:t>
      </w:r>
      <w:r>
        <w:rPr>
          <w:rFonts w:hint="eastAsia" w:ascii="宋体" w:hAnsi="宋体" w:eastAsia="宋体" w:cs="宋体"/>
          <w:color w:val="auto"/>
          <w:sz w:val="24"/>
          <w:highlight w:val="none"/>
          <w:lang w:val="en-US" w:eastAsia="zh-CN"/>
        </w:rPr>
        <w:t>材料</w:t>
      </w:r>
      <w:r>
        <w:rPr>
          <w:rFonts w:hint="eastAsia" w:ascii="宋体" w:hAnsi="宋体" w:eastAsia="宋体" w:cs="宋体"/>
          <w:color w:val="auto"/>
          <w:sz w:val="24"/>
          <w:highlight w:val="none"/>
          <w:lang w:eastAsia="zh-CN"/>
        </w:rPr>
        <w:t>）</w:t>
      </w:r>
    </w:p>
    <w:p w14:paraId="251DA1E3">
      <w:pPr>
        <w:rPr>
          <w:rFonts w:hint="eastAsia" w:ascii="宋体" w:hAnsi="宋体" w:eastAsia="宋体" w:cs="宋体"/>
          <w:b/>
          <w:color w:val="auto"/>
          <w:sz w:val="24"/>
          <w:highlight w:val="none"/>
        </w:rPr>
      </w:pPr>
    </w:p>
    <w:p w14:paraId="25710336">
      <w:pPr>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br w:type="page"/>
      </w:r>
    </w:p>
    <w:bookmarkEnd w:id="273"/>
    <w:bookmarkEnd w:id="274"/>
    <w:p w14:paraId="2B33F11E">
      <w:pPr>
        <w:numPr>
          <w:ilvl w:val="0"/>
          <w:numId w:val="1"/>
        </w:numPr>
        <w:spacing w:line="360" w:lineRule="auto"/>
        <w:jc w:val="center"/>
        <w:outlineLvl w:val="1"/>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报价表</w:t>
      </w:r>
    </w:p>
    <w:p w14:paraId="484A03D4">
      <w:pPr>
        <w:numPr>
          <w:ilvl w:val="0"/>
          <w:numId w:val="0"/>
        </w:numPr>
        <w:spacing w:line="360" w:lineRule="auto"/>
        <w:jc w:val="both"/>
        <w:outlineLvl w:val="1"/>
        <w:rPr>
          <w:rFonts w:hint="eastAsia" w:ascii="宋体" w:hAnsi="宋体" w:eastAsia="宋体" w:cs="宋体"/>
          <w:b/>
          <w:color w:val="auto"/>
          <w:sz w:val="24"/>
          <w:highlight w:val="none"/>
          <w:lang w:val="en-US" w:eastAsia="zh-CN"/>
        </w:rPr>
      </w:pPr>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9"/>
        <w:gridCol w:w="6063"/>
      </w:tblGrid>
      <w:tr w14:paraId="63D64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645A7050">
            <w:pPr>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供应商名称</w:t>
            </w:r>
          </w:p>
        </w:tc>
        <w:tc>
          <w:tcPr>
            <w:tcW w:w="3557" w:type="pct"/>
            <w:tcBorders>
              <w:left w:val="single" w:color="auto" w:sz="4" w:space="0"/>
            </w:tcBorders>
            <w:vAlign w:val="center"/>
          </w:tcPr>
          <w:p w14:paraId="1DB9B00A">
            <w:pPr>
              <w:spacing w:line="360" w:lineRule="auto"/>
              <w:rPr>
                <w:rFonts w:hint="eastAsia" w:ascii="宋体" w:hAnsi="宋体" w:eastAsia="宋体" w:cs="宋体"/>
                <w:b/>
                <w:color w:val="auto"/>
                <w:sz w:val="24"/>
                <w:highlight w:val="none"/>
              </w:rPr>
            </w:pPr>
          </w:p>
        </w:tc>
      </w:tr>
      <w:tr w14:paraId="0ACC6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3FA10120">
            <w:pPr>
              <w:spacing w:line="360" w:lineRule="exact"/>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磋商范围</w:t>
            </w:r>
          </w:p>
        </w:tc>
        <w:tc>
          <w:tcPr>
            <w:tcW w:w="3557" w:type="pct"/>
            <w:tcBorders>
              <w:left w:val="single" w:color="auto" w:sz="4" w:space="0"/>
            </w:tcBorders>
            <w:vAlign w:val="center"/>
          </w:tcPr>
          <w:p w14:paraId="638C9E2C">
            <w:pPr>
              <w:widowControl/>
              <w:spacing w:line="360" w:lineRule="exact"/>
              <w:rPr>
                <w:rFonts w:hint="eastAsia" w:ascii="宋体" w:hAnsi="宋体" w:eastAsia="宋体" w:cs="宋体"/>
                <w:b/>
                <w:color w:val="auto"/>
                <w:sz w:val="24"/>
                <w:highlight w:val="none"/>
              </w:rPr>
            </w:pPr>
            <w:r>
              <w:rPr>
                <w:rFonts w:hint="eastAsia" w:ascii="宋体" w:hAnsi="宋体" w:eastAsia="宋体" w:cs="宋体"/>
                <w:color w:val="auto"/>
                <w:sz w:val="24"/>
                <w:szCs w:val="28"/>
                <w:highlight w:val="none"/>
              </w:rPr>
              <w:t xml:space="preserve">全部 </w:t>
            </w:r>
          </w:p>
        </w:tc>
      </w:tr>
      <w:tr w14:paraId="55C8D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617142A8">
            <w:pPr>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报价</w:t>
            </w:r>
          </w:p>
          <w:p w14:paraId="2CD96BE2">
            <w:pPr>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（详见备注说明）</w:t>
            </w:r>
          </w:p>
        </w:tc>
        <w:tc>
          <w:tcPr>
            <w:tcW w:w="3557" w:type="pct"/>
            <w:vAlign w:val="center"/>
          </w:tcPr>
          <w:p w14:paraId="460CFEBE">
            <w:pPr>
              <w:snapToGrid w:val="0"/>
              <w:spacing w:line="360" w:lineRule="auto"/>
              <w:rPr>
                <w:rFonts w:hint="eastAsia" w:ascii="宋体" w:hAnsi="宋体" w:eastAsia="宋体" w:cs="宋体"/>
                <w:color w:val="auto"/>
                <w:sz w:val="24"/>
                <w:szCs w:val="28"/>
                <w:highlight w:val="none"/>
              </w:rPr>
            </w:pPr>
          </w:p>
          <w:p w14:paraId="5FDF08B0">
            <w:pPr>
              <w:snapToGrid w:val="0"/>
              <w:spacing w:line="360" w:lineRule="auto"/>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34119DBA">
            <w:pPr>
              <w:spacing w:line="360" w:lineRule="auto"/>
              <w:ind w:right="-670"/>
              <w:rPr>
                <w:rFonts w:hint="eastAsia" w:ascii="宋体" w:hAnsi="宋体" w:eastAsia="宋体" w:cs="宋体"/>
                <w:color w:val="auto"/>
                <w:sz w:val="24"/>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p w14:paraId="06808735">
            <w:pPr>
              <w:snapToGrid w:val="0"/>
              <w:spacing w:line="360" w:lineRule="auto"/>
              <w:rPr>
                <w:rFonts w:hint="eastAsia" w:ascii="宋体" w:hAnsi="宋体" w:eastAsia="宋体" w:cs="宋体"/>
                <w:b/>
                <w:color w:val="auto"/>
                <w:sz w:val="24"/>
                <w:highlight w:val="none"/>
              </w:rPr>
            </w:pPr>
          </w:p>
        </w:tc>
      </w:tr>
      <w:tr w14:paraId="56EED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1443" w:type="pct"/>
            <w:vAlign w:val="center"/>
          </w:tcPr>
          <w:p w14:paraId="7DC7C08B">
            <w:pPr>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备注说明</w:t>
            </w:r>
          </w:p>
        </w:tc>
        <w:tc>
          <w:tcPr>
            <w:tcW w:w="3557" w:type="pct"/>
            <w:vAlign w:val="center"/>
          </w:tcPr>
          <w:p w14:paraId="5ACA2E23">
            <w:pPr>
              <w:spacing w:line="360" w:lineRule="auto"/>
              <w:rPr>
                <w:rFonts w:hint="eastAsia" w:ascii="宋体" w:hAnsi="宋体" w:eastAsia="宋体" w:cs="宋体"/>
                <w:b/>
                <w:color w:val="auto"/>
                <w:sz w:val="24"/>
                <w:highlight w:val="none"/>
              </w:rPr>
            </w:pPr>
          </w:p>
        </w:tc>
      </w:tr>
    </w:tbl>
    <w:p w14:paraId="6207F9F4">
      <w:pPr>
        <w:spacing w:line="360" w:lineRule="auto"/>
        <w:ind w:firstLine="4800" w:firstLineChars="2000"/>
        <w:rPr>
          <w:rFonts w:hint="eastAsia" w:ascii="宋体" w:hAnsi="宋体" w:eastAsia="宋体" w:cs="宋体"/>
          <w:color w:val="auto"/>
          <w:sz w:val="24"/>
          <w:highlight w:val="none"/>
        </w:rPr>
      </w:pPr>
    </w:p>
    <w:p w14:paraId="644DB1FD">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供应商盖章：</w:t>
      </w:r>
      <w:r>
        <w:rPr>
          <w:rFonts w:hint="eastAsia" w:ascii="宋体" w:hAnsi="宋体" w:eastAsia="宋体" w:cs="宋体"/>
          <w:color w:val="auto"/>
          <w:sz w:val="24"/>
          <w:highlight w:val="none"/>
          <w:u w:val="single"/>
        </w:rPr>
        <w:t xml:space="preserve">             </w:t>
      </w:r>
    </w:p>
    <w:p w14:paraId="11BB08EB">
      <w:pPr>
        <w:tabs>
          <w:tab w:val="left" w:pos="630"/>
        </w:tabs>
        <w:spacing w:line="360" w:lineRule="auto"/>
        <w:ind w:firstLine="4800" w:firstLineChars="2000"/>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25DCFDD7">
      <w:pPr>
        <w:adjustRightInd w:val="0"/>
        <w:snapToGrid w:val="0"/>
        <w:spacing w:line="360" w:lineRule="auto"/>
        <w:rPr>
          <w:rFonts w:hint="eastAsia" w:ascii="宋体" w:hAnsi="宋体" w:eastAsia="宋体" w:cs="宋体"/>
          <w:b/>
          <w:bCs/>
          <w:color w:val="auto"/>
          <w:sz w:val="24"/>
          <w:szCs w:val="28"/>
          <w:highlight w:val="none"/>
        </w:rPr>
      </w:pPr>
    </w:p>
    <w:p w14:paraId="5B8516BE">
      <w:pPr>
        <w:adjustRightInd w:val="0"/>
        <w:snapToGrid w:val="0"/>
        <w:spacing w:line="360" w:lineRule="auto"/>
        <w:rPr>
          <w:rFonts w:hint="eastAsia" w:ascii="宋体" w:hAnsi="宋体" w:eastAsia="宋体" w:cs="宋体"/>
          <w:b/>
          <w:bCs/>
          <w:color w:val="auto"/>
          <w:sz w:val="24"/>
          <w:szCs w:val="28"/>
          <w:highlight w:val="none"/>
        </w:rPr>
      </w:pPr>
      <w:r>
        <w:rPr>
          <w:rFonts w:hint="eastAsia" w:ascii="宋体" w:hAnsi="宋体" w:eastAsia="宋体" w:cs="宋体"/>
          <w:b/>
          <w:bCs/>
          <w:color w:val="auto"/>
          <w:sz w:val="24"/>
          <w:szCs w:val="28"/>
          <w:highlight w:val="none"/>
        </w:rPr>
        <w:t>注：</w:t>
      </w:r>
    </w:p>
    <w:p w14:paraId="484BB565">
      <w:pPr>
        <w:pStyle w:val="23"/>
        <w:ind w:left="0" w:leftChars="0" w:firstLine="480" w:firstLineChars="200"/>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szCs w:val="28"/>
          <w:highlight w:val="none"/>
        </w:rPr>
        <w:t>1.</w:t>
      </w:r>
      <w:r>
        <w:rPr>
          <w:rFonts w:hint="eastAsia" w:ascii="宋体" w:hAnsi="宋体" w:eastAsia="宋体" w:cs="宋体"/>
          <w:b w:val="0"/>
          <w:bCs w:val="0"/>
          <w:color w:val="auto"/>
          <w:kern w:val="2"/>
          <w:sz w:val="24"/>
          <w:szCs w:val="28"/>
          <w:highlight w:val="none"/>
          <w:lang w:val="en-US" w:eastAsia="zh-CN" w:bidi="ar-SA"/>
        </w:rPr>
        <w:t>供应商的响应报价须包含上述所有工程服务内容和国家规定的税金，合同执行中不再另行支付。</w:t>
      </w:r>
    </w:p>
    <w:p w14:paraId="5877B3D3">
      <w:pPr>
        <w:adjustRightInd w:val="0"/>
        <w:snapToGrid w:val="0"/>
        <w:spacing w:line="360" w:lineRule="auto"/>
        <w:ind w:firstLine="480" w:firstLineChars="200"/>
        <w:rPr>
          <w:rFonts w:hint="eastAsia" w:ascii="宋体" w:hAnsi="宋体" w:eastAsia="宋体" w:cs="宋体"/>
          <w:b w:val="0"/>
          <w:bCs w:val="0"/>
          <w:color w:val="auto"/>
          <w:sz w:val="24"/>
          <w:szCs w:val="28"/>
          <w:highlight w:val="none"/>
        </w:rPr>
      </w:pPr>
      <w:r>
        <w:rPr>
          <w:rFonts w:hint="eastAsia" w:ascii="宋体" w:hAnsi="宋体" w:eastAsia="宋体" w:cs="宋体"/>
          <w:b w:val="0"/>
          <w:bCs w:val="0"/>
          <w:color w:val="auto"/>
          <w:sz w:val="24"/>
          <w:szCs w:val="28"/>
          <w:highlight w:val="none"/>
        </w:rPr>
        <w:t>2.特殊事项在备注中注明。</w:t>
      </w:r>
    </w:p>
    <w:p w14:paraId="3D41BB96">
      <w:pPr>
        <w:adjustRightInd w:val="0"/>
        <w:snapToGrid w:val="0"/>
        <w:spacing w:line="360" w:lineRule="auto"/>
        <w:ind w:firstLine="480" w:firstLineChars="200"/>
        <w:rPr>
          <w:rFonts w:hint="eastAsia" w:ascii="宋体" w:hAnsi="宋体" w:eastAsia="宋体" w:cs="宋体"/>
          <w:b w:val="0"/>
          <w:bCs w:val="0"/>
          <w:color w:val="auto"/>
          <w:sz w:val="24"/>
          <w:szCs w:val="28"/>
          <w:highlight w:val="none"/>
        </w:rPr>
      </w:pPr>
      <w:r>
        <w:rPr>
          <w:rFonts w:hint="eastAsia" w:ascii="宋体" w:hAnsi="宋体" w:eastAsia="宋体" w:cs="宋体"/>
          <w:b w:val="0"/>
          <w:bCs w:val="0"/>
          <w:color w:val="auto"/>
          <w:sz w:val="24"/>
          <w:szCs w:val="28"/>
          <w:highlight w:val="none"/>
        </w:rPr>
        <w:t>3.表中大写金额与小写金额不一致的，以大写金额为准。</w:t>
      </w:r>
    </w:p>
    <w:p w14:paraId="47C08AE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2068260A">
      <w:pPr>
        <w:spacing w:before="120" w:beforeLines="50" w:after="120" w:afterLines="50" w:line="360" w:lineRule="auto"/>
        <w:jc w:val="center"/>
        <w:outlineLvl w:val="2"/>
        <w:rPr>
          <w:rFonts w:hint="eastAsia" w:ascii="宋体" w:hAnsi="宋体" w:eastAsia="宋体" w:cs="宋体"/>
          <w:b/>
          <w:color w:val="auto"/>
          <w:sz w:val="24"/>
          <w:szCs w:val="28"/>
          <w:highlight w:val="none"/>
        </w:rPr>
      </w:pPr>
      <w:bookmarkStart w:id="293" w:name="_Toc32226"/>
      <w:bookmarkStart w:id="294" w:name="_Toc31027"/>
      <w:r>
        <w:rPr>
          <w:rFonts w:hint="eastAsia" w:ascii="宋体" w:hAnsi="宋体" w:eastAsia="宋体" w:cs="宋体"/>
          <w:b/>
          <w:color w:val="auto"/>
          <w:sz w:val="24"/>
          <w:highlight w:val="none"/>
          <w:lang w:val="en-US" w:eastAsia="zh-CN"/>
        </w:rPr>
        <w:t>十五</w:t>
      </w:r>
      <w:r>
        <w:rPr>
          <w:rFonts w:hint="eastAsia" w:ascii="宋体" w:hAnsi="宋体" w:eastAsia="宋体" w:cs="宋体"/>
          <w:b/>
          <w:color w:val="auto"/>
          <w:sz w:val="24"/>
          <w:highlight w:val="none"/>
        </w:rPr>
        <w:t>、</w:t>
      </w:r>
      <w:bookmarkEnd w:id="293"/>
      <w:bookmarkEnd w:id="294"/>
      <w:r>
        <w:rPr>
          <w:rFonts w:hint="eastAsia" w:ascii="宋体" w:hAnsi="宋体" w:eastAsia="宋体" w:cs="宋体"/>
          <w:b/>
          <w:color w:val="auto"/>
          <w:sz w:val="24"/>
          <w:szCs w:val="28"/>
          <w:highlight w:val="none"/>
        </w:rPr>
        <w:t>报价明细表</w:t>
      </w:r>
    </w:p>
    <w:tbl>
      <w:tblPr>
        <w:tblW w:w="9709" w:type="dxa"/>
        <w:tblInd w:w="-61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660"/>
        <w:gridCol w:w="2550"/>
        <w:gridCol w:w="840"/>
        <w:gridCol w:w="795"/>
        <w:gridCol w:w="975"/>
        <w:gridCol w:w="1020"/>
        <w:gridCol w:w="2869"/>
      </w:tblGrid>
      <w:tr w14:paraId="26FA9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36" w:hRule="atLeast"/>
        </w:trPr>
        <w:tc>
          <w:tcPr>
            <w:tcW w:w="9709" w:type="dxa"/>
            <w:gridSpan w:val="7"/>
            <w:tcBorders>
              <w:top w:val="nil"/>
              <w:left w:val="nil"/>
              <w:bottom w:val="nil"/>
              <w:right w:val="nil"/>
            </w:tcBorders>
            <w:shd w:val="clear"/>
            <w:noWrap/>
            <w:vAlign w:val="center"/>
          </w:tcPr>
          <w:p w14:paraId="1C50FD8B">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bdr w:val="none" w:color="auto" w:sz="0" w:space="0"/>
                <w:lang w:val="en-US" w:eastAsia="zh-CN" w:bidi="ar"/>
              </w:rPr>
              <w:t>苏大堰排涝站水泵故障维修工程量清单</w:t>
            </w:r>
          </w:p>
        </w:tc>
      </w:tr>
      <w:tr w14:paraId="48DB6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13" w:hRule="atLeast"/>
        </w:trPr>
        <w:tc>
          <w:tcPr>
            <w:tcW w:w="660" w:type="dxa"/>
            <w:tcBorders>
              <w:top w:val="single" w:color="000000" w:sz="4" w:space="0"/>
              <w:left w:val="single" w:color="000000" w:sz="4" w:space="0"/>
              <w:bottom w:val="single" w:color="000000" w:sz="4" w:space="0"/>
              <w:right w:val="single" w:color="000000" w:sz="4" w:space="0"/>
            </w:tcBorders>
            <w:shd w:val="clear"/>
            <w:vAlign w:val="center"/>
          </w:tcPr>
          <w:p w14:paraId="3074F8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序号</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183F3F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潜水轴流泵潜水电泵维修内容</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1BE0CD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单位</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535214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数量</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14:paraId="211348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综合单价（元）</w:t>
            </w:r>
          </w:p>
        </w:tc>
        <w:tc>
          <w:tcPr>
            <w:tcW w:w="1020" w:type="dxa"/>
            <w:tcBorders>
              <w:top w:val="single" w:color="000000" w:sz="4" w:space="0"/>
              <w:left w:val="single" w:color="000000" w:sz="4" w:space="0"/>
              <w:bottom w:val="single" w:color="000000" w:sz="4" w:space="0"/>
              <w:right w:val="single" w:color="000000" w:sz="4" w:space="0"/>
            </w:tcBorders>
            <w:shd w:val="clear"/>
            <w:vAlign w:val="center"/>
          </w:tcPr>
          <w:p w14:paraId="482888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合价（元）</w:t>
            </w:r>
          </w:p>
        </w:tc>
        <w:tc>
          <w:tcPr>
            <w:tcW w:w="2869" w:type="dxa"/>
            <w:tcBorders>
              <w:top w:val="single" w:color="000000" w:sz="4" w:space="0"/>
              <w:left w:val="single" w:color="000000" w:sz="4" w:space="0"/>
              <w:bottom w:val="single" w:color="000000" w:sz="4" w:space="0"/>
              <w:right w:val="single" w:color="000000" w:sz="4" w:space="0"/>
            </w:tcBorders>
            <w:shd w:val="clear"/>
            <w:vAlign w:val="center"/>
          </w:tcPr>
          <w:p w14:paraId="0EAF40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备注</w:t>
            </w:r>
          </w:p>
        </w:tc>
      </w:tr>
      <w:tr w14:paraId="733C0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660" w:type="dxa"/>
            <w:tcBorders>
              <w:top w:val="single" w:color="000000" w:sz="4" w:space="0"/>
              <w:left w:val="single" w:color="000000" w:sz="4" w:space="0"/>
              <w:bottom w:val="single" w:color="000000" w:sz="4" w:space="0"/>
              <w:right w:val="single" w:color="000000" w:sz="4" w:space="0"/>
            </w:tcBorders>
            <w:shd w:val="clear"/>
            <w:vAlign w:val="center"/>
          </w:tcPr>
          <w:p w14:paraId="0B58FE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29B20E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现场设备拆除、起吊、运输、 回装与调试</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6A7E4CF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台</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2B5AAB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14:paraId="5D404774">
            <w:pPr>
              <w:jc w:val="center"/>
              <w:rPr>
                <w:rFonts w:hint="eastAsia" w:ascii="宋体" w:hAnsi="宋体" w:eastAsia="宋体" w:cs="宋体"/>
                <w:i w:val="0"/>
                <w:iCs w:val="0"/>
                <w:color w:val="000000"/>
                <w:sz w:val="21"/>
                <w:szCs w:val="21"/>
                <w:u w:val="none"/>
              </w:rPr>
            </w:pPr>
          </w:p>
        </w:tc>
        <w:tc>
          <w:tcPr>
            <w:tcW w:w="1020" w:type="dxa"/>
            <w:tcBorders>
              <w:top w:val="single" w:color="000000" w:sz="4" w:space="0"/>
              <w:left w:val="single" w:color="000000" w:sz="4" w:space="0"/>
              <w:bottom w:val="single" w:color="000000" w:sz="4" w:space="0"/>
              <w:right w:val="single" w:color="000000" w:sz="4" w:space="0"/>
            </w:tcBorders>
            <w:shd w:val="clear"/>
            <w:vAlign w:val="center"/>
          </w:tcPr>
          <w:p w14:paraId="7F09E7AF">
            <w:pPr>
              <w:jc w:val="center"/>
              <w:rPr>
                <w:rFonts w:hint="eastAsia" w:ascii="宋体" w:hAnsi="宋体" w:eastAsia="宋体" w:cs="宋体"/>
                <w:i w:val="0"/>
                <w:iCs w:val="0"/>
                <w:color w:val="000000"/>
                <w:sz w:val="21"/>
                <w:szCs w:val="21"/>
                <w:u w:val="none"/>
              </w:rPr>
            </w:pPr>
          </w:p>
        </w:tc>
        <w:tc>
          <w:tcPr>
            <w:tcW w:w="2869" w:type="dxa"/>
            <w:tcBorders>
              <w:top w:val="single" w:color="000000" w:sz="4" w:space="0"/>
              <w:left w:val="single" w:color="000000" w:sz="4" w:space="0"/>
              <w:bottom w:val="single" w:color="000000" w:sz="4" w:space="0"/>
              <w:right w:val="single" w:color="000000" w:sz="4" w:space="0"/>
            </w:tcBorders>
            <w:shd w:val="clear"/>
            <w:vAlign w:val="center"/>
          </w:tcPr>
          <w:p w14:paraId="1418EAEA">
            <w:pPr>
              <w:jc w:val="center"/>
              <w:rPr>
                <w:rFonts w:hint="eastAsia" w:ascii="宋体" w:hAnsi="宋体" w:eastAsia="宋体" w:cs="宋体"/>
                <w:i w:val="0"/>
                <w:iCs w:val="0"/>
                <w:color w:val="000000"/>
                <w:sz w:val="21"/>
                <w:szCs w:val="21"/>
                <w:u w:val="none"/>
              </w:rPr>
            </w:pPr>
          </w:p>
        </w:tc>
      </w:tr>
      <w:tr w14:paraId="58B17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52" w:hRule="atLeast"/>
        </w:trPr>
        <w:tc>
          <w:tcPr>
            <w:tcW w:w="660" w:type="dxa"/>
            <w:tcBorders>
              <w:top w:val="single" w:color="000000" w:sz="4" w:space="0"/>
              <w:left w:val="single" w:color="000000" w:sz="4" w:space="0"/>
              <w:bottom w:val="single" w:color="000000" w:sz="4" w:space="0"/>
              <w:right w:val="single" w:color="000000" w:sz="4" w:space="0"/>
            </w:tcBorders>
            <w:shd w:val="clear"/>
            <w:vAlign w:val="center"/>
          </w:tcPr>
          <w:p w14:paraId="77E7EA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483CD3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电机拆卸、水泵拆卸解体,清洗，去锈，防锈处理，底漆及总装配费</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7DC2EF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台</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7BE6A1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14:paraId="47248AA9">
            <w:pPr>
              <w:jc w:val="center"/>
              <w:rPr>
                <w:rFonts w:hint="eastAsia" w:ascii="宋体" w:hAnsi="宋体" w:eastAsia="宋体" w:cs="宋体"/>
                <w:i w:val="0"/>
                <w:iCs w:val="0"/>
                <w:color w:val="000000"/>
                <w:sz w:val="21"/>
                <w:szCs w:val="21"/>
                <w:u w:val="none"/>
              </w:rPr>
            </w:pPr>
          </w:p>
        </w:tc>
        <w:tc>
          <w:tcPr>
            <w:tcW w:w="1020" w:type="dxa"/>
            <w:tcBorders>
              <w:top w:val="single" w:color="000000" w:sz="4" w:space="0"/>
              <w:left w:val="single" w:color="000000" w:sz="4" w:space="0"/>
              <w:bottom w:val="single" w:color="000000" w:sz="4" w:space="0"/>
              <w:right w:val="single" w:color="000000" w:sz="4" w:space="0"/>
            </w:tcBorders>
            <w:shd w:val="clear"/>
            <w:vAlign w:val="center"/>
          </w:tcPr>
          <w:p w14:paraId="227BDB18">
            <w:pPr>
              <w:jc w:val="center"/>
              <w:rPr>
                <w:rFonts w:hint="eastAsia" w:ascii="宋体" w:hAnsi="宋体" w:eastAsia="宋体" w:cs="宋体"/>
                <w:i w:val="0"/>
                <w:iCs w:val="0"/>
                <w:color w:val="000000"/>
                <w:sz w:val="21"/>
                <w:szCs w:val="21"/>
                <w:u w:val="none"/>
              </w:rPr>
            </w:pPr>
          </w:p>
        </w:tc>
        <w:tc>
          <w:tcPr>
            <w:tcW w:w="2869" w:type="dxa"/>
            <w:tcBorders>
              <w:top w:val="single" w:color="000000" w:sz="4" w:space="0"/>
              <w:left w:val="single" w:color="000000" w:sz="4" w:space="0"/>
              <w:bottom w:val="single" w:color="000000" w:sz="4" w:space="0"/>
              <w:right w:val="single" w:color="000000" w:sz="4" w:space="0"/>
            </w:tcBorders>
            <w:shd w:val="clear"/>
            <w:vAlign w:val="center"/>
          </w:tcPr>
          <w:p w14:paraId="7C7A78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按《潜水电泵检查维修手册》执行</w:t>
            </w:r>
          </w:p>
        </w:tc>
      </w:tr>
      <w:tr w14:paraId="4D0D8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660" w:type="dxa"/>
            <w:tcBorders>
              <w:top w:val="single" w:color="000000" w:sz="4" w:space="0"/>
              <w:left w:val="single" w:color="000000" w:sz="4" w:space="0"/>
              <w:bottom w:val="single" w:color="000000" w:sz="4" w:space="0"/>
              <w:right w:val="single" w:color="000000" w:sz="4" w:space="0"/>
            </w:tcBorders>
            <w:shd w:val="clear"/>
            <w:vAlign w:val="center"/>
          </w:tcPr>
          <w:p w14:paraId="59C73A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3</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32D53F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电机绝缘检测</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12A3BB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套</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38815E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14:paraId="21AA199C">
            <w:pPr>
              <w:jc w:val="center"/>
              <w:rPr>
                <w:rFonts w:hint="eastAsia" w:ascii="宋体" w:hAnsi="宋体" w:eastAsia="宋体" w:cs="宋体"/>
                <w:i w:val="0"/>
                <w:iCs w:val="0"/>
                <w:color w:val="000000"/>
                <w:sz w:val="21"/>
                <w:szCs w:val="21"/>
                <w:u w:val="none"/>
              </w:rPr>
            </w:pPr>
          </w:p>
        </w:tc>
        <w:tc>
          <w:tcPr>
            <w:tcW w:w="1020" w:type="dxa"/>
            <w:tcBorders>
              <w:top w:val="single" w:color="000000" w:sz="4" w:space="0"/>
              <w:left w:val="single" w:color="000000" w:sz="4" w:space="0"/>
              <w:bottom w:val="single" w:color="000000" w:sz="4" w:space="0"/>
              <w:right w:val="single" w:color="000000" w:sz="4" w:space="0"/>
            </w:tcBorders>
            <w:shd w:val="clear"/>
            <w:vAlign w:val="center"/>
          </w:tcPr>
          <w:p w14:paraId="72911949">
            <w:pPr>
              <w:jc w:val="center"/>
              <w:rPr>
                <w:rFonts w:hint="eastAsia" w:ascii="宋体" w:hAnsi="宋体" w:eastAsia="宋体" w:cs="宋体"/>
                <w:i w:val="0"/>
                <w:iCs w:val="0"/>
                <w:color w:val="000000"/>
                <w:sz w:val="21"/>
                <w:szCs w:val="21"/>
                <w:u w:val="none"/>
              </w:rPr>
            </w:pPr>
          </w:p>
        </w:tc>
        <w:tc>
          <w:tcPr>
            <w:tcW w:w="2869" w:type="dxa"/>
            <w:tcBorders>
              <w:top w:val="single" w:color="000000" w:sz="4" w:space="0"/>
              <w:left w:val="single" w:color="000000" w:sz="4" w:space="0"/>
              <w:bottom w:val="single" w:color="000000" w:sz="4" w:space="0"/>
              <w:right w:val="single" w:color="000000" w:sz="4" w:space="0"/>
            </w:tcBorders>
            <w:shd w:val="clear"/>
            <w:vAlign w:val="center"/>
          </w:tcPr>
          <w:p w14:paraId="5170D503">
            <w:pPr>
              <w:jc w:val="center"/>
              <w:rPr>
                <w:rFonts w:hint="eastAsia" w:ascii="宋体" w:hAnsi="宋体" w:eastAsia="宋体" w:cs="宋体"/>
                <w:i w:val="0"/>
                <w:iCs w:val="0"/>
                <w:color w:val="000000"/>
                <w:sz w:val="21"/>
                <w:szCs w:val="21"/>
                <w:u w:val="none"/>
              </w:rPr>
            </w:pPr>
          </w:p>
        </w:tc>
      </w:tr>
      <w:tr w14:paraId="11981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95" w:hRule="atLeast"/>
        </w:trPr>
        <w:tc>
          <w:tcPr>
            <w:tcW w:w="660" w:type="dxa"/>
            <w:tcBorders>
              <w:top w:val="single" w:color="000000" w:sz="4" w:space="0"/>
              <w:left w:val="single" w:color="000000" w:sz="4" w:space="0"/>
              <w:bottom w:val="single" w:color="000000" w:sz="4" w:space="0"/>
              <w:right w:val="single" w:color="000000" w:sz="4" w:space="0"/>
            </w:tcBorders>
            <w:shd w:val="clear"/>
            <w:vAlign w:val="center"/>
          </w:tcPr>
          <w:p w14:paraId="0030DB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4</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2470D7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清理电机定子，并进行烘干后真空压力浸漆</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63716A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台</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56CEC1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14:paraId="5ECCC054">
            <w:pPr>
              <w:jc w:val="center"/>
              <w:rPr>
                <w:rFonts w:hint="eastAsia" w:ascii="宋体" w:hAnsi="宋体" w:eastAsia="宋体" w:cs="宋体"/>
                <w:i w:val="0"/>
                <w:iCs w:val="0"/>
                <w:color w:val="000000"/>
                <w:sz w:val="21"/>
                <w:szCs w:val="21"/>
                <w:u w:val="none"/>
              </w:rPr>
            </w:pPr>
          </w:p>
        </w:tc>
        <w:tc>
          <w:tcPr>
            <w:tcW w:w="1020" w:type="dxa"/>
            <w:tcBorders>
              <w:top w:val="single" w:color="000000" w:sz="4" w:space="0"/>
              <w:left w:val="single" w:color="000000" w:sz="4" w:space="0"/>
              <w:bottom w:val="single" w:color="000000" w:sz="4" w:space="0"/>
              <w:right w:val="single" w:color="000000" w:sz="4" w:space="0"/>
            </w:tcBorders>
            <w:shd w:val="clear"/>
            <w:vAlign w:val="center"/>
          </w:tcPr>
          <w:p w14:paraId="77D98675">
            <w:pPr>
              <w:jc w:val="center"/>
              <w:rPr>
                <w:rFonts w:hint="eastAsia" w:ascii="宋体" w:hAnsi="宋体" w:eastAsia="宋体" w:cs="宋体"/>
                <w:i w:val="0"/>
                <w:iCs w:val="0"/>
                <w:color w:val="000000"/>
                <w:sz w:val="21"/>
                <w:szCs w:val="21"/>
                <w:u w:val="none"/>
              </w:rPr>
            </w:pPr>
          </w:p>
        </w:tc>
        <w:tc>
          <w:tcPr>
            <w:tcW w:w="2869" w:type="dxa"/>
            <w:tcBorders>
              <w:top w:val="single" w:color="000000" w:sz="4" w:space="0"/>
              <w:left w:val="single" w:color="000000" w:sz="4" w:space="0"/>
              <w:bottom w:val="single" w:color="000000" w:sz="4" w:space="0"/>
              <w:right w:val="single" w:color="000000" w:sz="4" w:space="0"/>
            </w:tcBorders>
            <w:shd w:val="clear"/>
            <w:vAlign w:val="center"/>
          </w:tcPr>
          <w:p w14:paraId="2E4EB3F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清洗油污、去潮后检查绕组的绝缘电阻；采用真空压力浸渍工艺浸漆；更换各项传感元件</w:t>
            </w:r>
          </w:p>
        </w:tc>
      </w:tr>
      <w:tr w14:paraId="55295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52" w:hRule="atLeast"/>
        </w:trPr>
        <w:tc>
          <w:tcPr>
            <w:tcW w:w="660" w:type="dxa"/>
            <w:tcBorders>
              <w:top w:val="single" w:color="000000" w:sz="4" w:space="0"/>
              <w:left w:val="single" w:color="000000" w:sz="4" w:space="0"/>
              <w:bottom w:val="single" w:color="000000" w:sz="4" w:space="0"/>
              <w:right w:val="single" w:color="000000" w:sz="4" w:space="0"/>
            </w:tcBorders>
            <w:shd w:val="clear"/>
            <w:vAlign w:val="center"/>
          </w:tcPr>
          <w:p w14:paraId="5AC341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5</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515F3B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转子清理、烘干及转子断排检查、轴挡检查、校验转子平衡</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4E118F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套</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3603B3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14:paraId="215BE43E">
            <w:pPr>
              <w:jc w:val="center"/>
              <w:rPr>
                <w:rFonts w:hint="eastAsia" w:ascii="宋体" w:hAnsi="宋体" w:eastAsia="宋体" w:cs="宋体"/>
                <w:i w:val="0"/>
                <w:iCs w:val="0"/>
                <w:color w:val="000000"/>
                <w:sz w:val="21"/>
                <w:szCs w:val="21"/>
                <w:u w:val="none"/>
              </w:rPr>
            </w:pPr>
          </w:p>
        </w:tc>
        <w:tc>
          <w:tcPr>
            <w:tcW w:w="1020" w:type="dxa"/>
            <w:tcBorders>
              <w:top w:val="single" w:color="000000" w:sz="4" w:space="0"/>
              <w:left w:val="single" w:color="000000" w:sz="4" w:space="0"/>
              <w:bottom w:val="single" w:color="000000" w:sz="4" w:space="0"/>
              <w:right w:val="single" w:color="000000" w:sz="4" w:space="0"/>
            </w:tcBorders>
            <w:shd w:val="clear"/>
            <w:vAlign w:val="center"/>
          </w:tcPr>
          <w:p w14:paraId="106063D6">
            <w:pPr>
              <w:jc w:val="center"/>
              <w:rPr>
                <w:rFonts w:hint="eastAsia" w:ascii="宋体" w:hAnsi="宋体" w:eastAsia="宋体" w:cs="宋体"/>
                <w:i w:val="0"/>
                <w:iCs w:val="0"/>
                <w:color w:val="000000"/>
                <w:sz w:val="21"/>
                <w:szCs w:val="21"/>
                <w:u w:val="none"/>
              </w:rPr>
            </w:pPr>
          </w:p>
        </w:tc>
        <w:tc>
          <w:tcPr>
            <w:tcW w:w="2869" w:type="dxa"/>
            <w:tcBorders>
              <w:top w:val="single" w:color="000000" w:sz="4" w:space="0"/>
              <w:left w:val="single" w:color="000000" w:sz="4" w:space="0"/>
              <w:bottom w:val="single" w:color="000000" w:sz="4" w:space="0"/>
              <w:right w:val="single" w:color="000000" w:sz="4" w:space="0"/>
            </w:tcBorders>
            <w:shd w:val="clear"/>
            <w:vAlign w:val="center"/>
          </w:tcPr>
          <w:p w14:paraId="067832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脱焊、断焊进行修复，校转子平衡</w:t>
            </w:r>
          </w:p>
        </w:tc>
      </w:tr>
      <w:tr w14:paraId="2136F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52" w:hRule="atLeast"/>
        </w:trPr>
        <w:tc>
          <w:tcPr>
            <w:tcW w:w="660" w:type="dxa"/>
            <w:tcBorders>
              <w:top w:val="single" w:color="000000" w:sz="4" w:space="0"/>
              <w:left w:val="single" w:color="000000" w:sz="4" w:space="0"/>
              <w:bottom w:val="single" w:color="000000" w:sz="4" w:space="0"/>
              <w:right w:val="single" w:color="000000" w:sz="4" w:space="0"/>
            </w:tcBorders>
            <w:shd w:val="clear"/>
            <w:vAlign w:val="center"/>
          </w:tcPr>
          <w:p w14:paraId="495147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6</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24BB33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更换动力电缆密封、信号线密封（皮碗密封）</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5B6CC6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台</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05A467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14:paraId="32F982E7">
            <w:pPr>
              <w:jc w:val="center"/>
              <w:rPr>
                <w:rFonts w:hint="eastAsia" w:ascii="宋体" w:hAnsi="宋体" w:eastAsia="宋体" w:cs="宋体"/>
                <w:i w:val="0"/>
                <w:iCs w:val="0"/>
                <w:color w:val="000000"/>
                <w:sz w:val="21"/>
                <w:szCs w:val="21"/>
                <w:u w:val="none"/>
              </w:rPr>
            </w:pPr>
          </w:p>
        </w:tc>
        <w:tc>
          <w:tcPr>
            <w:tcW w:w="1020" w:type="dxa"/>
            <w:tcBorders>
              <w:top w:val="single" w:color="000000" w:sz="4" w:space="0"/>
              <w:left w:val="single" w:color="000000" w:sz="4" w:space="0"/>
              <w:bottom w:val="single" w:color="000000" w:sz="4" w:space="0"/>
              <w:right w:val="single" w:color="000000" w:sz="4" w:space="0"/>
            </w:tcBorders>
            <w:shd w:val="clear"/>
            <w:vAlign w:val="center"/>
          </w:tcPr>
          <w:p w14:paraId="1089B595">
            <w:pPr>
              <w:jc w:val="center"/>
              <w:rPr>
                <w:rFonts w:hint="eastAsia" w:ascii="宋体" w:hAnsi="宋体" w:eastAsia="宋体" w:cs="宋体"/>
                <w:i w:val="0"/>
                <w:iCs w:val="0"/>
                <w:color w:val="000000"/>
                <w:sz w:val="21"/>
                <w:szCs w:val="21"/>
                <w:u w:val="none"/>
              </w:rPr>
            </w:pPr>
          </w:p>
        </w:tc>
        <w:tc>
          <w:tcPr>
            <w:tcW w:w="2869" w:type="dxa"/>
            <w:tcBorders>
              <w:top w:val="single" w:color="000000" w:sz="4" w:space="0"/>
              <w:left w:val="single" w:color="000000" w:sz="4" w:space="0"/>
              <w:bottom w:val="single" w:color="000000" w:sz="4" w:space="0"/>
              <w:right w:val="single" w:color="000000" w:sz="4" w:space="0"/>
            </w:tcBorders>
            <w:shd w:val="clear"/>
            <w:vAlign w:val="center"/>
          </w:tcPr>
          <w:p w14:paraId="1683A57C">
            <w:pPr>
              <w:jc w:val="center"/>
              <w:rPr>
                <w:rFonts w:hint="eastAsia" w:ascii="宋体" w:hAnsi="宋体" w:eastAsia="宋体" w:cs="宋体"/>
                <w:i w:val="0"/>
                <w:iCs w:val="0"/>
                <w:color w:val="000000"/>
                <w:sz w:val="21"/>
                <w:szCs w:val="21"/>
                <w:u w:val="none"/>
              </w:rPr>
            </w:pPr>
          </w:p>
        </w:tc>
      </w:tr>
      <w:tr w14:paraId="69156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660" w:type="dxa"/>
            <w:tcBorders>
              <w:top w:val="single" w:color="000000" w:sz="4" w:space="0"/>
              <w:left w:val="single" w:color="000000" w:sz="4" w:space="0"/>
              <w:bottom w:val="single" w:color="000000" w:sz="4" w:space="0"/>
              <w:right w:val="single" w:color="000000" w:sz="4" w:space="0"/>
            </w:tcBorders>
            <w:shd w:val="clear"/>
            <w:vAlign w:val="center"/>
          </w:tcPr>
          <w:p w14:paraId="0E65C8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7</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7848D0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更换水泵保护监测探头及元件</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677EEA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套</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2C097B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14:paraId="10925294">
            <w:pPr>
              <w:jc w:val="center"/>
              <w:rPr>
                <w:rFonts w:hint="eastAsia" w:ascii="宋体" w:hAnsi="宋体" w:eastAsia="宋体" w:cs="宋体"/>
                <w:i w:val="0"/>
                <w:iCs w:val="0"/>
                <w:color w:val="000000"/>
                <w:sz w:val="21"/>
                <w:szCs w:val="21"/>
                <w:u w:val="none"/>
              </w:rPr>
            </w:pPr>
          </w:p>
        </w:tc>
        <w:tc>
          <w:tcPr>
            <w:tcW w:w="1020" w:type="dxa"/>
            <w:tcBorders>
              <w:top w:val="single" w:color="000000" w:sz="4" w:space="0"/>
              <w:left w:val="single" w:color="000000" w:sz="4" w:space="0"/>
              <w:bottom w:val="single" w:color="000000" w:sz="4" w:space="0"/>
              <w:right w:val="single" w:color="000000" w:sz="4" w:space="0"/>
            </w:tcBorders>
            <w:shd w:val="clear"/>
            <w:vAlign w:val="center"/>
          </w:tcPr>
          <w:p w14:paraId="406B96F4">
            <w:pPr>
              <w:jc w:val="center"/>
              <w:rPr>
                <w:rFonts w:hint="eastAsia" w:ascii="宋体" w:hAnsi="宋体" w:eastAsia="宋体" w:cs="宋体"/>
                <w:i w:val="0"/>
                <w:iCs w:val="0"/>
                <w:color w:val="000000"/>
                <w:sz w:val="21"/>
                <w:szCs w:val="21"/>
                <w:u w:val="none"/>
              </w:rPr>
            </w:pPr>
          </w:p>
        </w:tc>
        <w:tc>
          <w:tcPr>
            <w:tcW w:w="2869" w:type="dxa"/>
            <w:tcBorders>
              <w:top w:val="single" w:color="000000" w:sz="4" w:space="0"/>
              <w:left w:val="single" w:color="000000" w:sz="4" w:space="0"/>
              <w:bottom w:val="single" w:color="000000" w:sz="4" w:space="0"/>
              <w:right w:val="single" w:color="000000" w:sz="4" w:space="0"/>
            </w:tcBorders>
            <w:shd w:val="clear"/>
            <w:vAlign w:val="center"/>
          </w:tcPr>
          <w:p w14:paraId="7AB95573">
            <w:pPr>
              <w:jc w:val="center"/>
              <w:rPr>
                <w:rFonts w:hint="eastAsia" w:ascii="宋体" w:hAnsi="宋体" w:eastAsia="宋体" w:cs="宋体"/>
                <w:i w:val="0"/>
                <w:iCs w:val="0"/>
                <w:color w:val="000000"/>
                <w:sz w:val="21"/>
                <w:szCs w:val="21"/>
                <w:u w:val="none"/>
              </w:rPr>
            </w:pPr>
          </w:p>
        </w:tc>
      </w:tr>
      <w:tr w14:paraId="21FEC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96" w:hRule="atLeast"/>
        </w:trPr>
        <w:tc>
          <w:tcPr>
            <w:tcW w:w="660" w:type="dxa"/>
            <w:tcBorders>
              <w:top w:val="single" w:color="000000" w:sz="4" w:space="0"/>
              <w:left w:val="single" w:color="000000" w:sz="4" w:space="0"/>
              <w:bottom w:val="single" w:color="000000" w:sz="4" w:space="0"/>
              <w:right w:val="single" w:color="000000" w:sz="4" w:space="0"/>
            </w:tcBorders>
            <w:shd w:val="clear"/>
            <w:vAlign w:val="center"/>
          </w:tcPr>
          <w:p w14:paraId="124D7A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8</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1DEBF5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更换轴承</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117D06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台套</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040868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14:paraId="346F0670">
            <w:pPr>
              <w:jc w:val="center"/>
              <w:rPr>
                <w:rFonts w:hint="eastAsia" w:ascii="宋体" w:hAnsi="宋体" w:eastAsia="宋体" w:cs="宋体"/>
                <w:i w:val="0"/>
                <w:iCs w:val="0"/>
                <w:color w:val="000000"/>
                <w:sz w:val="21"/>
                <w:szCs w:val="21"/>
                <w:u w:val="none"/>
              </w:rPr>
            </w:pPr>
          </w:p>
        </w:tc>
        <w:tc>
          <w:tcPr>
            <w:tcW w:w="1020" w:type="dxa"/>
            <w:tcBorders>
              <w:top w:val="single" w:color="000000" w:sz="4" w:space="0"/>
              <w:left w:val="single" w:color="000000" w:sz="4" w:space="0"/>
              <w:bottom w:val="single" w:color="000000" w:sz="4" w:space="0"/>
              <w:right w:val="single" w:color="000000" w:sz="4" w:space="0"/>
            </w:tcBorders>
            <w:shd w:val="clear"/>
            <w:vAlign w:val="center"/>
          </w:tcPr>
          <w:p w14:paraId="5DA22BF6">
            <w:pPr>
              <w:jc w:val="center"/>
              <w:rPr>
                <w:rFonts w:hint="eastAsia" w:ascii="宋体" w:hAnsi="宋体" w:eastAsia="宋体" w:cs="宋体"/>
                <w:i w:val="0"/>
                <w:iCs w:val="0"/>
                <w:color w:val="000000"/>
                <w:sz w:val="21"/>
                <w:szCs w:val="21"/>
                <w:u w:val="none"/>
              </w:rPr>
            </w:pPr>
          </w:p>
        </w:tc>
        <w:tc>
          <w:tcPr>
            <w:tcW w:w="2869" w:type="dxa"/>
            <w:tcBorders>
              <w:top w:val="single" w:color="000000" w:sz="4" w:space="0"/>
              <w:left w:val="single" w:color="000000" w:sz="4" w:space="0"/>
              <w:bottom w:val="single" w:color="000000" w:sz="4" w:space="0"/>
              <w:right w:val="single" w:color="000000" w:sz="4" w:space="0"/>
            </w:tcBorders>
            <w:shd w:val="clear"/>
            <w:vAlign w:val="center"/>
          </w:tcPr>
          <w:p w14:paraId="33CC7B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国产优质品牌</w:t>
            </w:r>
          </w:p>
        </w:tc>
      </w:tr>
      <w:tr w14:paraId="5DCD9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660" w:type="dxa"/>
            <w:tcBorders>
              <w:top w:val="single" w:color="000000" w:sz="4" w:space="0"/>
              <w:left w:val="single" w:color="000000" w:sz="4" w:space="0"/>
              <w:bottom w:val="single" w:color="000000" w:sz="4" w:space="0"/>
              <w:right w:val="single" w:color="000000" w:sz="4" w:space="0"/>
            </w:tcBorders>
            <w:shd w:val="clear"/>
            <w:vAlign w:val="center"/>
          </w:tcPr>
          <w:p w14:paraId="1C0214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115342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更换所有静态密封、骨架油封</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69BAAF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套</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45BE3C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14:paraId="70FEAF5C">
            <w:pPr>
              <w:jc w:val="center"/>
              <w:rPr>
                <w:rFonts w:hint="eastAsia" w:ascii="宋体" w:hAnsi="宋体" w:eastAsia="宋体" w:cs="宋体"/>
                <w:i w:val="0"/>
                <w:iCs w:val="0"/>
                <w:color w:val="000000"/>
                <w:sz w:val="21"/>
                <w:szCs w:val="21"/>
                <w:u w:val="none"/>
              </w:rPr>
            </w:pPr>
          </w:p>
        </w:tc>
        <w:tc>
          <w:tcPr>
            <w:tcW w:w="1020" w:type="dxa"/>
            <w:tcBorders>
              <w:top w:val="single" w:color="000000" w:sz="4" w:space="0"/>
              <w:left w:val="single" w:color="000000" w:sz="4" w:space="0"/>
              <w:bottom w:val="single" w:color="000000" w:sz="4" w:space="0"/>
              <w:right w:val="single" w:color="000000" w:sz="4" w:space="0"/>
            </w:tcBorders>
            <w:shd w:val="clear"/>
            <w:vAlign w:val="center"/>
          </w:tcPr>
          <w:p w14:paraId="5EE69D79">
            <w:pPr>
              <w:jc w:val="center"/>
              <w:rPr>
                <w:rFonts w:hint="eastAsia" w:ascii="宋体" w:hAnsi="宋体" w:eastAsia="宋体" w:cs="宋体"/>
                <w:i w:val="0"/>
                <w:iCs w:val="0"/>
                <w:color w:val="000000"/>
                <w:sz w:val="21"/>
                <w:szCs w:val="21"/>
                <w:u w:val="none"/>
              </w:rPr>
            </w:pPr>
          </w:p>
        </w:tc>
        <w:tc>
          <w:tcPr>
            <w:tcW w:w="2869" w:type="dxa"/>
            <w:tcBorders>
              <w:top w:val="single" w:color="000000" w:sz="4" w:space="0"/>
              <w:left w:val="single" w:color="000000" w:sz="4" w:space="0"/>
              <w:bottom w:val="single" w:color="000000" w:sz="4" w:space="0"/>
              <w:right w:val="single" w:color="000000" w:sz="4" w:space="0"/>
            </w:tcBorders>
            <w:shd w:val="clear"/>
            <w:vAlign w:val="center"/>
          </w:tcPr>
          <w:p w14:paraId="4966C7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水泵部件检测修复(叶轮、导叶体、吸水室)</w:t>
            </w:r>
          </w:p>
        </w:tc>
      </w:tr>
      <w:tr w14:paraId="11E14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660" w:type="dxa"/>
            <w:tcBorders>
              <w:top w:val="single" w:color="000000" w:sz="4" w:space="0"/>
              <w:left w:val="single" w:color="000000" w:sz="4" w:space="0"/>
              <w:bottom w:val="single" w:color="000000" w:sz="4" w:space="0"/>
              <w:right w:val="single" w:color="000000" w:sz="4" w:space="0"/>
            </w:tcBorders>
            <w:shd w:val="clear"/>
            <w:vAlign w:val="center"/>
          </w:tcPr>
          <w:p w14:paraId="0EE583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10</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51EFE1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更换不锈钢紧固件</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4A073A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台套</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3C56E5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14:paraId="12091BE1">
            <w:pPr>
              <w:jc w:val="center"/>
              <w:rPr>
                <w:rFonts w:hint="eastAsia" w:ascii="宋体" w:hAnsi="宋体" w:eastAsia="宋体" w:cs="宋体"/>
                <w:i w:val="0"/>
                <w:iCs w:val="0"/>
                <w:color w:val="000000"/>
                <w:sz w:val="21"/>
                <w:szCs w:val="21"/>
                <w:u w:val="none"/>
              </w:rPr>
            </w:pPr>
          </w:p>
        </w:tc>
        <w:tc>
          <w:tcPr>
            <w:tcW w:w="1020" w:type="dxa"/>
            <w:tcBorders>
              <w:top w:val="single" w:color="000000" w:sz="4" w:space="0"/>
              <w:left w:val="single" w:color="000000" w:sz="4" w:space="0"/>
              <w:bottom w:val="single" w:color="000000" w:sz="4" w:space="0"/>
              <w:right w:val="single" w:color="000000" w:sz="4" w:space="0"/>
            </w:tcBorders>
            <w:shd w:val="clear"/>
            <w:vAlign w:val="center"/>
          </w:tcPr>
          <w:p w14:paraId="074C4721">
            <w:pPr>
              <w:jc w:val="center"/>
              <w:rPr>
                <w:rFonts w:hint="eastAsia" w:ascii="宋体" w:hAnsi="宋体" w:eastAsia="宋体" w:cs="宋体"/>
                <w:i w:val="0"/>
                <w:iCs w:val="0"/>
                <w:color w:val="000000"/>
                <w:sz w:val="21"/>
                <w:szCs w:val="21"/>
                <w:u w:val="none"/>
              </w:rPr>
            </w:pPr>
          </w:p>
        </w:tc>
        <w:tc>
          <w:tcPr>
            <w:tcW w:w="2869" w:type="dxa"/>
            <w:tcBorders>
              <w:top w:val="single" w:color="000000" w:sz="4" w:space="0"/>
              <w:left w:val="single" w:color="000000" w:sz="4" w:space="0"/>
              <w:bottom w:val="single" w:color="000000" w:sz="4" w:space="0"/>
              <w:right w:val="single" w:color="000000" w:sz="4" w:space="0"/>
            </w:tcBorders>
            <w:shd w:val="clear"/>
            <w:vAlign w:val="center"/>
          </w:tcPr>
          <w:p w14:paraId="3AF4F06D">
            <w:pPr>
              <w:jc w:val="center"/>
              <w:rPr>
                <w:rFonts w:hint="eastAsia" w:ascii="宋体" w:hAnsi="宋体" w:eastAsia="宋体" w:cs="宋体"/>
                <w:i w:val="0"/>
                <w:iCs w:val="0"/>
                <w:color w:val="000000"/>
                <w:sz w:val="21"/>
                <w:szCs w:val="21"/>
                <w:u w:val="none"/>
              </w:rPr>
            </w:pPr>
          </w:p>
        </w:tc>
      </w:tr>
      <w:tr w14:paraId="76E71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96" w:hRule="atLeast"/>
        </w:trPr>
        <w:tc>
          <w:tcPr>
            <w:tcW w:w="660" w:type="dxa"/>
            <w:tcBorders>
              <w:top w:val="single" w:color="000000" w:sz="4" w:space="0"/>
              <w:left w:val="single" w:color="000000" w:sz="4" w:space="0"/>
              <w:bottom w:val="single" w:color="000000" w:sz="4" w:space="0"/>
              <w:right w:val="single" w:color="000000" w:sz="4" w:space="0"/>
            </w:tcBorders>
            <w:shd w:val="clear"/>
            <w:vAlign w:val="center"/>
          </w:tcPr>
          <w:p w14:paraId="36DCE4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11</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703420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更换机械密封（三套）</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3D5750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台套</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590AEF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14:paraId="07A4E52D">
            <w:pPr>
              <w:jc w:val="center"/>
              <w:rPr>
                <w:rFonts w:hint="eastAsia" w:ascii="宋体" w:hAnsi="宋体" w:eastAsia="宋体" w:cs="宋体"/>
                <w:i w:val="0"/>
                <w:iCs w:val="0"/>
                <w:color w:val="000000"/>
                <w:sz w:val="21"/>
                <w:szCs w:val="21"/>
                <w:u w:val="none"/>
              </w:rPr>
            </w:pPr>
          </w:p>
        </w:tc>
        <w:tc>
          <w:tcPr>
            <w:tcW w:w="1020" w:type="dxa"/>
            <w:tcBorders>
              <w:top w:val="single" w:color="000000" w:sz="4" w:space="0"/>
              <w:left w:val="single" w:color="000000" w:sz="4" w:space="0"/>
              <w:bottom w:val="single" w:color="000000" w:sz="4" w:space="0"/>
              <w:right w:val="single" w:color="000000" w:sz="4" w:space="0"/>
            </w:tcBorders>
            <w:shd w:val="clear"/>
            <w:vAlign w:val="center"/>
          </w:tcPr>
          <w:p w14:paraId="57E68777">
            <w:pPr>
              <w:jc w:val="center"/>
              <w:rPr>
                <w:rFonts w:hint="eastAsia" w:ascii="宋体" w:hAnsi="宋体" w:eastAsia="宋体" w:cs="宋体"/>
                <w:i w:val="0"/>
                <w:iCs w:val="0"/>
                <w:color w:val="000000"/>
                <w:sz w:val="21"/>
                <w:szCs w:val="21"/>
                <w:u w:val="none"/>
              </w:rPr>
            </w:pPr>
          </w:p>
        </w:tc>
        <w:tc>
          <w:tcPr>
            <w:tcW w:w="2869" w:type="dxa"/>
            <w:tcBorders>
              <w:top w:val="single" w:color="000000" w:sz="4" w:space="0"/>
              <w:left w:val="single" w:color="000000" w:sz="4" w:space="0"/>
              <w:bottom w:val="single" w:color="000000" w:sz="4" w:space="0"/>
              <w:right w:val="single" w:color="000000" w:sz="4" w:space="0"/>
            </w:tcBorders>
            <w:shd w:val="clear"/>
            <w:vAlign w:val="center"/>
          </w:tcPr>
          <w:p w14:paraId="25C0F6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国产品牌</w:t>
            </w:r>
          </w:p>
        </w:tc>
      </w:tr>
      <w:tr w14:paraId="4BDC4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660" w:type="dxa"/>
            <w:tcBorders>
              <w:top w:val="single" w:color="000000" w:sz="4" w:space="0"/>
              <w:left w:val="single" w:color="000000" w:sz="4" w:space="0"/>
              <w:bottom w:val="single" w:color="000000" w:sz="4" w:space="0"/>
              <w:right w:val="single" w:color="000000" w:sz="4" w:space="0"/>
            </w:tcBorders>
            <w:shd w:val="clear"/>
            <w:vAlign w:val="center"/>
          </w:tcPr>
          <w:p w14:paraId="7228B8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12</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716A8B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更换润滑油、润滑脂</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5F2117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台</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5A0B91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14:paraId="0C3A75D2">
            <w:pPr>
              <w:jc w:val="center"/>
              <w:rPr>
                <w:rFonts w:hint="eastAsia" w:ascii="宋体" w:hAnsi="宋体" w:eastAsia="宋体" w:cs="宋体"/>
                <w:i w:val="0"/>
                <w:iCs w:val="0"/>
                <w:color w:val="000000"/>
                <w:sz w:val="21"/>
                <w:szCs w:val="21"/>
                <w:u w:val="none"/>
              </w:rPr>
            </w:pPr>
          </w:p>
        </w:tc>
        <w:tc>
          <w:tcPr>
            <w:tcW w:w="1020" w:type="dxa"/>
            <w:tcBorders>
              <w:top w:val="single" w:color="000000" w:sz="4" w:space="0"/>
              <w:left w:val="single" w:color="000000" w:sz="4" w:space="0"/>
              <w:bottom w:val="single" w:color="000000" w:sz="4" w:space="0"/>
              <w:right w:val="single" w:color="000000" w:sz="4" w:space="0"/>
            </w:tcBorders>
            <w:shd w:val="clear"/>
            <w:vAlign w:val="center"/>
          </w:tcPr>
          <w:p w14:paraId="46197D8C">
            <w:pPr>
              <w:jc w:val="center"/>
              <w:rPr>
                <w:rFonts w:hint="eastAsia" w:ascii="宋体" w:hAnsi="宋体" w:eastAsia="宋体" w:cs="宋体"/>
                <w:i w:val="0"/>
                <w:iCs w:val="0"/>
                <w:color w:val="000000"/>
                <w:sz w:val="21"/>
                <w:szCs w:val="21"/>
                <w:u w:val="none"/>
              </w:rPr>
            </w:pPr>
          </w:p>
        </w:tc>
        <w:tc>
          <w:tcPr>
            <w:tcW w:w="2869" w:type="dxa"/>
            <w:tcBorders>
              <w:top w:val="single" w:color="000000" w:sz="4" w:space="0"/>
              <w:left w:val="single" w:color="000000" w:sz="4" w:space="0"/>
              <w:bottom w:val="single" w:color="000000" w:sz="4" w:space="0"/>
              <w:right w:val="single" w:color="000000" w:sz="4" w:space="0"/>
            </w:tcBorders>
            <w:shd w:val="clear"/>
            <w:vAlign w:val="center"/>
          </w:tcPr>
          <w:p w14:paraId="250A2AA0">
            <w:pPr>
              <w:jc w:val="center"/>
              <w:rPr>
                <w:rFonts w:hint="eastAsia" w:ascii="宋体" w:hAnsi="宋体" w:eastAsia="宋体" w:cs="宋体"/>
                <w:i w:val="0"/>
                <w:iCs w:val="0"/>
                <w:color w:val="000000"/>
                <w:sz w:val="21"/>
                <w:szCs w:val="21"/>
                <w:u w:val="none"/>
              </w:rPr>
            </w:pPr>
          </w:p>
        </w:tc>
      </w:tr>
      <w:tr w14:paraId="498C9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52" w:hRule="atLeast"/>
        </w:trPr>
        <w:tc>
          <w:tcPr>
            <w:tcW w:w="660" w:type="dxa"/>
            <w:tcBorders>
              <w:top w:val="single" w:color="000000" w:sz="4" w:space="0"/>
              <w:left w:val="single" w:color="000000" w:sz="4" w:space="0"/>
              <w:bottom w:val="single" w:color="000000" w:sz="4" w:space="0"/>
              <w:right w:val="single" w:color="000000" w:sz="4" w:space="0"/>
            </w:tcBorders>
            <w:shd w:val="clear"/>
            <w:vAlign w:val="center"/>
          </w:tcPr>
          <w:p w14:paraId="53ED1F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13</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3A1B81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电机转子导条探伤检査、转子、叶轮动平衡试验</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2EE111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次</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4B8E7E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14:paraId="4D6A1419">
            <w:pPr>
              <w:jc w:val="center"/>
              <w:rPr>
                <w:rFonts w:hint="eastAsia" w:ascii="宋体" w:hAnsi="宋体" w:eastAsia="宋体" w:cs="宋体"/>
                <w:i w:val="0"/>
                <w:iCs w:val="0"/>
                <w:color w:val="000000"/>
                <w:sz w:val="21"/>
                <w:szCs w:val="21"/>
                <w:u w:val="none"/>
              </w:rPr>
            </w:pPr>
          </w:p>
        </w:tc>
        <w:tc>
          <w:tcPr>
            <w:tcW w:w="1020" w:type="dxa"/>
            <w:tcBorders>
              <w:top w:val="single" w:color="000000" w:sz="4" w:space="0"/>
              <w:left w:val="single" w:color="000000" w:sz="4" w:space="0"/>
              <w:bottom w:val="single" w:color="000000" w:sz="4" w:space="0"/>
              <w:right w:val="single" w:color="000000" w:sz="4" w:space="0"/>
            </w:tcBorders>
            <w:shd w:val="clear"/>
            <w:vAlign w:val="center"/>
          </w:tcPr>
          <w:p w14:paraId="36D97E21">
            <w:pPr>
              <w:jc w:val="center"/>
              <w:rPr>
                <w:rFonts w:hint="eastAsia" w:ascii="宋体" w:hAnsi="宋体" w:eastAsia="宋体" w:cs="宋体"/>
                <w:i w:val="0"/>
                <w:iCs w:val="0"/>
                <w:color w:val="000000"/>
                <w:sz w:val="21"/>
                <w:szCs w:val="21"/>
                <w:u w:val="none"/>
              </w:rPr>
            </w:pPr>
          </w:p>
        </w:tc>
        <w:tc>
          <w:tcPr>
            <w:tcW w:w="2869" w:type="dxa"/>
            <w:tcBorders>
              <w:top w:val="single" w:color="000000" w:sz="4" w:space="0"/>
              <w:left w:val="single" w:color="000000" w:sz="4" w:space="0"/>
              <w:bottom w:val="single" w:color="000000" w:sz="4" w:space="0"/>
              <w:right w:val="single" w:color="000000" w:sz="4" w:space="0"/>
            </w:tcBorders>
            <w:shd w:val="clear"/>
            <w:vAlign w:val="center"/>
          </w:tcPr>
          <w:p w14:paraId="3CA6471B">
            <w:pPr>
              <w:jc w:val="center"/>
              <w:rPr>
                <w:rFonts w:hint="eastAsia" w:ascii="宋体" w:hAnsi="宋体" w:eastAsia="宋体" w:cs="宋体"/>
                <w:i w:val="0"/>
                <w:iCs w:val="0"/>
                <w:color w:val="000000"/>
                <w:sz w:val="21"/>
                <w:szCs w:val="21"/>
                <w:u w:val="none"/>
              </w:rPr>
            </w:pPr>
          </w:p>
        </w:tc>
      </w:tr>
      <w:tr w14:paraId="61F20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52" w:hRule="atLeast"/>
        </w:trPr>
        <w:tc>
          <w:tcPr>
            <w:tcW w:w="660" w:type="dxa"/>
            <w:tcBorders>
              <w:top w:val="single" w:color="000000" w:sz="4" w:space="0"/>
              <w:left w:val="single" w:color="000000" w:sz="4" w:space="0"/>
              <w:bottom w:val="single" w:color="000000" w:sz="4" w:space="0"/>
              <w:right w:val="single" w:color="000000" w:sz="4" w:space="0"/>
            </w:tcBorders>
            <w:shd w:val="clear"/>
            <w:vAlign w:val="center"/>
          </w:tcPr>
          <w:p w14:paraId="1A60AC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14</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16B7CD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潜水电机定子耐压试验</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55833E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台次</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5D8B48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14:paraId="6F90238E">
            <w:pPr>
              <w:jc w:val="center"/>
              <w:rPr>
                <w:rFonts w:hint="eastAsia" w:ascii="宋体" w:hAnsi="宋体" w:eastAsia="宋体" w:cs="宋体"/>
                <w:i w:val="0"/>
                <w:iCs w:val="0"/>
                <w:color w:val="000000"/>
                <w:sz w:val="21"/>
                <w:szCs w:val="21"/>
                <w:u w:val="none"/>
              </w:rPr>
            </w:pPr>
          </w:p>
        </w:tc>
        <w:tc>
          <w:tcPr>
            <w:tcW w:w="1020" w:type="dxa"/>
            <w:tcBorders>
              <w:top w:val="single" w:color="000000" w:sz="4" w:space="0"/>
              <w:left w:val="single" w:color="000000" w:sz="4" w:space="0"/>
              <w:bottom w:val="single" w:color="000000" w:sz="4" w:space="0"/>
              <w:right w:val="single" w:color="000000" w:sz="4" w:space="0"/>
            </w:tcBorders>
            <w:shd w:val="clear"/>
            <w:vAlign w:val="center"/>
          </w:tcPr>
          <w:p w14:paraId="7AA95AD3">
            <w:pPr>
              <w:jc w:val="center"/>
              <w:rPr>
                <w:rFonts w:hint="eastAsia" w:ascii="宋体" w:hAnsi="宋体" w:eastAsia="宋体" w:cs="宋体"/>
                <w:i w:val="0"/>
                <w:iCs w:val="0"/>
                <w:color w:val="000000"/>
                <w:sz w:val="21"/>
                <w:szCs w:val="21"/>
                <w:u w:val="none"/>
              </w:rPr>
            </w:pPr>
          </w:p>
        </w:tc>
        <w:tc>
          <w:tcPr>
            <w:tcW w:w="2869" w:type="dxa"/>
            <w:tcBorders>
              <w:top w:val="single" w:color="000000" w:sz="4" w:space="0"/>
              <w:left w:val="single" w:color="000000" w:sz="4" w:space="0"/>
              <w:bottom w:val="single" w:color="000000" w:sz="4" w:space="0"/>
              <w:right w:val="single" w:color="000000" w:sz="4" w:space="0"/>
            </w:tcBorders>
            <w:shd w:val="clear"/>
            <w:vAlign w:val="center"/>
          </w:tcPr>
          <w:p w14:paraId="2AD01C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按《潜水电泵检查维修手册》执行</w:t>
            </w:r>
          </w:p>
        </w:tc>
      </w:tr>
      <w:tr w14:paraId="5BB47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24" w:hRule="atLeast"/>
        </w:trPr>
        <w:tc>
          <w:tcPr>
            <w:tcW w:w="660" w:type="dxa"/>
            <w:tcBorders>
              <w:top w:val="single" w:color="000000" w:sz="4" w:space="0"/>
              <w:left w:val="single" w:color="000000" w:sz="4" w:space="0"/>
              <w:bottom w:val="single" w:color="000000" w:sz="4" w:space="0"/>
              <w:right w:val="single" w:color="000000" w:sz="4" w:space="0"/>
            </w:tcBorders>
            <w:shd w:val="clear"/>
            <w:vAlign w:val="center"/>
          </w:tcPr>
          <w:p w14:paraId="4722B7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15</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285D70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整机装配及潜水电机气密试验</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617F13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台次</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02B911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14:paraId="4A86E4F9">
            <w:pPr>
              <w:jc w:val="center"/>
              <w:rPr>
                <w:rFonts w:hint="eastAsia" w:ascii="宋体" w:hAnsi="宋体" w:eastAsia="宋体" w:cs="宋体"/>
                <w:i w:val="0"/>
                <w:iCs w:val="0"/>
                <w:color w:val="000000"/>
                <w:sz w:val="21"/>
                <w:szCs w:val="21"/>
                <w:u w:val="none"/>
              </w:rPr>
            </w:pPr>
          </w:p>
        </w:tc>
        <w:tc>
          <w:tcPr>
            <w:tcW w:w="1020" w:type="dxa"/>
            <w:tcBorders>
              <w:top w:val="single" w:color="000000" w:sz="4" w:space="0"/>
              <w:left w:val="single" w:color="000000" w:sz="4" w:space="0"/>
              <w:bottom w:val="single" w:color="000000" w:sz="4" w:space="0"/>
              <w:right w:val="single" w:color="000000" w:sz="4" w:space="0"/>
            </w:tcBorders>
            <w:shd w:val="clear"/>
            <w:vAlign w:val="center"/>
          </w:tcPr>
          <w:p w14:paraId="56BC5040">
            <w:pPr>
              <w:jc w:val="center"/>
              <w:rPr>
                <w:rFonts w:hint="eastAsia" w:ascii="宋体" w:hAnsi="宋体" w:eastAsia="宋体" w:cs="宋体"/>
                <w:i w:val="0"/>
                <w:iCs w:val="0"/>
                <w:color w:val="000000"/>
                <w:sz w:val="21"/>
                <w:szCs w:val="21"/>
                <w:u w:val="none"/>
              </w:rPr>
            </w:pPr>
          </w:p>
        </w:tc>
        <w:tc>
          <w:tcPr>
            <w:tcW w:w="2869" w:type="dxa"/>
            <w:tcBorders>
              <w:top w:val="single" w:color="000000" w:sz="4" w:space="0"/>
              <w:left w:val="single" w:color="000000" w:sz="4" w:space="0"/>
              <w:bottom w:val="single" w:color="000000" w:sz="4" w:space="0"/>
              <w:right w:val="single" w:color="000000" w:sz="4" w:space="0"/>
            </w:tcBorders>
            <w:shd w:val="clear"/>
            <w:vAlign w:val="center"/>
          </w:tcPr>
          <w:p w14:paraId="2D225E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按“潜水电机工艺过程流程”要求组装电泵,按规定做气密试验</w:t>
            </w:r>
          </w:p>
        </w:tc>
      </w:tr>
      <w:tr w14:paraId="784E2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660" w:type="dxa"/>
            <w:tcBorders>
              <w:top w:val="single" w:color="000000" w:sz="4" w:space="0"/>
              <w:left w:val="single" w:color="000000" w:sz="4" w:space="0"/>
              <w:bottom w:val="single" w:color="000000" w:sz="4" w:space="0"/>
              <w:right w:val="single" w:color="000000" w:sz="4" w:space="0"/>
            </w:tcBorders>
            <w:shd w:val="clear"/>
            <w:vAlign w:val="center"/>
          </w:tcPr>
          <w:p w14:paraId="186FB3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16</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377FF7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水泵整体全面防腐处理及全面油漆</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353D17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台</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530CE4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14:paraId="663DE338">
            <w:pPr>
              <w:jc w:val="center"/>
              <w:rPr>
                <w:rFonts w:hint="eastAsia" w:ascii="宋体" w:hAnsi="宋体" w:eastAsia="宋体" w:cs="宋体"/>
                <w:i w:val="0"/>
                <w:iCs w:val="0"/>
                <w:color w:val="000000"/>
                <w:sz w:val="21"/>
                <w:szCs w:val="21"/>
                <w:u w:val="none"/>
              </w:rPr>
            </w:pPr>
          </w:p>
        </w:tc>
        <w:tc>
          <w:tcPr>
            <w:tcW w:w="1020" w:type="dxa"/>
            <w:tcBorders>
              <w:top w:val="single" w:color="000000" w:sz="4" w:space="0"/>
              <w:left w:val="single" w:color="000000" w:sz="4" w:space="0"/>
              <w:bottom w:val="single" w:color="000000" w:sz="4" w:space="0"/>
              <w:right w:val="single" w:color="000000" w:sz="4" w:space="0"/>
            </w:tcBorders>
            <w:shd w:val="clear"/>
            <w:vAlign w:val="center"/>
          </w:tcPr>
          <w:p w14:paraId="16449227">
            <w:pPr>
              <w:jc w:val="center"/>
              <w:rPr>
                <w:rFonts w:hint="eastAsia" w:ascii="宋体" w:hAnsi="宋体" w:eastAsia="宋体" w:cs="宋体"/>
                <w:i w:val="0"/>
                <w:iCs w:val="0"/>
                <w:color w:val="000000"/>
                <w:sz w:val="21"/>
                <w:szCs w:val="21"/>
                <w:u w:val="none"/>
              </w:rPr>
            </w:pPr>
          </w:p>
        </w:tc>
        <w:tc>
          <w:tcPr>
            <w:tcW w:w="2869" w:type="dxa"/>
            <w:tcBorders>
              <w:top w:val="single" w:color="000000" w:sz="4" w:space="0"/>
              <w:left w:val="single" w:color="000000" w:sz="4" w:space="0"/>
              <w:bottom w:val="single" w:color="000000" w:sz="4" w:space="0"/>
              <w:right w:val="single" w:color="000000" w:sz="4" w:space="0"/>
            </w:tcBorders>
            <w:shd w:val="clear"/>
            <w:vAlign w:val="center"/>
          </w:tcPr>
          <w:p w14:paraId="2DC5BD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按防腐工艺进行</w:t>
            </w:r>
          </w:p>
        </w:tc>
      </w:tr>
      <w:tr w14:paraId="20BB1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96" w:hRule="atLeast"/>
        </w:trPr>
        <w:tc>
          <w:tcPr>
            <w:tcW w:w="660" w:type="dxa"/>
            <w:tcBorders>
              <w:top w:val="single" w:color="000000" w:sz="4" w:space="0"/>
              <w:left w:val="single" w:color="000000" w:sz="4" w:space="0"/>
              <w:bottom w:val="single" w:color="000000" w:sz="4" w:space="0"/>
              <w:right w:val="single" w:color="000000" w:sz="4" w:space="0"/>
            </w:tcBorders>
            <w:shd w:val="clear"/>
            <w:vAlign w:val="center"/>
          </w:tcPr>
          <w:p w14:paraId="4A2A74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17</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6DD62F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潜水泵整机试验</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6D13420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台</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78307C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14:paraId="646A0CE4">
            <w:pPr>
              <w:jc w:val="center"/>
              <w:rPr>
                <w:rFonts w:hint="eastAsia" w:ascii="宋体" w:hAnsi="宋体" w:eastAsia="宋体" w:cs="宋体"/>
                <w:i w:val="0"/>
                <w:iCs w:val="0"/>
                <w:color w:val="000000"/>
                <w:sz w:val="21"/>
                <w:szCs w:val="21"/>
                <w:u w:val="none"/>
              </w:rPr>
            </w:pPr>
          </w:p>
        </w:tc>
        <w:tc>
          <w:tcPr>
            <w:tcW w:w="1020" w:type="dxa"/>
            <w:tcBorders>
              <w:top w:val="single" w:color="000000" w:sz="4" w:space="0"/>
              <w:left w:val="single" w:color="000000" w:sz="4" w:space="0"/>
              <w:bottom w:val="single" w:color="000000" w:sz="4" w:space="0"/>
              <w:right w:val="single" w:color="000000" w:sz="4" w:space="0"/>
            </w:tcBorders>
            <w:shd w:val="clear"/>
            <w:vAlign w:val="center"/>
          </w:tcPr>
          <w:p w14:paraId="5C38F933">
            <w:pPr>
              <w:jc w:val="center"/>
              <w:rPr>
                <w:rFonts w:hint="eastAsia" w:ascii="宋体" w:hAnsi="宋体" w:eastAsia="宋体" w:cs="宋体"/>
                <w:i w:val="0"/>
                <w:iCs w:val="0"/>
                <w:color w:val="000000"/>
                <w:sz w:val="21"/>
                <w:szCs w:val="21"/>
                <w:u w:val="none"/>
              </w:rPr>
            </w:pPr>
          </w:p>
        </w:tc>
        <w:tc>
          <w:tcPr>
            <w:tcW w:w="2869" w:type="dxa"/>
            <w:tcBorders>
              <w:top w:val="single" w:color="000000" w:sz="4" w:space="0"/>
              <w:left w:val="single" w:color="000000" w:sz="4" w:space="0"/>
              <w:bottom w:val="single" w:color="000000" w:sz="4" w:space="0"/>
              <w:right w:val="single" w:color="000000" w:sz="4" w:space="0"/>
            </w:tcBorders>
            <w:shd w:val="clear"/>
            <w:vAlign w:val="center"/>
          </w:tcPr>
          <w:p w14:paraId="3B865794">
            <w:pPr>
              <w:jc w:val="center"/>
              <w:rPr>
                <w:rFonts w:hint="eastAsia" w:ascii="宋体" w:hAnsi="宋体" w:eastAsia="宋体" w:cs="宋体"/>
                <w:i w:val="0"/>
                <w:iCs w:val="0"/>
                <w:color w:val="000000"/>
                <w:sz w:val="21"/>
                <w:szCs w:val="21"/>
                <w:u w:val="none"/>
              </w:rPr>
            </w:pPr>
          </w:p>
        </w:tc>
      </w:tr>
      <w:tr w14:paraId="36173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52" w:hRule="atLeast"/>
        </w:trPr>
        <w:tc>
          <w:tcPr>
            <w:tcW w:w="660" w:type="dxa"/>
            <w:tcBorders>
              <w:top w:val="single" w:color="000000" w:sz="4" w:space="0"/>
              <w:left w:val="single" w:color="000000" w:sz="4" w:space="0"/>
              <w:bottom w:val="single" w:color="000000" w:sz="4" w:space="0"/>
              <w:right w:val="single" w:color="000000" w:sz="4" w:space="0"/>
            </w:tcBorders>
            <w:shd w:val="clear"/>
            <w:vAlign w:val="center"/>
          </w:tcPr>
          <w:p w14:paraId="55D42F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18</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4B0EFF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检查电机上下端盖、轴承档、轴承座、机封座等</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1B7DDF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台套</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53833A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14:paraId="732046D0">
            <w:pPr>
              <w:jc w:val="center"/>
              <w:rPr>
                <w:rFonts w:hint="eastAsia" w:ascii="宋体" w:hAnsi="宋体" w:eastAsia="宋体" w:cs="宋体"/>
                <w:i w:val="0"/>
                <w:iCs w:val="0"/>
                <w:color w:val="000000"/>
                <w:sz w:val="21"/>
                <w:szCs w:val="21"/>
                <w:u w:val="none"/>
              </w:rPr>
            </w:pPr>
          </w:p>
        </w:tc>
        <w:tc>
          <w:tcPr>
            <w:tcW w:w="1020" w:type="dxa"/>
            <w:tcBorders>
              <w:top w:val="single" w:color="000000" w:sz="4" w:space="0"/>
              <w:left w:val="single" w:color="000000" w:sz="4" w:space="0"/>
              <w:bottom w:val="single" w:color="000000" w:sz="4" w:space="0"/>
              <w:right w:val="single" w:color="000000" w:sz="4" w:space="0"/>
            </w:tcBorders>
            <w:shd w:val="clear"/>
            <w:vAlign w:val="center"/>
          </w:tcPr>
          <w:p w14:paraId="002F34C4">
            <w:pPr>
              <w:jc w:val="center"/>
              <w:rPr>
                <w:rFonts w:hint="eastAsia" w:ascii="宋体" w:hAnsi="宋体" w:eastAsia="宋体" w:cs="宋体"/>
                <w:i w:val="0"/>
                <w:iCs w:val="0"/>
                <w:color w:val="000000"/>
                <w:sz w:val="21"/>
                <w:szCs w:val="21"/>
                <w:u w:val="none"/>
              </w:rPr>
            </w:pPr>
          </w:p>
        </w:tc>
        <w:tc>
          <w:tcPr>
            <w:tcW w:w="2869" w:type="dxa"/>
            <w:tcBorders>
              <w:top w:val="single" w:color="000000" w:sz="4" w:space="0"/>
              <w:left w:val="single" w:color="000000" w:sz="4" w:space="0"/>
              <w:bottom w:val="single" w:color="000000" w:sz="4" w:space="0"/>
              <w:right w:val="single" w:color="000000" w:sz="4" w:space="0"/>
            </w:tcBorders>
            <w:shd w:val="clear"/>
            <w:vAlign w:val="center"/>
          </w:tcPr>
          <w:p w14:paraId="589BAF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检测同心度、公差尺寸，对缺陷进行修复</w:t>
            </w:r>
          </w:p>
        </w:tc>
      </w:tr>
      <w:tr w14:paraId="2EEBD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6" w:hRule="atLeast"/>
        </w:trPr>
        <w:tc>
          <w:tcPr>
            <w:tcW w:w="660" w:type="dxa"/>
            <w:tcBorders>
              <w:top w:val="single" w:color="000000" w:sz="4" w:space="0"/>
              <w:left w:val="single" w:color="000000" w:sz="4" w:space="0"/>
              <w:bottom w:val="single" w:color="000000" w:sz="4" w:space="0"/>
              <w:right w:val="single" w:color="000000" w:sz="4" w:space="0"/>
            </w:tcBorders>
            <w:shd w:val="clear"/>
            <w:vAlign w:val="center"/>
          </w:tcPr>
          <w:p w14:paraId="490E91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19</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027559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检查水力部件（主轴检查修复）</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02583F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台</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5018CB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14:paraId="241F87B1">
            <w:pPr>
              <w:jc w:val="center"/>
              <w:rPr>
                <w:rFonts w:hint="eastAsia" w:ascii="宋体" w:hAnsi="宋体" w:eastAsia="宋体" w:cs="宋体"/>
                <w:i w:val="0"/>
                <w:iCs w:val="0"/>
                <w:color w:val="000000"/>
                <w:sz w:val="21"/>
                <w:szCs w:val="21"/>
                <w:u w:val="none"/>
              </w:rPr>
            </w:pPr>
          </w:p>
        </w:tc>
        <w:tc>
          <w:tcPr>
            <w:tcW w:w="1020" w:type="dxa"/>
            <w:tcBorders>
              <w:top w:val="single" w:color="000000" w:sz="4" w:space="0"/>
              <w:left w:val="single" w:color="000000" w:sz="4" w:space="0"/>
              <w:bottom w:val="single" w:color="000000" w:sz="4" w:space="0"/>
              <w:right w:val="single" w:color="000000" w:sz="4" w:space="0"/>
            </w:tcBorders>
            <w:shd w:val="clear"/>
            <w:vAlign w:val="center"/>
          </w:tcPr>
          <w:p w14:paraId="5C6E68B0">
            <w:pPr>
              <w:jc w:val="center"/>
              <w:rPr>
                <w:rFonts w:hint="eastAsia" w:ascii="宋体" w:hAnsi="宋体" w:eastAsia="宋体" w:cs="宋体"/>
                <w:i w:val="0"/>
                <w:iCs w:val="0"/>
                <w:color w:val="000000"/>
                <w:sz w:val="21"/>
                <w:szCs w:val="21"/>
                <w:u w:val="none"/>
              </w:rPr>
            </w:pPr>
          </w:p>
        </w:tc>
        <w:tc>
          <w:tcPr>
            <w:tcW w:w="2869" w:type="dxa"/>
            <w:tcBorders>
              <w:top w:val="single" w:color="000000" w:sz="4" w:space="0"/>
              <w:left w:val="single" w:color="000000" w:sz="4" w:space="0"/>
              <w:bottom w:val="single" w:color="000000" w:sz="4" w:space="0"/>
              <w:right w:val="single" w:color="000000" w:sz="4" w:space="0"/>
            </w:tcBorders>
            <w:shd w:val="clear"/>
            <w:vAlign w:val="center"/>
          </w:tcPr>
          <w:p w14:paraId="55F1E2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将泵段部分拆开，检查叶片、叶轮外壳内衬、叶轮毂的汽蚀情况，对中度或以上汽蚀，按汽蚀损坏处理方案处理。</w:t>
            </w:r>
          </w:p>
        </w:tc>
      </w:tr>
      <w:tr w14:paraId="65A7C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660" w:type="dxa"/>
            <w:tcBorders>
              <w:top w:val="single" w:color="000000" w:sz="4" w:space="0"/>
              <w:left w:val="single" w:color="000000" w:sz="4" w:space="0"/>
              <w:bottom w:val="single" w:color="000000" w:sz="4" w:space="0"/>
              <w:right w:val="single" w:color="000000" w:sz="4" w:space="0"/>
            </w:tcBorders>
            <w:shd w:val="clear"/>
            <w:vAlign w:val="center"/>
          </w:tcPr>
          <w:p w14:paraId="5BECA7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506FC6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水泵房大门拆除及安装</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36043E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项</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778803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14:paraId="0A779433">
            <w:pPr>
              <w:jc w:val="center"/>
              <w:rPr>
                <w:rFonts w:hint="eastAsia" w:ascii="宋体" w:hAnsi="宋体" w:eastAsia="宋体" w:cs="宋体"/>
                <w:i w:val="0"/>
                <w:iCs w:val="0"/>
                <w:color w:val="000000"/>
                <w:sz w:val="21"/>
                <w:szCs w:val="21"/>
                <w:u w:val="none"/>
              </w:rPr>
            </w:pPr>
          </w:p>
        </w:tc>
        <w:tc>
          <w:tcPr>
            <w:tcW w:w="1020" w:type="dxa"/>
            <w:tcBorders>
              <w:top w:val="single" w:color="000000" w:sz="4" w:space="0"/>
              <w:left w:val="single" w:color="000000" w:sz="4" w:space="0"/>
              <w:bottom w:val="single" w:color="000000" w:sz="4" w:space="0"/>
              <w:right w:val="single" w:color="000000" w:sz="4" w:space="0"/>
            </w:tcBorders>
            <w:shd w:val="clear"/>
            <w:vAlign w:val="center"/>
          </w:tcPr>
          <w:p w14:paraId="29F5AC09">
            <w:pPr>
              <w:jc w:val="center"/>
              <w:rPr>
                <w:rFonts w:hint="eastAsia" w:ascii="宋体" w:hAnsi="宋体" w:eastAsia="宋体" w:cs="宋体"/>
                <w:i w:val="0"/>
                <w:iCs w:val="0"/>
                <w:color w:val="000000"/>
                <w:sz w:val="21"/>
                <w:szCs w:val="21"/>
                <w:u w:val="none"/>
              </w:rPr>
            </w:pPr>
          </w:p>
        </w:tc>
        <w:tc>
          <w:tcPr>
            <w:tcW w:w="2869" w:type="dxa"/>
            <w:tcBorders>
              <w:top w:val="single" w:color="000000" w:sz="4" w:space="0"/>
              <w:left w:val="single" w:color="000000" w:sz="4" w:space="0"/>
              <w:bottom w:val="single" w:color="000000" w:sz="4" w:space="0"/>
              <w:right w:val="single" w:color="000000" w:sz="4" w:space="0"/>
            </w:tcBorders>
            <w:shd w:val="clear"/>
            <w:vAlign w:val="center"/>
          </w:tcPr>
          <w:p w14:paraId="6EDD85AC">
            <w:pPr>
              <w:jc w:val="center"/>
              <w:rPr>
                <w:rFonts w:hint="eastAsia" w:ascii="宋体" w:hAnsi="宋体" w:eastAsia="宋体" w:cs="宋体"/>
                <w:i w:val="0"/>
                <w:iCs w:val="0"/>
                <w:color w:val="000000"/>
                <w:sz w:val="21"/>
                <w:szCs w:val="21"/>
                <w:u w:val="none"/>
              </w:rPr>
            </w:pPr>
          </w:p>
        </w:tc>
      </w:tr>
      <w:tr w14:paraId="20722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14:paraId="0EF85C76">
            <w:pPr>
              <w:jc w:val="center"/>
              <w:rPr>
                <w:rFonts w:hint="eastAsia" w:ascii="宋体" w:hAnsi="宋体" w:eastAsia="宋体" w:cs="宋体"/>
                <w:i w:val="0"/>
                <w:iCs w:val="0"/>
                <w:color w:val="000000"/>
                <w:sz w:val="22"/>
                <w:szCs w:val="22"/>
                <w:u w:val="none"/>
              </w:rPr>
            </w:pPr>
          </w:p>
        </w:tc>
        <w:tc>
          <w:tcPr>
            <w:tcW w:w="5160" w:type="dxa"/>
            <w:gridSpan w:val="4"/>
            <w:tcBorders>
              <w:top w:val="single" w:color="000000" w:sz="4" w:space="0"/>
              <w:left w:val="single" w:color="000000" w:sz="4" w:space="0"/>
              <w:bottom w:val="single" w:color="000000" w:sz="4" w:space="0"/>
              <w:right w:val="single" w:color="000000" w:sz="4" w:space="0"/>
            </w:tcBorders>
            <w:shd w:val="clear"/>
            <w:noWrap/>
            <w:vAlign w:val="center"/>
          </w:tcPr>
          <w:p w14:paraId="4C9F75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413A8FD2">
            <w:pPr>
              <w:jc w:val="center"/>
              <w:rPr>
                <w:rFonts w:hint="eastAsia" w:ascii="宋体" w:hAnsi="宋体" w:eastAsia="宋体" w:cs="宋体"/>
                <w:i w:val="0"/>
                <w:iCs w:val="0"/>
                <w:color w:val="000000"/>
                <w:sz w:val="22"/>
                <w:szCs w:val="22"/>
                <w:u w:val="none"/>
              </w:rPr>
            </w:pPr>
          </w:p>
        </w:tc>
        <w:tc>
          <w:tcPr>
            <w:tcW w:w="2869" w:type="dxa"/>
            <w:tcBorders>
              <w:top w:val="single" w:color="000000" w:sz="4" w:space="0"/>
              <w:left w:val="single" w:color="000000" w:sz="4" w:space="0"/>
              <w:bottom w:val="single" w:color="000000" w:sz="4" w:space="0"/>
              <w:right w:val="single" w:color="000000" w:sz="4" w:space="0"/>
            </w:tcBorders>
            <w:shd w:val="clear"/>
            <w:noWrap/>
            <w:vAlign w:val="center"/>
          </w:tcPr>
          <w:p w14:paraId="281214DE">
            <w:pPr>
              <w:jc w:val="center"/>
              <w:rPr>
                <w:rFonts w:hint="eastAsia" w:ascii="宋体" w:hAnsi="宋体" w:eastAsia="宋体" w:cs="宋体"/>
                <w:i w:val="0"/>
                <w:iCs w:val="0"/>
                <w:color w:val="000000"/>
                <w:sz w:val="22"/>
                <w:szCs w:val="22"/>
                <w:u w:val="none"/>
              </w:rPr>
            </w:pPr>
          </w:p>
        </w:tc>
      </w:tr>
    </w:tbl>
    <w:p w14:paraId="5BC9B1DB">
      <w:pPr>
        <w:pStyle w:val="2"/>
        <w:ind w:left="0" w:leftChars="0" w:firstLine="0" w:firstLineChars="0"/>
        <w:rPr>
          <w:rFonts w:hint="eastAsia"/>
        </w:rPr>
      </w:pPr>
    </w:p>
    <w:p w14:paraId="5422F621">
      <w:pPr>
        <w:spacing w:line="360" w:lineRule="auto"/>
        <w:rPr>
          <w:rFonts w:hint="eastAsia" w:ascii="宋体" w:hAnsi="宋体" w:eastAsia="宋体" w:cs="宋体"/>
          <w:color w:val="auto"/>
          <w:sz w:val="24"/>
          <w:highlight w:val="none"/>
        </w:rPr>
      </w:pPr>
    </w:p>
    <w:p w14:paraId="3A3E2616">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供应商盖章：</w:t>
      </w:r>
      <w:r>
        <w:rPr>
          <w:rFonts w:hint="eastAsia" w:ascii="宋体" w:hAnsi="宋体" w:eastAsia="宋体" w:cs="宋体"/>
          <w:color w:val="auto"/>
          <w:sz w:val="24"/>
          <w:highlight w:val="none"/>
          <w:u w:val="single"/>
        </w:rPr>
        <w:t xml:space="preserve">             </w:t>
      </w:r>
    </w:p>
    <w:p w14:paraId="597066B2">
      <w:pPr>
        <w:tabs>
          <w:tab w:val="left" w:pos="630"/>
        </w:tabs>
        <w:spacing w:line="360" w:lineRule="auto"/>
        <w:ind w:firstLine="4800" w:firstLineChars="2000"/>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4A2EF21E">
      <w:pPr>
        <w:adjustRightInd w:val="0"/>
        <w:snapToGrid w:val="0"/>
        <w:spacing w:line="360" w:lineRule="auto"/>
        <w:rPr>
          <w:rFonts w:hint="eastAsia" w:ascii="宋体" w:hAnsi="宋体" w:eastAsia="宋体" w:cs="宋体"/>
          <w:b/>
          <w:bCs/>
          <w:color w:val="auto"/>
          <w:sz w:val="24"/>
          <w:szCs w:val="28"/>
          <w:highlight w:val="none"/>
        </w:rPr>
      </w:pPr>
    </w:p>
    <w:p w14:paraId="0DF02893">
      <w:pPr>
        <w:adjustRightInd w:val="0"/>
        <w:snapToGrid w:val="0"/>
        <w:spacing w:line="360" w:lineRule="auto"/>
        <w:rPr>
          <w:rFonts w:hint="eastAsia" w:ascii="宋体" w:hAnsi="宋体" w:eastAsia="宋体" w:cs="宋体"/>
          <w:b/>
          <w:bCs/>
          <w:color w:val="auto"/>
          <w:sz w:val="24"/>
          <w:szCs w:val="28"/>
          <w:highlight w:val="none"/>
        </w:rPr>
      </w:pPr>
    </w:p>
    <w:p w14:paraId="0B2A6C9F">
      <w:pPr>
        <w:adjustRightInd w:val="0"/>
        <w:snapToGrid w:val="0"/>
        <w:spacing w:line="360" w:lineRule="auto"/>
        <w:rPr>
          <w:rFonts w:hint="eastAsia" w:ascii="宋体" w:hAnsi="宋体" w:eastAsia="宋体" w:cs="宋体"/>
          <w:b w:val="0"/>
          <w:bCs w:val="0"/>
          <w:color w:val="auto"/>
          <w:sz w:val="24"/>
          <w:szCs w:val="28"/>
          <w:highlight w:val="none"/>
        </w:rPr>
      </w:pPr>
      <w:r>
        <w:rPr>
          <w:rFonts w:hint="eastAsia" w:ascii="宋体" w:hAnsi="宋体" w:eastAsia="宋体" w:cs="宋体"/>
          <w:b/>
          <w:bCs/>
          <w:color w:val="auto"/>
          <w:sz w:val="24"/>
          <w:szCs w:val="28"/>
          <w:highlight w:val="none"/>
        </w:rPr>
        <w:t>注：</w:t>
      </w:r>
      <w:r>
        <w:rPr>
          <w:rFonts w:hint="eastAsia" w:ascii="宋体" w:hAnsi="宋体" w:eastAsia="宋体" w:cs="宋体"/>
          <w:b w:val="0"/>
          <w:bCs w:val="0"/>
          <w:color w:val="auto"/>
          <w:sz w:val="24"/>
          <w:szCs w:val="28"/>
          <w:highlight w:val="none"/>
          <w:lang w:eastAsia="zh-CN"/>
        </w:rPr>
        <w:t>（</w:t>
      </w:r>
      <w:r>
        <w:rPr>
          <w:rFonts w:hint="eastAsia" w:ascii="宋体" w:hAnsi="宋体" w:eastAsia="宋体" w:cs="宋体"/>
          <w:b w:val="0"/>
          <w:bCs w:val="0"/>
          <w:color w:val="auto"/>
          <w:sz w:val="24"/>
          <w:szCs w:val="28"/>
          <w:highlight w:val="none"/>
          <w:lang w:val="en-US" w:eastAsia="zh-CN"/>
        </w:rPr>
        <w:t>1</w:t>
      </w:r>
      <w:r>
        <w:rPr>
          <w:rFonts w:hint="eastAsia" w:ascii="宋体" w:hAnsi="宋体" w:eastAsia="宋体" w:cs="宋体"/>
          <w:b w:val="0"/>
          <w:bCs w:val="0"/>
          <w:color w:val="auto"/>
          <w:sz w:val="24"/>
          <w:szCs w:val="28"/>
          <w:highlight w:val="none"/>
          <w:lang w:eastAsia="zh-CN"/>
        </w:rPr>
        <w:t>）</w:t>
      </w:r>
      <w:r>
        <w:rPr>
          <w:rFonts w:hint="eastAsia" w:ascii="宋体" w:hAnsi="宋体" w:eastAsia="宋体" w:cs="宋体"/>
          <w:b w:val="0"/>
          <w:bCs w:val="0"/>
          <w:color w:val="auto"/>
          <w:sz w:val="24"/>
          <w:szCs w:val="28"/>
          <w:highlight w:val="none"/>
        </w:rPr>
        <w:t>表中所列服务为对应本项目需求的全部服务内容。如有漏项或缺项，供应商承担全部责任。</w:t>
      </w:r>
    </w:p>
    <w:p w14:paraId="6A3F47EC">
      <w:pPr>
        <w:spacing w:line="360" w:lineRule="auto"/>
        <w:ind w:firstLine="435"/>
        <w:rPr>
          <w:rFonts w:hint="eastAsia" w:ascii="宋体" w:hAnsi="宋体" w:eastAsia="宋体" w:cs="宋体"/>
          <w:color w:val="auto"/>
          <w:sz w:val="24"/>
          <w:highlight w:val="none"/>
        </w:rPr>
      </w:pPr>
      <w:r>
        <w:rPr>
          <w:rFonts w:hint="eastAsia" w:ascii="宋体" w:hAnsi="宋体" w:eastAsia="宋体" w:cs="宋体"/>
          <w:b w:val="0"/>
          <w:bCs w:val="0"/>
          <w:color w:val="auto"/>
          <w:sz w:val="24"/>
          <w:highlight w:val="none"/>
          <w:lang w:val="en-US" w:eastAsia="zh-CN"/>
        </w:rPr>
        <w:t>（2）考虑磋商报价的方便，若采购文件无特殊规定，供应商在填写最后报价后，根据（第一次报价-最后报价）除以第一次报价后得出的优惠率视同为分项报价明细表中全部分项设备、工程量或服务的优惠浮动值（特定分项优惠除外），而不考虑措施项目清单和规费税金清单的金额改变。此优惠率调整原则适用于合同内价格的计算及项目增减、变更时价格的计算。</w:t>
      </w:r>
    </w:p>
    <w:p w14:paraId="17C0D560">
      <w:pPr>
        <w:rPr>
          <w:rFonts w:hint="eastAsia" w:ascii="宋体" w:hAnsi="宋体" w:eastAsia="宋体" w:cs="宋体"/>
          <w:b/>
          <w:color w:val="auto"/>
          <w:sz w:val="24"/>
          <w:highlight w:val="none"/>
        </w:rPr>
      </w:pPr>
      <w:bookmarkStart w:id="295" w:name="_Toc20329"/>
      <w:r>
        <w:rPr>
          <w:rFonts w:hint="eastAsia" w:ascii="宋体" w:hAnsi="宋体" w:eastAsia="宋体" w:cs="宋体"/>
          <w:b/>
          <w:color w:val="auto"/>
          <w:sz w:val="24"/>
          <w:highlight w:val="none"/>
        </w:rPr>
        <w:br w:type="page"/>
      </w:r>
    </w:p>
    <w:bookmarkEnd w:id="295"/>
    <w:p w14:paraId="49E71F92">
      <w:pPr>
        <w:jc w:val="center"/>
        <w:rPr>
          <w:rFonts w:hint="eastAsia" w:ascii="宋体" w:hAnsi="宋体" w:eastAsia="宋体" w:cs="宋体"/>
          <w:b/>
          <w:bCs w:val="0"/>
          <w:color w:val="auto"/>
          <w:sz w:val="24"/>
          <w:highlight w:val="none"/>
          <w:lang w:val="en-US" w:eastAsia="zh-CN"/>
        </w:rPr>
      </w:pPr>
      <w:bookmarkStart w:id="296" w:name="_Toc23860"/>
      <w:bookmarkStart w:id="297" w:name="_Toc520299348"/>
      <w:bookmarkStart w:id="298" w:name="_Toc457768004"/>
      <w:bookmarkStart w:id="299" w:name="_Hlk11701496"/>
      <w:bookmarkStart w:id="300" w:name="_Toc300210382"/>
      <w:bookmarkStart w:id="301" w:name="_Toc26536"/>
      <w:r>
        <w:rPr>
          <w:rFonts w:hint="eastAsia" w:ascii="宋体" w:hAnsi="宋体" w:eastAsia="宋体" w:cs="宋体"/>
          <w:b/>
          <w:bCs w:val="0"/>
          <w:color w:val="auto"/>
          <w:sz w:val="24"/>
          <w:highlight w:val="none"/>
          <w:lang w:val="en-US" w:eastAsia="zh-CN"/>
        </w:rPr>
        <w:t>十六、关于符合本国产品标准的声明函</w:t>
      </w:r>
    </w:p>
    <w:p w14:paraId="0CC54606">
      <w:pPr>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 </w:t>
      </w:r>
    </w:p>
    <w:p w14:paraId="3E433595">
      <w:pPr>
        <w:keepNext w:val="0"/>
        <w:keepLines w:val="0"/>
        <w:widowControl/>
        <w:suppressLineNumbers w:val="0"/>
        <w:jc w:val="center"/>
        <w:rPr>
          <w:rFonts w:hint="eastAsia" w:ascii="宋体" w:hAnsi="宋体" w:eastAsia="宋体" w:cs="宋体"/>
          <w:i w:val="0"/>
          <w:iCs w:val="0"/>
          <w:color w:val="auto"/>
          <w:highlight w:val="none"/>
        </w:rPr>
      </w:pPr>
      <w:r>
        <w:rPr>
          <w:rFonts w:hint="eastAsia" w:ascii="宋体" w:hAnsi="宋体" w:eastAsia="宋体" w:cs="宋体"/>
          <w:i w:val="0"/>
          <w:iCs w:val="0"/>
          <w:color w:val="auto"/>
          <w:kern w:val="0"/>
          <w:sz w:val="24"/>
          <w:szCs w:val="24"/>
          <w:highlight w:val="none"/>
          <w:lang w:val="en-US" w:eastAsia="zh-CN" w:bidi="ar"/>
        </w:rPr>
        <w:t>（如不符合本国产品扶持政策，不需此件）</w:t>
      </w:r>
    </w:p>
    <w:p w14:paraId="293BC78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color w:val="auto"/>
          <w:sz w:val="24"/>
          <w:highlight w:val="none"/>
          <w:lang w:val="en-US" w:eastAsia="zh-CN"/>
        </w:rPr>
      </w:pPr>
    </w:p>
    <w:p w14:paraId="30D9471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3213C0C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1.</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rPr>
        <w:t>（产品名称1）</w:t>
      </w:r>
      <w:r>
        <w:rPr>
          <w:rFonts w:hint="eastAsia" w:ascii="宋体" w:hAnsi="宋体" w:eastAsia="宋体" w:cs="宋体"/>
          <w:i w:val="0"/>
          <w:iCs w:val="0"/>
          <w:caps w:val="0"/>
          <w:color w:val="auto"/>
          <w:spacing w:val="0"/>
          <w:kern w:val="2"/>
          <w:sz w:val="24"/>
          <w:szCs w:val="24"/>
          <w:highlight w:val="none"/>
          <w:u w:val="none"/>
          <w:shd w:val="clear" w:color="auto" w:fill="FFFFFF"/>
          <w:vertAlign w:val="superscript"/>
        </w:rPr>
        <w:t>1</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rPr>
        <w:t>（厂名）</w:t>
      </w:r>
      <w:r>
        <w:rPr>
          <w:rFonts w:hint="eastAsia" w:ascii="宋体" w:hAnsi="宋体" w:eastAsia="宋体" w:cs="宋体"/>
          <w:i w:val="0"/>
          <w:iCs w:val="0"/>
          <w:caps w:val="0"/>
          <w:color w:val="auto"/>
          <w:spacing w:val="0"/>
          <w:kern w:val="2"/>
          <w:sz w:val="24"/>
          <w:szCs w:val="24"/>
          <w:highlight w:val="none"/>
          <w:u w:val="none"/>
          <w:shd w:val="clear" w:color="auto" w:fill="FFFFFF"/>
          <w:vertAlign w:val="superscript"/>
        </w:rPr>
        <w:t>2</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494AA62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2.</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rPr>
        <w:t>（产品名称2）</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rPr>
        <w:t>（厂名）</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4DCFE41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w:t>
      </w:r>
    </w:p>
    <w:p w14:paraId="764CF4B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本公司（单位）对上述声明内容的真实性负责。如有虚假，愿承担相应法律责任。</w:t>
      </w:r>
    </w:p>
    <w:p w14:paraId="392C4917">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供应商盖章：</w:t>
      </w:r>
      <w:r>
        <w:rPr>
          <w:rFonts w:hint="eastAsia" w:ascii="宋体" w:hAnsi="宋体" w:eastAsia="宋体" w:cs="宋体"/>
          <w:color w:val="auto"/>
          <w:sz w:val="24"/>
          <w:highlight w:val="none"/>
          <w:u w:val="single"/>
        </w:rPr>
        <w:t xml:space="preserve">             </w:t>
      </w:r>
    </w:p>
    <w:p w14:paraId="156165F0">
      <w:pPr>
        <w:tabs>
          <w:tab w:val="left" w:pos="630"/>
        </w:tabs>
        <w:spacing w:line="360" w:lineRule="auto"/>
        <w:ind w:firstLine="4800" w:firstLineChars="2000"/>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0F79864F">
      <w:pPr>
        <w:tabs>
          <w:tab w:val="left" w:pos="4620"/>
        </w:tabs>
        <w:spacing w:line="360" w:lineRule="auto"/>
        <w:jc w:val="left"/>
        <w:rPr>
          <w:rFonts w:hint="eastAsia" w:ascii="宋体" w:hAnsi="宋体" w:eastAsia="宋体" w:cs="宋体"/>
          <w:b/>
          <w:color w:val="auto"/>
          <w:sz w:val="24"/>
          <w:szCs w:val="24"/>
          <w:highlight w:val="none"/>
          <w:lang w:val="en-US" w:eastAsia="zh-CN"/>
        </w:rPr>
      </w:pPr>
    </w:p>
    <w:p w14:paraId="0C605CCE">
      <w:pPr>
        <w:tabs>
          <w:tab w:val="left" w:pos="4620"/>
        </w:tabs>
        <w:spacing w:line="360" w:lineRule="auto"/>
        <w:jc w:val="left"/>
        <w:rPr>
          <w:rFonts w:hint="eastAsia" w:ascii="宋体" w:hAnsi="宋体" w:eastAsia="宋体" w:cs="宋体"/>
          <w:b w:val="0"/>
          <w:bCs/>
          <w:color w:val="auto"/>
          <w:sz w:val="24"/>
          <w:szCs w:val="24"/>
          <w:highlight w:val="none"/>
          <w:lang w:eastAsia="zh-CN"/>
        </w:rPr>
      </w:pPr>
      <w:r>
        <w:rPr>
          <w:rFonts w:hint="eastAsia" w:ascii="宋体" w:hAnsi="宋体" w:eastAsia="宋体" w:cs="宋体"/>
          <w:b/>
          <w:color w:val="auto"/>
          <w:sz w:val="24"/>
          <w:szCs w:val="24"/>
          <w:highlight w:val="none"/>
          <w:lang w:val="en-US" w:eastAsia="zh-CN"/>
        </w:rPr>
        <w:t>注：</w:t>
      </w:r>
    </w:p>
    <w:p w14:paraId="278559BF">
      <w:pPr>
        <w:keepNext w:val="0"/>
        <w:keepLines w:val="0"/>
        <w:pageBreakBefore w:val="0"/>
        <w:widowControl w:val="0"/>
        <w:tabs>
          <w:tab w:val="left" w:pos="4620"/>
        </w:tabs>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1.产品如有型号，请在“产品名称”栏一并填写。</w:t>
      </w:r>
    </w:p>
    <w:p w14:paraId="0ADFC394">
      <w:pPr>
        <w:keepNext w:val="0"/>
        <w:keepLines w:val="0"/>
        <w:pageBreakBefore w:val="0"/>
        <w:widowControl w:val="0"/>
        <w:tabs>
          <w:tab w:val="left" w:pos="4620"/>
        </w:tabs>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2.生产厂名与厂址应与生产厂营业执照载明的相关信息保持一致。</w:t>
      </w:r>
    </w:p>
    <w:p w14:paraId="40565C52">
      <w:pPr>
        <w:keepNext w:val="0"/>
        <w:keepLines w:val="0"/>
        <w:pageBreakBefore w:val="0"/>
        <w:widowControl w:val="0"/>
        <w:tabs>
          <w:tab w:val="left" w:pos="4620"/>
        </w:tabs>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3.上述声明函中标注</w:t>
      </w:r>
      <w:r>
        <w:rPr>
          <w:rFonts w:hint="eastAsia" w:ascii="宋体" w:hAnsi="宋体" w:eastAsia="宋体" w:cs="宋体"/>
          <w:b w:val="0"/>
          <w:bCs/>
          <w:color w:val="auto"/>
          <w:sz w:val="24"/>
          <w:szCs w:val="24"/>
          <w:highlight w:val="none"/>
          <w:u w:val="single"/>
          <w:lang w:val="en-US" w:eastAsia="zh-CN"/>
        </w:rPr>
        <w:t xml:space="preserve">  /  </w:t>
      </w:r>
      <w:r>
        <w:rPr>
          <w:rFonts w:hint="eastAsia" w:ascii="宋体" w:hAnsi="宋体" w:eastAsia="宋体" w:cs="宋体"/>
          <w:b w:val="0"/>
          <w:bCs/>
          <w:color w:val="auto"/>
          <w:sz w:val="24"/>
          <w:szCs w:val="24"/>
          <w:highlight w:val="none"/>
          <w:lang w:val="en-US" w:eastAsia="zh-CN"/>
        </w:rPr>
        <w:t>的，无需填写。</w:t>
      </w:r>
    </w:p>
    <w:p w14:paraId="59CDB4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highlight w:val="none"/>
          <w:lang w:val="en-US" w:eastAsia="zh-CN"/>
        </w:rPr>
      </w:pPr>
      <w:r>
        <w:rPr>
          <w:rFonts w:hint="eastAsia" w:ascii="宋体" w:hAnsi="宋体" w:eastAsia="宋体" w:cs="宋体"/>
          <w:b w:val="0"/>
          <w:bCs/>
          <w:color w:val="auto"/>
          <w:sz w:val="24"/>
          <w:szCs w:val="24"/>
          <w:highlight w:val="none"/>
          <w:lang w:val="en-US" w:eastAsia="zh-CN"/>
        </w:rPr>
        <w:t>4.供应商应当结合“十五、分项报价明细表”中所投货物相关信息进行填写。</w:t>
      </w:r>
    </w:p>
    <w:p w14:paraId="3CCC6DAB">
      <w:pPr>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br w:type="page"/>
      </w:r>
    </w:p>
    <w:bookmarkEnd w:id="296"/>
    <w:bookmarkEnd w:id="297"/>
    <w:bookmarkEnd w:id="298"/>
    <w:bookmarkEnd w:id="299"/>
    <w:bookmarkEnd w:id="300"/>
    <w:bookmarkEnd w:id="301"/>
    <w:p w14:paraId="2DBB4CD1">
      <w:pPr>
        <w:spacing w:line="360" w:lineRule="auto"/>
        <w:jc w:val="center"/>
        <w:outlineLvl w:val="1"/>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十七、其他报价响应证明材料</w:t>
      </w:r>
    </w:p>
    <w:p w14:paraId="74C2AD9B">
      <w:pPr>
        <w:spacing w:line="360" w:lineRule="auto"/>
        <w:jc w:val="center"/>
        <w:rPr>
          <w:rFonts w:hint="eastAsia" w:ascii="宋体" w:hAnsi="宋体" w:eastAsia="宋体" w:cs="宋体"/>
          <w:b/>
          <w:color w:val="auto"/>
          <w:sz w:val="24"/>
          <w:highlight w:val="none"/>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如有，</w:t>
      </w:r>
      <w:r>
        <w:rPr>
          <w:rFonts w:hint="eastAsia" w:ascii="宋体" w:hAnsi="宋体" w:eastAsia="宋体" w:cs="宋体"/>
          <w:color w:val="auto"/>
          <w:sz w:val="24"/>
          <w:highlight w:val="none"/>
        </w:rPr>
        <w:t>提供符合</w:t>
      </w:r>
      <w:r>
        <w:rPr>
          <w:rFonts w:hint="eastAsia" w:ascii="宋体" w:hAnsi="宋体" w:eastAsia="宋体" w:cs="宋体"/>
          <w:color w:val="auto"/>
          <w:sz w:val="24"/>
          <w:highlight w:val="none"/>
          <w:lang w:val="en-US" w:eastAsia="zh-CN"/>
        </w:rPr>
        <w:t>磋商文件要求的其他报价响应</w:t>
      </w:r>
      <w:r>
        <w:rPr>
          <w:rFonts w:hint="eastAsia" w:ascii="宋体" w:hAnsi="宋体" w:eastAsia="宋体" w:cs="宋体"/>
          <w:color w:val="auto"/>
          <w:sz w:val="24"/>
          <w:highlight w:val="none"/>
        </w:rPr>
        <w:t>证明</w:t>
      </w:r>
      <w:r>
        <w:rPr>
          <w:rFonts w:hint="eastAsia" w:ascii="宋体" w:hAnsi="宋体" w:eastAsia="宋体" w:cs="宋体"/>
          <w:color w:val="auto"/>
          <w:sz w:val="24"/>
          <w:highlight w:val="none"/>
          <w:lang w:val="en-US" w:eastAsia="zh-CN"/>
        </w:rPr>
        <w:t>材料</w:t>
      </w:r>
      <w:r>
        <w:rPr>
          <w:rFonts w:hint="eastAsia" w:ascii="宋体" w:hAnsi="宋体" w:eastAsia="宋体" w:cs="宋体"/>
          <w:color w:val="auto"/>
          <w:sz w:val="24"/>
          <w:highlight w:val="none"/>
          <w:lang w:eastAsia="zh-CN"/>
        </w:rPr>
        <w:t>）</w:t>
      </w:r>
    </w:p>
    <w:p w14:paraId="314D8B68">
      <w:pPr>
        <w:rPr>
          <w:rFonts w:ascii="宋体" w:hAnsi="宋体" w:eastAsia="宋体"/>
          <w:bCs/>
          <w:color w:val="auto"/>
          <w:sz w:val="24"/>
          <w:highlight w:val="none"/>
        </w:rPr>
      </w:pPr>
      <w:r>
        <w:rPr>
          <w:rFonts w:hint="eastAsia" w:asciiTheme="minorEastAsia" w:hAnsiTheme="minorEastAsia" w:eastAsiaTheme="minorEastAsia"/>
          <w:b/>
          <w:color w:val="auto"/>
          <w:sz w:val="24"/>
          <w:highlight w:val="none"/>
        </w:rPr>
        <w:br w:type="page"/>
      </w:r>
      <w:bookmarkEnd w:id="275"/>
      <w:bookmarkEnd w:id="276"/>
      <w:bookmarkEnd w:id="277"/>
      <w:bookmarkEnd w:id="278"/>
      <w:bookmarkEnd w:id="279"/>
      <w:bookmarkEnd w:id="280"/>
      <w:bookmarkEnd w:id="281"/>
    </w:p>
    <w:p w14:paraId="2ECDB862">
      <w:pPr>
        <w:spacing w:line="360" w:lineRule="auto"/>
        <w:jc w:val="center"/>
        <w:outlineLvl w:val="0"/>
        <w:rPr>
          <w:rFonts w:ascii="宋体" w:hAnsi="宋体" w:eastAsia="宋体"/>
          <w:b/>
          <w:bCs/>
          <w:color w:val="auto"/>
          <w:sz w:val="28"/>
          <w:highlight w:val="none"/>
        </w:rPr>
      </w:pPr>
      <w:bookmarkStart w:id="302" w:name="_Toc63440924"/>
      <w:bookmarkStart w:id="303" w:name="_Toc2714"/>
      <w:r>
        <w:rPr>
          <w:rFonts w:hint="eastAsia" w:ascii="宋体" w:hAnsi="宋体" w:eastAsia="宋体"/>
          <w:b/>
          <w:bCs/>
          <w:color w:val="auto"/>
          <w:sz w:val="28"/>
          <w:highlight w:val="none"/>
        </w:rPr>
        <w:t>第七章  政府采购</w:t>
      </w:r>
      <w:bookmarkEnd w:id="302"/>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303"/>
    </w:p>
    <w:p w14:paraId="7A51DCF7">
      <w:pPr>
        <w:spacing w:line="360" w:lineRule="auto"/>
        <w:jc w:val="center"/>
        <w:outlineLvl w:val="1"/>
        <w:rPr>
          <w:rFonts w:ascii="仿宋" w:hAnsi="仿宋" w:eastAsia="仿宋" w:cs="仿宋"/>
          <w:b/>
          <w:bCs/>
          <w:color w:val="auto"/>
          <w:sz w:val="32"/>
          <w:szCs w:val="44"/>
          <w:highlight w:val="none"/>
        </w:rPr>
      </w:pPr>
      <w:bookmarkStart w:id="304" w:name="_Toc21399"/>
      <w:bookmarkStart w:id="305" w:name="_Toc20921"/>
      <w:bookmarkStart w:id="306" w:name="_Toc2142"/>
      <w:bookmarkStart w:id="307" w:name="_Toc8735"/>
      <w:r>
        <w:rPr>
          <w:rFonts w:hint="eastAsia" w:ascii="仿宋" w:hAnsi="仿宋" w:eastAsia="仿宋" w:cs="仿宋"/>
          <w:b/>
          <w:bCs/>
          <w:color w:val="auto"/>
          <w:sz w:val="32"/>
          <w:szCs w:val="44"/>
          <w:highlight w:val="none"/>
        </w:rPr>
        <w:t>询问函范本</w:t>
      </w:r>
      <w:bookmarkEnd w:id="304"/>
      <w:bookmarkEnd w:id="305"/>
      <w:bookmarkEnd w:id="306"/>
      <w:bookmarkEnd w:id="307"/>
    </w:p>
    <w:p w14:paraId="76EFCC2B">
      <w:pPr>
        <w:adjustRightInd w:val="0"/>
        <w:snapToGrid w:val="0"/>
        <w:spacing w:line="360" w:lineRule="auto"/>
        <w:rPr>
          <w:rFonts w:cs="仿宋" w:asciiTheme="minorEastAsia" w:hAnsiTheme="minorEastAsia" w:eastAsiaTheme="minorEastAsia"/>
          <w:b/>
          <w:bCs/>
          <w:color w:val="auto"/>
          <w:sz w:val="24"/>
          <w:szCs w:val="24"/>
          <w:highlight w:val="none"/>
        </w:rPr>
      </w:pPr>
      <w:r>
        <w:rPr>
          <w:rFonts w:hint="eastAsia" w:cs="仿宋" w:asciiTheme="minorEastAsia" w:hAnsiTheme="minorEastAsia" w:eastAsiaTheme="minorEastAsia"/>
          <w:b/>
          <w:bCs/>
          <w:color w:val="auto"/>
          <w:sz w:val="24"/>
          <w:szCs w:val="24"/>
          <w:highlight w:val="none"/>
        </w:rPr>
        <w:t>致：采购人</w:t>
      </w:r>
    </w:p>
    <w:p w14:paraId="40E4A150">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rPr>
        <w:t xml:space="preserve">             </w:t>
      </w:r>
      <w:r>
        <w:rPr>
          <w:rFonts w:hint="eastAsia" w:cs="仿宋" w:asciiTheme="minorEastAsia" w:hAnsiTheme="minorEastAsia" w:eastAsiaTheme="minorEastAsia"/>
          <w:i/>
          <w:iCs/>
          <w:color w:val="auto"/>
          <w:sz w:val="24"/>
          <w:szCs w:val="24"/>
          <w:highlight w:val="none"/>
        </w:rPr>
        <w:t>（项目名称、编号)</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10EEAA18">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308" w:name="_Toc12533"/>
      <w:bookmarkStart w:id="309" w:name="_Toc24904"/>
      <w:bookmarkStart w:id="310" w:name="_Toc9092"/>
      <w:bookmarkStart w:id="311" w:name="_Toc26386"/>
      <w:r>
        <w:rPr>
          <w:rFonts w:hint="eastAsia" w:cs="仿宋" w:asciiTheme="minorEastAsia" w:hAnsiTheme="minorEastAsia" w:eastAsiaTheme="minorEastAsia"/>
          <w:color w:val="auto"/>
          <w:sz w:val="24"/>
          <w:szCs w:val="24"/>
          <w:highlight w:val="none"/>
        </w:rPr>
        <w:t>一、(事项一)</w:t>
      </w:r>
      <w:bookmarkEnd w:id="308"/>
      <w:bookmarkEnd w:id="309"/>
      <w:bookmarkEnd w:id="310"/>
      <w:bookmarkEnd w:id="311"/>
    </w:p>
    <w:p w14:paraId="6EBB971C">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26E3633E">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5E68E43B">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2BA201BB">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312" w:name="_Toc12521"/>
      <w:bookmarkStart w:id="313" w:name="_Toc9273"/>
      <w:bookmarkStart w:id="314" w:name="_Toc17582"/>
      <w:bookmarkStart w:id="315" w:name="_Toc23221"/>
      <w:r>
        <w:rPr>
          <w:rFonts w:hint="eastAsia" w:cs="仿宋" w:asciiTheme="minorEastAsia" w:hAnsiTheme="minorEastAsia" w:eastAsiaTheme="minorEastAsia"/>
          <w:color w:val="auto"/>
          <w:sz w:val="24"/>
          <w:szCs w:val="24"/>
          <w:highlight w:val="none"/>
        </w:rPr>
        <w:t>二、(事项二)</w:t>
      </w:r>
      <w:bookmarkEnd w:id="312"/>
      <w:bookmarkEnd w:id="313"/>
      <w:bookmarkEnd w:id="314"/>
      <w:bookmarkEnd w:id="315"/>
    </w:p>
    <w:p w14:paraId="29EAB2BB">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755E2A5F">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随附相关证明材料如下</w:t>
      </w:r>
      <w:r>
        <w:rPr>
          <w:rFonts w:hint="eastAsia" w:cs="仿宋" w:asciiTheme="minorEastAsia" w:hAnsiTheme="minorEastAsia" w:eastAsiaTheme="minorEastAsia"/>
          <w:color w:val="auto"/>
          <w:sz w:val="24"/>
          <w:szCs w:val="24"/>
          <w:highlight w:val="none"/>
          <w:lang w:eastAsia="zh-CN"/>
        </w:rPr>
        <w:t>（</w:t>
      </w:r>
      <w:r>
        <w:rPr>
          <w:rFonts w:hint="eastAsia" w:cs="仿宋" w:asciiTheme="minorEastAsia" w:hAnsiTheme="minorEastAsia" w:eastAsiaTheme="minorEastAsia"/>
          <w:color w:val="auto"/>
          <w:sz w:val="24"/>
          <w:szCs w:val="24"/>
          <w:highlight w:val="none"/>
          <w:lang w:val="en-US" w:eastAsia="zh-CN"/>
        </w:rPr>
        <w:t>如有</w:t>
      </w:r>
      <w:r>
        <w:rPr>
          <w:rFonts w:hint="eastAsia" w:cs="仿宋" w:asciiTheme="minorEastAsia" w:hAnsiTheme="minorEastAsia" w:eastAsiaTheme="minorEastAsia"/>
          <w:color w:val="auto"/>
          <w:sz w:val="24"/>
          <w:szCs w:val="24"/>
          <w:highlight w:val="none"/>
          <w:lang w:eastAsia="zh-CN"/>
        </w:rPr>
        <w:t>）</w:t>
      </w:r>
      <w:r>
        <w:rPr>
          <w:rFonts w:hint="eastAsia" w:cs="仿宋" w:asciiTheme="minorEastAsia" w:hAnsiTheme="minorEastAsia" w:eastAsiaTheme="minorEastAsia"/>
          <w:color w:val="auto"/>
          <w:sz w:val="24"/>
          <w:szCs w:val="24"/>
          <w:highlight w:val="none"/>
        </w:rPr>
        <w:t xml:space="preserve">： </w:t>
      </w:r>
    </w:p>
    <w:p w14:paraId="40BD2F5C">
      <w:pPr>
        <w:pStyle w:val="11"/>
        <w:rPr>
          <w:color w:val="auto"/>
          <w:highlight w:val="none"/>
        </w:rPr>
      </w:pPr>
    </w:p>
    <w:p w14:paraId="79BB4318">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05A2C9A5">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6F8DD749">
      <w:pPr>
        <w:jc w:val="center"/>
        <w:outlineLvl w:val="1"/>
        <w:rPr>
          <w:rFonts w:ascii="仿宋" w:hAnsi="仿宋" w:eastAsia="仿宋" w:cs="仿宋"/>
          <w:b/>
          <w:bCs/>
          <w:color w:val="auto"/>
          <w:sz w:val="32"/>
          <w:szCs w:val="44"/>
          <w:highlight w:val="none"/>
        </w:rPr>
      </w:pPr>
      <w:bookmarkStart w:id="316" w:name="_Toc26055"/>
      <w:bookmarkStart w:id="317" w:name="_Toc25182"/>
      <w:bookmarkStart w:id="318" w:name="_Toc26673"/>
      <w:bookmarkStart w:id="319" w:name="_Toc6990"/>
      <w:r>
        <w:rPr>
          <w:rFonts w:hint="eastAsia" w:ascii="仿宋" w:hAnsi="仿宋" w:eastAsia="仿宋" w:cs="仿宋"/>
          <w:b/>
          <w:bCs/>
          <w:color w:val="auto"/>
          <w:sz w:val="32"/>
          <w:szCs w:val="44"/>
          <w:highlight w:val="none"/>
        </w:rPr>
        <w:t>质疑函范本</w:t>
      </w:r>
      <w:bookmarkEnd w:id="316"/>
      <w:bookmarkEnd w:id="317"/>
      <w:bookmarkEnd w:id="318"/>
      <w:bookmarkEnd w:id="319"/>
    </w:p>
    <w:p w14:paraId="426B20D9">
      <w:pPr>
        <w:adjustRightInd w:val="0"/>
        <w:snapToGrid w:val="0"/>
        <w:spacing w:before="312" w:beforeLines="100" w:line="360" w:lineRule="auto"/>
        <w:outlineLvl w:val="1"/>
        <w:rPr>
          <w:rFonts w:cs="仿宋" w:asciiTheme="minorEastAsia" w:hAnsiTheme="minorEastAsia" w:eastAsiaTheme="minorEastAsia"/>
          <w:b/>
          <w:bCs/>
          <w:color w:val="auto"/>
          <w:sz w:val="24"/>
          <w:szCs w:val="24"/>
          <w:highlight w:val="none"/>
        </w:rPr>
      </w:pPr>
      <w:bookmarkStart w:id="320" w:name="_Toc7493"/>
      <w:bookmarkStart w:id="321" w:name="_Toc2994"/>
      <w:bookmarkStart w:id="322" w:name="_Toc29510"/>
      <w:bookmarkStart w:id="323" w:name="_Toc16369"/>
      <w:r>
        <w:rPr>
          <w:rFonts w:hint="eastAsia" w:cs="仿宋" w:asciiTheme="minorEastAsia" w:hAnsiTheme="minorEastAsia" w:eastAsiaTheme="minorEastAsia"/>
          <w:b/>
          <w:bCs/>
          <w:color w:val="auto"/>
          <w:sz w:val="24"/>
          <w:szCs w:val="24"/>
          <w:highlight w:val="none"/>
        </w:rPr>
        <w:t>一、质疑供应商基本信息</w:t>
      </w:r>
      <w:bookmarkEnd w:id="320"/>
      <w:bookmarkEnd w:id="321"/>
      <w:bookmarkEnd w:id="322"/>
      <w:bookmarkEnd w:id="323"/>
    </w:p>
    <w:p w14:paraId="76206E37">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73B7731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5AF9EA86">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6E6D79FD">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758D0ECF">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5D29978B">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6A476753">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324" w:name="_Toc31042"/>
      <w:bookmarkStart w:id="325" w:name="_Toc28130"/>
      <w:bookmarkStart w:id="326" w:name="_Toc16981"/>
      <w:bookmarkStart w:id="327" w:name="_Toc11741"/>
      <w:r>
        <w:rPr>
          <w:rFonts w:hint="eastAsia" w:cs="仿宋" w:asciiTheme="minorEastAsia" w:hAnsiTheme="minorEastAsia" w:eastAsiaTheme="minorEastAsia"/>
          <w:b/>
          <w:bCs/>
          <w:color w:val="auto"/>
          <w:sz w:val="24"/>
          <w:szCs w:val="24"/>
          <w:highlight w:val="none"/>
        </w:rPr>
        <w:t>二、质疑项目基本情况</w:t>
      </w:r>
      <w:bookmarkEnd w:id="324"/>
      <w:bookmarkEnd w:id="325"/>
      <w:bookmarkEnd w:id="326"/>
      <w:bookmarkEnd w:id="327"/>
    </w:p>
    <w:p w14:paraId="2FA78A0C">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2D114B39">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2C272E32">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43255AB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3BCA3A65">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328" w:name="_Toc6486"/>
      <w:bookmarkStart w:id="329" w:name="_Toc21341"/>
      <w:bookmarkStart w:id="330" w:name="_Toc20587"/>
      <w:bookmarkStart w:id="331" w:name="_Toc22262"/>
      <w:r>
        <w:rPr>
          <w:rFonts w:hint="eastAsia" w:cs="仿宋" w:asciiTheme="minorEastAsia" w:hAnsiTheme="minorEastAsia" w:eastAsiaTheme="minorEastAsia"/>
          <w:b/>
          <w:bCs/>
          <w:color w:val="auto"/>
          <w:sz w:val="24"/>
          <w:szCs w:val="24"/>
          <w:highlight w:val="none"/>
        </w:rPr>
        <w:t>三、质疑事项具体内容</w:t>
      </w:r>
      <w:bookmarkEnd w:id="328"/>
      <w:bookmarkEnd w:id="329"/>
      <w:bookmarkEnd w:id="330"/>
      <w:bookmarkEnd w:id="331"/>
    </w:p>
    <w:p w14:paraId="2AEDFEF4">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03D45622">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2F1F5E5C">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25ED50A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0ED0993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26A6BD19">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48D580EA">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6FA86CAC">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332" w:name="_Toc32755"/>
      <w:bookmarkStart w:id="333" w:name="_Toc19314"/>
      <w:bookmarkStart w:id="334" w:name="_Toc6745"/>
      <w:bookmarkStart w:id="335" w:name="_Toc20470"/>
      <w:r>
        <w:rPr>
          <w:rFonts w:hint="eastAsia" w:cs="仿宋" w:asciiTheme="minorEastAsia" w:hAnsiTheme="minorEastAsia" w:eastAsiaTheme="minorEastAsia"/>
          <w:b/>
          <w:bCs/>
          <w:color w:val="auto"/>
          <w:sz w:val="24"/>
          <w:szCs w:val="24"/>
          <w:highlight w:val="none"/>
        </w:rPr>
        <w:t>四、与质疑事项相关的质疑请求</w:t>
      </w:r>
      <w:bookmarkEnd w:id="332"/>
      <w:bookmarkEnd w:id="333"/>
      <w:bookmarkEnd w:id="334"/>
      <w:bookmarkEnd w:id="335"/>
    </w:p>
    <w:p w14:paraId="19E04C3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4463777D">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55241AD0">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58EA6277">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70639A17">
      <w:pPr>
        <w:outlineLvl w:val="0"/>
        <w:rPr>
          <w:rFonts w:asciiTheme="minorEastAsia" w:hAnsiTheme="minorEastAsia" w:eastAsiaTheme="minorEastAsia"/>
          <w:b/>
          <w:color w:val="auto"/>
          <w:sz w:val="28"/>
          <w:szCs w:val="32"/>
          <w:highlight w:val="none"/>
        </w:rPr>
      </w:pPr>
      <w:bookmarkStart w:id="336" w:name="_Toc7717"/>
      <w:bookmarkStart w:id="337" w:name="_Toc8368"/>
      <w:bookmarkStart w:id="338" w:name="_Toc3659"/>
      <w:bookmarkStart w:id="339" w:name="_Toc21667"/>
      <w:r>
        <w:rPr>
          <w:rFonts w:hint="eastAsia" w:asciiTheme="minorEastAsia" w:hAnsiTheme="minorEastAsia" w:eastAsiaTheme="minorEastAsia"/>
          <w:b/>
          <w:color w:val="auto"/>
          <w:sz w:val="28"/>
          <w:szCs w:val="32"/>
          <w:highlight w:val="none"/>
        </w:rPr>
        <w:t>质疑函制作说明：</w:t>
      </w:r>
      <w:bookmarkEnd w:id="336"/>
      <w:bookmarkEnd w:id="337"/>
      <w:bookmarkEnd w:id="338"/>
      <w:bookmarkEnd w:id="339"/>
    </w:p>
    <w:p w14:paraId="347F0DB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720900D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20642DE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37BDADC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0D707D8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3EE28C1E">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53ED7FC8">
      <w:pPr>
        <w:spacing w:line="360" w:lineRule="auto"/>
        <w:ind w:firstLine="435"/>
        <w:rPr>
          <w:rFonts w:hint="eastAsia" w:asciiTheme="minorEastAsia" w:hAnsiTheme="minorEastAsia" w:eastAsiaTheme="minorEastAsia"/>
          <w:color w:val="auto"/>
          <w:sz w:val="24"/>
          <w:highlight w:val="none"/>
        </w:rPr>
      </w:pPr>
    </w:p>
    <w:p w14:paraId="12A2CC89">
      <w:pPr>
        <w:spacing w:line="360" w:lineRule="auto"/>
        <w:ind w:firstLine="435"/>
        <w:rPr>
          <w:rFonts w:hint="eastAsia" w:asciiTheme="minorEastAsia" w:hAnsiTheme="minorEastAsia" w:eastAsiaTheme="minorEastAsia"/>
          <w:color w:val="auto"/>
          <w:sz w:val="24"/>
          <w:highlight w:val="none"/>
        </w:rPr>
      </w:pPr>
    </w:p>
    <w:p w14:paraId="2AC553E1">
      <w:pPr>
        <w:spacing w:line="360" w:lineRule="auto"/>
        <w:ind w:firstLine="435"/>
        <w:rPr>
          <w:rFonts w:hint="eastAsia" w:asciiTheme="minorEastAsia" w:hAnsiTheme="minorEastAsia" w:eastAsiaTheme="minorEastAsia"/>
          <w:color w:val="auto"/>
          <w:sz w:val="24"/>
          <w:highlight w:val="none"/>
        </w:rPr>
      </w:pPr>
    </w:p>
    <w:p w14:paraId="54040560">
      <w:pPr>
        <w:spacing w:line="360" w:lineRule="auto"/>
        <w:ind w:firstLine="435"/>
        <w:rPr>
          <w:rFonts w:hint="eastAsia" w:asciiTheme="minorEastAsia" w:hAnsiTheme="minorEastAsia" w:eastAsiaTheme="minorEastAsia"/>
          <w:color w:val="auto"/>
          <w:sz w:val="24"/>
          <w:highlight w:val="none"/>
        </w:rPr>
      </w:pPr>
    </w:p>
    <w:p w14:paraId="49D41404">
      <w:pPr>
        <w:spacing w:line="360" w:lineRule="auto"/>
        <w:ind w:firstLine="435"/>
        <w:rPr>
          <w:rFonts w:hint="eastAsia" w:asciiTheme="minorEastAsia" w:hAnsiTheme="minorEastAsia" w:eastAsiaTheme="minorEastAsia"/>
          <w:color w:val="auto"/>
          <w:sz w:val="24"/>
          <w:highlight w:val="none"/>
        </w:rPr>
      </w:pPr>
    </w:p>
    <w:p w14:paraId="0982A26A">
      <w:pPr>
        <w:spacing w:line="360" w:lineRule="auto"/>
        <w:ind w:firstLine="435"/>
        <w:rPr>
          <w:rFonts w:hint="eastAsia" w:asciiTheme="minorEastAsia" w:hAnsiTheme="minorEastAsia" w:eastAsiaTheme="minorEastAsia"/>
          <w:color w:val="auto"/>
          <w:sz w:val="24"/>
          <w:highlight w:val="none"/>
        </w:rPr>
      </w:pPr>
    </w:p>
    <w:p w14:paraId="153C3297">
      <w:pPr>
        <w:spacing w:line="360" w:lineRule="auto"/>
        <w:ind w:firstLine="435"/>
        <w:rPr>
          <w:rFonts w:hint="eastAsia" w:asciiTheme="minorEastAsia" w:hAnsiTheme="minorEastAsia" w:eastAsiaTheme="minorEastAsia"/>
          <w:color w:val="auto"/>
          <w:sz w:val="24"/>
          <w:highlight w:val="none"/>
        </w:rPr>
      </w:pPr>
    </w:p>
    <w:p w14:paraId="2E3A309E">
      <w:pPr>
        <w:spacing w:line="360" w:lineRule="auto"/>
        <w:ind w:firstLine="435"/>
        <w:rPr>
          <w:rFonts w:hint="eastAsia" w:asciiTheme="minorEastAsia" w:hAnsiTheme="minorEastAsia" w:eastAsiaTheme="minorEastAsia"/>
          <w:color w:val="auto"/>
          <w:sz w:val="24"/>
          <w:highlight w:val="none"/>
        </w:rPr>
      </w:pPr>
    </w:p>
    <w:p w14:paraId="314EE7C4">
      <w:pPr>
        <w:spacing w:line="360" w:lineRule="auto"/>
        <w:ind w:firstLine="435"/>
        <w:rPr>
          <w:rFonts w:hint="eastAsia" w:asciiTheme="minorEastAsia" w:hAnsiTheme="minorEastAsia" w:eastAsiaTheme="minorEastAsia"/>
          <w:color w:val="auto"/>
          <w:sz w:val="24"/>
          <w:highlight w:val="none"/>
        </w:rPr>
      </w:pPr>
    </w:p>
    <w:p w14:paraId="053296BF">
      <w:pPr>
        <w:spacing w:line="360" w:lineRule="auto"/>
        <w:ind w:firstLine="435"/>
        <w:rPr>
          <w:rFonts w:hint="eastAsia" w:asciiTheme="minorEastAsia" w:hAnsiTheme="minorEastAsia" w:eastAsiaTheme="minorEastAsia"/>
          <w:color w:val="auto"/>
          <w:sz w:val="24"/>
          <w:highlight w:val="none"/>
        </w:rPr>
      </w:pPr>
    </w:p>
    <w:p w14:paraId="098BE548">
      <w:pPr>
        <w:spacing w:line="360" w:lineRule="auto"/>
        <w:ind w:firstLine="435"/>
        <w:rPr>
          <w:rFonts w:hint="eastAsia" w:asciiTheme="minorEastAsia" w:hAnsiTheme="minorEastAsia" w:eastAsiaTheme="minorEastAsia"/>
          <w:color w:val="auto"/>
          <w:sz w:val="24"/>
          <w:highlight w:val="none"/>
        </w:rPr>
      </w:pPr>
    </w:p>
    <w:p w14:paraId="72CBB109">
      <w:pPr>
        <w:spacing w:line="360" w:lineRule="auto"/>
        <w:ind w:firstLine="435"/>
        <w:rPr>
          <w:rFonts w:hint="eastAsia" w:asciiTheme="minorEastAsia" w:hAnsiTheme="minorEastAsia" w:eastAsiaTheme="minorEastAsia"/>
          <w:color w:val="auto"/>
          <w:sz w:val="24"/>
          <w:highlight w:val="none"/>
        </w:rPr>
      </w:pPr>
    </w:p>
    <w:p w14:paraId="3D762DF4">
      <w:pPr>
        <w:spacing w:line="360" w:lineRule="auto"/>
        <w:ind w:firstLine="435"/>
        <w:rPr>
          <w:rFonts w:hint="eastAsia" w:asciiTheme="minorEastAsia" w:hAnsiTheme="minorEastAsia" w:eastAsiaTheme="minorEastAsia"/>
          <w:color w:val="auto"/>
          <w:sz w:val="24"/>
          <w:highlight w:val="none"/>
        </w:rPr>
      </w:pPr>
    </w:p>
    <w:p w14:paraId="4A9467DB">
      <w:pPr>
        <w:spacing w:line="360" w:lineRule="auto"/>
        <w:ind w:firstLine="435"/>
        <w:rPr>
          <w:rFonts w:hint="eastAsia" w:asciiTheme="minorEastAsia" w:hAnsiTheme="minorEastAsia" w:eastAsiaTheme="minorEastAsia"/>
          <w:color w:val="auto"/>
          <w:sz w:val="24"/>
          <w:highlight w:val="none"/>
        </w:rPr>
      </w:pPr>
    </w:p>
    <w:p w14:paraId="6A21D944">
      <w:pPr>
        <w:spacing w:line="360" w:lineRule="auto"/>
        <w:ind w:firstLine="435"/>
        <w:rPr>
          <w:rFonts w:hint="eastAsia" w:asciiTheme="minorEastAsia" w:hAnsiTheme="minorEastAsia" w:eastAsiaTheme="minorEastAsia"/>
          <w:color w:val="auto"/>
          <w:sz w:val="24"/>
          <w:highlight w:val="none"/>
        </w:rPr>
      </w:pPr>
    </w:p>
    <w:p w14:paraId="7B0ABDBC">
      <w:pPr>
        <w:spacing w:line="360" w:lineRule="auto"/>
        <w:ind w:firstLine="435"/>
        <w:rPr>
          <w:rFonts w:hint="eastAsia" w:asciiTheme="minorEastAsia" w:hAnsiTheme="minorEastAsia" w:eastAsiaTheme="minorEastAsia"/>
          <w:color w:val="auto"/>
          <w:sz w:val="24"/>
          <w:highlight w:val="none"/>
        </w:rPr>
      </w:pPr>
    </w:p>
    <w:p w14:paraId="06180191">
      <w:pPr>
        <w:spacing w:line="360" w:lineRule="auto"/>
        <w:ind w:firstLine="435"/>
        <w:rPr>
          <w:rFonts w:hint="eastAsia" w:asciiTheme="minorEastAsia" w:hAnsiTheme="minorEastAsia" w:eastAsiaTheme="minorEastAsia"/>
          <w:color w:val="auto"/>
          <w:sz w:val="24"/>
          <w:highlight w:val="none"/>
        </w:rPr>
      </w:pPr>
    </w:p>
    <w:p w14:paraId="4B5DF7D1">
      <w:pPr>
        <w:spacing w:line="360" w:lineRule="auto"/>
        <w:ind w:firstLine="435"/>
        <w:rPr>
          <w:rFonts w:hint="eastAsia" w:asciiTheme="minorEastAsia" w:hAnsiTheme="minorEastAsia" w:eastAsiaTheme="minorEastAsia"/>
          <w:color w:val="auto"/>
          <w:sz w:val="24"/>
          <w:highlight w:val="none"/>
        </w:rPr>
      </w:pPr>
    </w:p>
    <w:p w14:paraId="3ACC7050">
      <w:pPr>
        <w:spacing w:line="360" w:lineRule="auto"/>
        <w:ind w:firstLine="435"/>
        <w:rPr>
          <w:rFonts w:hint="eastAsia" w:asciiTheme="minorEastAsia" w:hAnsiTheme="minorEastAsia" w:eastAsiaTheme="minorEastAsia"/>
          <w:color w:val="auto"/>
          <w:sz w:val="24"/>
          <w:highlight w:val="none"/>
        </w:rPr>
      </w:pPr>
    </w:p>
    <w:p w14:paraId="59938AC7">
      <w:pPr>
        <w:spacing w:line="360" w:lineRule="auto"/>
        <w:jc w:val="center"/>
        <w:rPr>
          <w:rFonts w:hint="eastAsia" w:ascii="宋体" w:hAnsi="宋体" w:eastAsia="宋体" w:cs="宋体"/>
          <w:b/>
          <w:bCs/>
          <w:color w:val="auto"/>
          <w:kern w:val="36"/>
          <w:sz w:val="36"/>
          <w:szCs w:val="36"/>
          <w:highlight w:val="none"/>
          <w:u w:val="single"/>
          <w:lang w:eastAsia="zh-CN"/>
        </w:rPr>
      </w:pPr>
      <w:r>
        <w:rPr>
          <w:rFonts w:hint="eastAsia" w:ascii="宋体" w:hAnsi="宋体" w:cs="宋体"/>
          <w:b/>
          <w:bCs/>
          <w:color w:val="auto"/>
          <w:kern w:val="36"/>
          <w:sz w:val="36"/>
          <w:szCs w:val="36"/>
          <w:highlight w:val="none"/>
          <w:u w:val="single"/>
          <w:lang w:eastAsia="zh-CN"/>
        </w:rPr>
        <w:t>苏大堰排涝站水泵故障维修</w:t>
      </w:r>
    </w:p>
    <w:p w14:paraId="38955265">
      <w:pPr>
        <w:spacing w:line="360" w:lineRule="auto"/>
        <w:jc w:val="center"/>
        <w:rPr>
          <w:rFonts w:hint="eastAsia" w:ascii="宋体" w:hAnsi="宋体" w:cs="宋体"/>
          <w:b/>
          <w:bCs/>
          <w:color w:val="auto"/>
          <w:kern w:val="36"/>
          <w:sz w:val="36"/>
          <w:szCs w:val="36"/>
          <w:highlight w:val="none"/>
        </w:rPr>
      </w:pPr>
      <w:r>
        <w:rPr>
          <w:rFonts w:hint="eastAsia" w:ascii="宋体" w:hAnsi="宋体" w:cs="宋体"/>
          <w:b/>
          <w:bCs/>
          <w:color w:val="auto"/>
          <w:kern w:val="36"/>
          <w:sz w:val="36"/>
          <w:szCs w:val="36"/>
          <w:highlight w:val="none"/>
        </w:rPr>
        <w:t>竞争性磋商二轮报价表</w:t>
      </w:r>
    </w:p>
    <w:p w14:paraId="430F4C00">
      <w:pPr>
        <w:spacing w:line="360" w:lineRule="auto"/>
        <w:jc w:val="center"/>
        <w:rPr>
          <w:rFonts w:hint="default" w:ascii="宋体" w:hAnsi="宋体" w:eastAsia="宋体" w:cs="宋体"/>
          <w:color w:val="auto"/>
          <w:kern w:val="36"/>
          <w:sz w:val="28"/>
          <w:szCs w:val="28"/>
          <w:highlight w:val="none"/>
          <w:lang w:val="en-US" w:eastAsia="zh-CN"/>
        </w:rPr>
      </w:pPr>
      <w:r>
        <w:rPr>
          <w:rFonts w:hint="eastAsia" w:ascii="宋体" w:hAnsi="宋体" w:cs="宋体"/>
          <w:color w:val="auto"/>
          <w:kern w:val="36"/>
          <w:sz w:val="28"/>
          <w:szCs w:val="28"/>
          <w:highlight w:val="none"/>
        </w:rPr>
        <w:t>项目编号：</w:t>
      </w:r>
      <w:r>
        <w:rPr>
          <w:rFonts w:hint="eastAsia" w:ascii="宋体" w:hAnsi="宋体" w:cs="宋体"/>
          <w:color w:val="auto"/>
          <w:kern w:val="36"/>
          <w:sz w:val="28"/>
          <w:szCs w:val="28"/>
          <w:highlight w:val="none"/>
          <w:lang w:val="en-US" w:eastAsia="zh-CN"/>
        </w:rPr>
        <w:t>LAHL20261002</w:t>
      </w:r>
    </w:p>
    <w:p w14:paraId="4EA26D03">
      <w:pPr>
        <w:spacing w:line="64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致：</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采购人)</w:t>
      </w:r>
    </w:p>
    <w:p w14:paraId="13DFFD8B">
      <w:pPr>
        <w:spacing w:line="64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1、我方愿在磋商响应性文件报价的基础上再次让利，让利后最终报价为（大写)</w:t>
      </w:r>
      <w:r>
        <w:rPr>
          <w:rFonts w:hint="eastAsia" w:ascii="宋体" w:hAnsi="宋体" w:cs="宋体"/>
          <w:color w:val="auto"/>
          <w:sz w:val="28"/>
          <w:szCs w:val="28"/>
          <w:highlight w:val="none"/>
          <w:u w:val="single"/>
        </w:rPr>
        <w:t>　　　　</w:t>
      </w:r>
      <w:r>
        <w:rPr>
          <w:rFonts w:hint="eastAsia" w:ascii="宋体" w:hAnsi="宋体" w:cs="宋体"/>
          <w:color w:val="auto"/>
          <w:sz w:val="28"/>
          <w:szCs w:val="28"/>
          <w:highlight w:val="none"/>
        </w:rPr>
        <w:t>元（小写)</w:t>
      </w:r>
      <w:r>
        <w:rPr>
          <w:rFonts w:hint="eastAsia" w:ascii="宋体" w:hAnsi="宋体" w:cs="宋体"/>
          <w:color w:val="auto"/>
          <w:sz w:val="28"/>
          <w:szCs w:val="28"/>
          <w:highlight w:val="none"/>
          <w:u w:val="single"/>
        </w:rPr>
        <w:t>　    　</w:t>
      </w:r>
      <w:r>
        <w:rPr>
          <w:rFonts w:hint="eastAsia" w:ascii="宋体" w:hAnsi="宋体" w:cs="宋体"/>
          <w:color w:val="auto"/>
          <w:sz w:val="28"/>
          <w:szCs w:val="28"/>
          <w:highlight w:val="none"/>
        </w:rPr>
        <w:t>元。如果我方有幸成为成交单位，服务费用为所委托项目范围内全部工作，该费用不再调整。</w:t>
      </w:r>
    </w:p>
    <w:p w14:paraId="0B261A77">
      <w:pPr>
        <w:spacing w:line="64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2、其他部分与响应性文件内容一致。</w:t>
      </w:r>
    </w:p>
    <w:p w14:paraId="6FDEAFC3">
      <w:pPr>
        <w:ind w:firstLine="2800" w:firstLineChars="1000"/>
        <w:rPr>
          <w:rFonts w:hint="eastAsia" w:ascii="宋体" w:hAnsi="宋体" w:cs="宋体"/>
          <w:color w:val="auto"/>
          <w:sz w:val="28"/>
          <w:szCs w:val="28"/>
          <w:highlight w:val="none"/>
        </w:rPr>
      </w:pPr>
    </w:p>
    <w:p w14:paraId="010B7172">
      <w:pPr>
        <w:ind w:firstLine="2800" w:firstLineChars="1000"/>
        <w:rPr>
          <w:rFonts w:hint="eastAsia" w:ascii="宋体" w:hAnsi="宋体" w:cs="宋体"/>
          <w:color w:val="auto"/>
          <w:sz w:val="28"/>
          <w:szCs w:val="28"/>
          <w:highlight w:val="none"/>
        </w:rPr>
      </w:pPr>
      <w:r>
        <w:rPr>
          <w:rFonts w:hint="eastAsia" w:ascii="宋体" w:hAnsi="宋体" w:cs="宋体"/>
          <w:color w:val="auto"/>
          <w:sz w:val="28"/>
          <w:szCs w:val="28"/>
          <w:highlight w:val="none"/>
        </w:rPr>
        <w:t xml:space="preserve">供应商： </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 xml:space="preserve">     </w:t>
      </w:r>
      <w:r>
        <w:rPr>
          <w:rFonts w:hint="eastAsia" w:ascii="宋体" w:hAnsi="宋体" w:cs="宋体"/>
          <w:color w:val="auto"/>
          <w:sz w:val="28"/>
          <w:szCs w:val="28"/>
          <w:highlight w:val="none"/>
          <w:u w:val="single"/>
        </w:rPr>
        <w:t xml:space="preserve">      （盖章）</w:t>
      </w:r>
    </w:p>
    <w:p w14:paraId="3F67E9F7">
      <w:pPr>
        <w:ind w:firstLine="2800" w:firstLineChars="1000"/>
        <w:rPr>
          <w:rFonts w:hint="eastAsia" w:ascii="宋体" w:hAnsi="宋体" w:cs="宋体"/>
          <w:color w:val="auto"/>
          <w:sz w:val="28"/>
          <w:szCs w:val="28"/>
          <w:highlight w:val="none"/>
        </w:rPr>
      </w:pPr>
      <w:r>
        <w:rPr>
          <w:rFonts w:hint="eastAsia" w:ascii="宋体" w:hAnsi="宋体" w:cs="宋体"/>
          <w:color w:val="auto"/>
          <w:sz w:val="28"/>
          <w:szCs w:val="28"/>
          <w:highlight w:val="none"/>
        </w:rPr>
        <w:t>法定代表人或委托代理人：</w:t>
      </w:r>
      <w:r>
        <w:rPr>
          <w:rFonts w:hint="eastAsia" w:ascii="宋体" w:hAnsi="宋体" w:cs="宋体"/>
          <w:color w:val="auto"/>
          <w:sz w:val="28"/>
          <w:szCs w:val="28"/>
          <w:highlight w:val="none"/>
          <w:u w:val="single"/>
        </w:rPr>
        <w:t xml:space="preserve">    （签字或盖章）</w:t>
      </w:r>
    </w:p>
    <w:p w14:paraId="5A203AF4">
      <w:pPr>
        <w:spacing w:line="360" w:lineRule="auto"/>
        <w:rPr>
          <w:rFonts w:hint="eastAsia" w:ascii="宋体" w:hAnsi="宋体" w:cs="宋体"/>
          <w:color w:val="auto"/>
          <w:sz w:val="24"/>
          <w:highlight w:val="none"/>
        </w:rPr>
      </w:pPr>
      <w:r>
        <w:rPr>
          <w:rFonts w:hint="eastAsia" w:ascii="宋体" w:hAnsi="宋体" w:cs="宋体"/>
          <w:color w:val="auto"/>
          <w:sz w:val="28"/>
          <w:szCs w:val="28"/>
          <w:highlight w:val="none"/>
        </w:rPr>
        <w:t xml:space="preserve">                            日   期：</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年</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月</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日</w:t>
      </w:r>
    </w:p>
    <w:p w14:paraId="4532F294">
      <w:pPr>
        <w:rPr>
          <w:rFonts w:hint="eastAsia" w:ascii="宋体" w:hAnsi="宋体" w:cs="宋体"/>
          <w:b/>
          <w:color w:val="auto"/>
          <w:sz w:val="28"/>
          <w:szCs w:val="28"/>
          <w:highlight w:val="none"/>
        </w:rPr>
      </w:pPr>
    </w:p>
    <w:p w14:paraId="6694DF8C">
      <w:pPr>
        <w:rPr>
          <w:rFonts w:hint="eastAsia" w:ascii="宋体" w:hAnsi="宋体" w:cs="宋体"/>
          <w:b/>
          <w:color w:val="auto"/>
          <w:sz w:val="28"/>
          <w:szCs w:val="28"/>
          <w:highlight w:val="none"/>
        </w:rPr>
      </w:pPr>
      <w:r>
        <w:rPr>
          <w:rFonts w:hint="eastAsia" w:ascii="宋体" w:hAnsi="宋体" w:cs="宋体"/>
          <w:b/>
          <w:color w:val="auto"/>
          <w:sz w:val="28"/>
          <w:szCs w:val="28"/>
          <w:highlight w:val="none"/>
        </w:rPr>
        <w:t>注：1、本表无需附在响应文件中，二轮报价只报总价，结算时按一、二轮报价下降比例同比例调整各分项单价（如有），各供应商单独备足空白“二轮报价表”并加盖单位公章，用于第二次报价时填写。</w:t>
      </w:r>
    </w:p>
    <w:p w14:paraId="7E7145D6">
      <w:pPr>
        <w:rPr>
          <w:rFonts w:hint="eastAsia" w:ascii="宋体" w:hAnsi="宋体" w:cs="宋体"/>
          <w:bCs/>
          <w:color w:val="auto"/>
          <w:sz w:val="24"/>
          <w:szCs w:val="24"/>
          <w:highlight w:val="none"/>
        </w:rPr>
      </w:pPr>
    </w:p>
    <w:p w14:paraId="2D595550">
      <w:pPr>
        <w:spacing w:line="360" w:lineRule="auto"/>
        <w:ind w:firstLine="435"/>
        <w:rPr>
          <w:rFonts w:hint="eastAsia" w:asciiTheme="minorEastAsia" w:hAnsiTheme="minorEastAsia" w:eastAsiaTheme="minorEastAsia"/>
          <w:color w:val="auto"/>
          <w:sz w:val="24"/>
          <w:highlight w:val="none"/>
        </w:rPr>
      </w:pPr>
    </w:p>
    <w:sectPr>
      <w:headerReference r:id="rId6" w:type="default"/>
      <w:footerReference r:id="rId7"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89E623C2-4236-483B-9223-0E615B49DF83}"/>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0D066CFB-15FF-469F-AE13-26CAB7ABA6B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80D7B8E8-43F0-4D5D-9288-9C0C57DC422D}"/>
  </w:font>
  <w:font w:name="@微软简标宋">
    <w:altName w:val="宋体"/>
    <w:panose1 w:val="00000000000000000000"/>
    <w:charset w:val="86"/>
    <w:family w:val="auto"/>
    <w:pitch w:val="default"/>
    <w:sig w:usb0="00000000" w:usb1="00000000" w:usb2="0000001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仿宋_GB2312">
    <w:panose1 w:val="02000000000000000000"/>
    <w:charset w:val="86"/>
    <w:family w:val="auto"/>
    <w:pitch w:val="default"/>
    <w:sig w:usb0="A00002BF" w:usb1="184F6CFA" w:usb2="00000012" w:usb3="00000000" w:csb0="00040001" w:csb1="00000000"/>
    <w:embedRegular r:id="rId4" w:fontKey="{13F60A90-97CA-4ACB-B27F-0489BB8AB1B9}"/>
  </w:font>
  <w:font w:name="仿宋">
    <w:panose1 w:val="02010609060101010101"/>
    <w:charset w:val="86"/>
    <w:family w:val="auto"/>
    <w:pitch w:val="default"/>
    <w:sig w:usb0="800002BF" w:usb1="38CF7CFA" w:usb2="00000016" w:usb3="00000000" w:csb0="00040001" w:csb1="00000000"/>
    <w:embedRegular r:id="rId5" w:fontKey="{C1972110-5A93-4E1F-BADC-73CDB90A8DA3}"/>
  </w:font>
  <w:font w:name="WPSEMBED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0F970">
    <w:pPr>
      <w:pStyle w:val="17"/>
      <w:jc w:val="center"/>
    </w:pPr>
    <w:r>
      <w:rPr>
        <w:sz w:val="18"/>
      </w:rPr>
      <mc:AlternateContent>
        <mc:Choice Requires="wps">
          <w:drawing>
            <wp:anchor distT="0" distB="0" distL="114300" distR="114300" simplePos="0" relativeHeight="251660288" behindDoc="0" locked="0" layoutInCell="1" allowOverlap="1">
              <wp:simplePos x="0" y="0"/>
              <wp:positionH relativeFrom="margin">
                <wp:posOffset>1437640</wp:posOffset>
              </wp:positionH>
              <wp:positionV relativeFrom="paragraph">
                <wp:posOffset>0</wp:posOffset>
              </wp:positionV>
              <wp:extent cx="2259965" cy="264795"/>
              <wp:effectExtent l="0" t="0" r="0" b="0"/>
              <wp:wrapNone/>
              <wp:docPr id="1" name="文本框 1"/>
              <wp:cNvGraphicFramePr/>
              <a:graphic xmlns:a="http://schemas.openxmlformats.org/drawingml/2006/main">
                <a:graphicData uri="http://schemas.microsoft.com/office/word/2010/wordprocessingShape">
                  <wps:wsp>
                    <wps:cNvSpPr txBox="1"/>
                    <wps:spPr>
                      <a:xfrm>
                        <a:off x="0" y="0"/>
                        <a:ext cx="2259965" cy="264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9AD36B">
                          <w:pPr>
                            <w:pStyle w:val="17"/>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第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PAGE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1</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 共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NUMPAGES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62</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13.2pt;margin-top:0pt;height:20.85pt;width:177.95pt;mso-position-horizontal-relative:margin;z-index:251660288;mso-width-relative:page;mso-height-relative:page;" filled="f" stroked="f" coordsize="21600,21600" o:gfxdata="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MhmrIHXAAAABwEAAA8AAAAAAAAAAQAgAAAAIgAAAGRycy9kb3du&#10;cmV2LnhtbFBLAQIUABQAAAAIAIdO4kD6TA9qOQIAAGIEAAAOAAAAAAAAAAEAIAAAACYBAABkcnMv&#10;ZTJvRG9jLnhtbFBLBQYAAAAABgAGAFkBAADRBQAAAAA=&#10;">
              <v:fill on="f" focussize="0,0"/>
              <v:stroke on="f" weight="0.5pt"/>
              <v:imagedata o:title=""/>
              <o:lock v:ext="edit" aspectratio="f"/>
              <v:textbox inset="0mm,0mm,0mm,0mm">
                <w:txbxContent>
                  <w:p w14:paraId="589AD36B">
                    <w:pPr>
                      <w:pStyle w:val="17"/>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第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PAGE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1</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 共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NUMPAGES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62</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6A9C7">
    <w:pPr>
      <w:spacing w:line="189" w:lineRule="auto"/>
      <w:ind w:left="4430"/>
      <w:rPr>
        <w:rFonts w:hint="eastAsia" w:cs="@仿宋_GB2312" w:asciiTheme="minorEastAsia" w:hAnsiTheme="minorEastAsia" w:eastAsiaTheme="minorEastAsia"/>
        <w:kern w:val="2"/>
        <w:sz w:val="21"/>
        <w:szCs w:val="21"/>
        <w:lang w:val="en-US" w:eastAsia="zh-CN" w:bidi="ar-SA"/>
      </w:rPr>
    </w:pPr>
    <w:r>
      <w:rPr>
        <w:rFonts w:hint="eastAsia" w:cs="@仿宋_GB2312" w:asciiTheme="minorEastAsia" w:hAnsiTheme="minorEastAsia" w:eastAsiaTheme="minorEastAsia"/>
        <w:kern w:val="2"/>
        <w:sz w:val="21"/>
        <w:szCs w:val="21"/>
        <w:lang w:val="en-US" w:eastAsia="zh-CN" w:bidi="ar-SA"/>
      </w:rPr>
      <mc:AlternateContent>
        <mc:Choice Requires="wps">
          <w:drawing>
            <wp:anchor distT="0" distB="0" distL="114300" distR="114300" simplePos="0" relativeHeight="251659264" behindDoc="0" locked="0" layoutInCell="1" allowOverlap="1">
              <wp:simplePos x="0" y="0"/>
              <wp:positionH relativeFrom="margin">
                <wp:posOffset>2345055</wp:posOffset>
              </wp:positionH>
              <wp:positionV relativeFrom="paragraph">
                <wp:posOffset>0</wp:posOffset>
              </wp:positionV>
              <wp:extent cx="1858645" cy="23368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58645" cy="2336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AB57F6">
                          <w:pPr>
                            <w:pStyle w:val="17"/>
                            <w:rPr>
                              <w:rFonts w:hint="eastAsia" w:ascii="方正仿宋_GB2312" w:hAnsi="方正仿宋_GB2312" w:eastAsia="方正仿宋_GB2312" w:cs="方正仿宋_GB2312"/>
                              <w:b/>
                              <w:bCs/>
                              <w:sz w:val="21"/>
                              <w:szCs w:val="21"/>
                            </w:rPr>
                          </w:pPr>
                          <w:r>
                            <w:rPr>
                              <w:rFonts w:hint="eastAsia" w:ascii="方正仿宋_GB2312" w:hAnsi="方正仿宋_GB2312" w:eastAsia="方正仿宋_GB2312" w:cs="方正仿宋_GB2312"/>
                              <w:b w:val="0"/>
                              <w:bCs w:val="0"/>
                              <w:sz w:val="21"/>
                              <w:szCs w:val="21"/>
                            </w:rPr>
                            <w:t xml:space="preserve">第 </w:t>
                          </w:r>
                          <w:r>
                            <w:rPr>
                              <w:rFonts w:hint="eastAsia" w:ascii="方正仿宋_GB2312" w:hAnsi="方正仿宋_GB2312" w:eastAsia="方正仿宋_GB2312" w:cs="方正仿宋_GB2312"/>
                              <w:b w:val="0"/>
                              <w:bCs w:val="0"/>
                              <w:sz w:val="21"/>
                              <w:szCs w:val="21"/>
                            </w:rPr>
                            <w:fldChar w:fldCharType="begin"/>
                          </w:r>
                          <w:r>
                            <w:rPr>
                              <w:rFonts w:hint="eastAsia" w:ascii="方正仿宋_GB2312" w:hAnsi="方正仿宋_GB2312" w:eastAsia="方正仿宋_GB2312" w:cs="方正仿宋_GB2312"/>
                              <w:b w:val="0"/>
                              <w:bCs w:val="0"/>
                              <w:sz w:val="21"/>
                              <w:szCs w:val="21"/>
                            </w:rPr>
                            <w:instrText xml:space="preserve"> PAGE  \* MERGEFORMAT </w:instrText>
                          </w:r>
                          <w:r>
                            <w:rPr>
                              <w:rFonts w:hint="eastAsia" w:ascii="方正仿宋_GB2312" w:hAnsi="方正仿宋_GB2312" w:eastAsia="方正仿宋_GB2312" w:cs="方正仿宋_GB2312"/>
                              <w:b w:val="0"/>
                              <w:bCs w:val="0"/>
                              <w:sz w:val="21"/>
                              <w:szCs w:val="21"/>
                            </w:rPr>
                            <w:fldChar w:fldCharType="separate"/>
                          </w:r>
                          <w:r>
                            <w:rPr>
                              <w:rFonts w:hint="eastAsia" w:ascii="方正仿宋_GB2312" w:hAnsi="方正仿宋_GB2312" w:eastAsia="方正仿宋_GB2312" w:cs="方正仿宋_GB2312"/>
                              <w:b w:val="0"/>
                              <w:bCs w:val="0"/>
                              <w:sz w:val="21"/>
                              <w:szCs w:val="21"/>
                            </w:rPr>
                            <w:t>52</w:t>
                          </w:r>
                          <w:r>
                            <w:rPr>
                              <w:rFonts w:hint="eastAsia" w:ascii="方正仿宋_GB2312" w:hAnsi="方正仿宋_GB2312" w:eastAsia="方正仿宋_GB2312" w:cs="方正仿宋_GB2312"/>
                              <w:b w:val="0"/>
                              <w:bCs w:val="0"/>
                              <w:sz w:val="21"/>
                              <w:szCs w:val="21"/>
                            </w:rPr>
                            <w:fldChar w:fldCharType="end"/>
                          </w:r>
                          <w:r>
                            <w:rPr>
                              <w:rFonts w:hint="eastAsia" w:ascii="方正仿宋_GB2312" w:hAnsi="方正仿宋_GB2312" w:eastAsia="方正仿宋_GB2312" w:cs="方正仿宋_GB2312"/>
                              <w:b w:val="0"/>
                              <w:bCs w:val="0"/>
                              <w:sz w:val="21"/>
                              <w:szCs w:val="21"/>
                            </w:rPr>
                            <w:t xml:space="preserve"> 页 共 </w:t>
                          </w:r>
                          <w:r>
                            <w:rPr>
                              <w:rFonts w:hint="eastAsia" w:ascii="方正仿宋_GB2312" w:hAnsi="方正仿宋_GB2312" w:eastAsia="方正仿宋_GB2312" w:cs="方正仿宋_GB2312"/>
                              <w:b w:val="0"/>
                              <w:bCs w:val="0"/>
                              <w:sz w:val="21"/>
                              <w:szCs w:val="21"/>
                            </w:rPr>
                            <w:fldChar w:fldCharType="begin"/>
                          </w:r>
                          <w:r>
                            <w:rPr>
                              <w:rFonts w:hint="eastAsia" w:ascii="方正仿宋_GB2312" w:hAnsi="方正仿宋_GB2312" w:eastAsia="方正仿宋_GB2312" w:cs="方正仿宋_GB2312"/>
                              <w:b w:val="0"/>
                              <w:bCs w:val="0"/>
                              <w:sz w:val="21"/>
                              <w:szCs w:val="21"/>
                            </w:rPr>
                            <w:instrText xml:space="preserve"> NUMPAGES  \* MERGEFORMAT </w:instrText>
                          </w:r>
                          <w:r>
                            <w:rPr>
                              <w:rFonts w:hint="eastAsia" w:ascii="方正仿宋_GB2312" w:hAnsi="方正仿宋_GB2312" w:eastAsia="方正仿宋_GB2312" w:cs="方正仿宋_GB2312"/>
                              <w:b w:val="0"/>
                              <w:bCs w:val="0"/>
                              <w:sz w:val="21"/>
                              <w:szCs w:val="21"/>
                            </w:rPr>
                            <w:fldChar w:fldCharType="separate"/>
                          </w:r>
                          <w:r>
                            <w:rPr>
                              <w:rFonts w:hint="eastAsia" w:ascii="方正仿宋_GB2312" w:hAnsi="方正仿宋_GB2312" w:eastAsia="方正仿宋_GB2312" w:cs="方正仿宋_GB2312"/>
                              <w:b w:val="0"/>
                              <w:bCs w:val="0"/>
                              <w:sz w:val="21"/>
                              <w:szCs w:val="21"/>
                            </w:rPr>
                            <w:t>62</w:t>
                          </w:r>
                          <w:r>
                            <w:rPr>
                              <w:rFonts w:hint="eastAsia" w:ascii="方正仿宋_GB2312" w:hAnsi="方正仿宋_GB2312" w:eastAsia="方正仿宋_GB2312" w:cs="方正仿宋_GB2312"/>
                              <w:b w:val="0"/>
                              <w:bCs w:val="0"/>
                              <w:sz w:val="21"/>
                              <w:szCs w:val="21"/>
                            </w:rPr>
                            <w:fldChar w:fldCharType="end"/>
                          </w:r>
                          <w:r>
                            <w:rPr>
                              <w:rFonts w:hint="eastAsia" w:ascii="方正仿宋_GB2312" w:hAnsi="方正仿宋_GB2312" w:eastAsia="方正仿宋_GB2312" w:cs="方正仿宋_GB2312"/>
                              <w:b w:val="0"/>
                              <w:bCs w:val="0"/>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84.65pt;margin-top:0pt;height:18.4pt;width:146.35pt;mso-position-horizontal-relative:margin;z-index:251659264;mso-width-relative:page;mso-height-relative:page;" filled="f" stroked="f" coordsize="21600,21600" o:gfxdata="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Wu1mA9UAAAAHAQAADwAAAAAAAAABACAAAAAiAAAAZHJzL2Rvd25yZXYu&#10;eG1sUEsBAhQAFAAAAAgAh07iQCg63Ww3AgAAYgQAAA4AAAAAAAAAAQAgAAAAJAEAAGRycy9lMm9E&#10;b2MueG1sUEsFBgAAAAAGAAYAWQEAAM0FAAAAAA==&#10;">
              <v:fill on="f" focussize="0,0"/>
              <v:stroke on="f" weight="0.5pt"/>
              <v:imagedata o:title=""/>
              <o:lock v:ext="edit" aspectratio="f"/>
              <v:textbox inset="0mm,0mm,0mm,0mm">
                <w:txbxContent>
                  <w:p w14:paraId="37AB57F6">
                    <w:pPr>
                      <w:pStyle w:val="17"/>
                      <w:rPr>
                        <w:rFonts w:hint="eastAsia" w:ascii="方正仿宋_GB2312" w:hAnsi="方正仿宋_GB2312" w:eastAsia="方正仿宋_GB2312" w:cs="方正仿宋_GB2312"/>
                        <w:b/>
                        <w:bCs/>
                        <w:sz w:val="21"/>
                        <w:szCs w:val="21"/>
                      </w:rPr>
                    </w:pPr>
                    <w:r>
                      <w:rPr>
                        <w:rFonts w:hint="eastAsia" w:ascii="方正仿宋_GB2312" w:hAnsi="方正仿宋_GB2312" w:eastAsia="方正仿宋_GB2312" w:cs="方正仿宋_GB2312"/>
                        <w:b w:val="0"/>
                        <w:bCs w:val="0"/>
                        <w:sz w:val="21"/>
                        <w:szCs w:val="21"/>
                      </w:rPr>
                      <w:t xml:space="preserve">第 </w:t>
                    </w:r>
                    <w:r>
                      <w:rPr>
                        <w:rFonts w:hint="eastAsia" w:ascii="方正仿宋_GB2312" w:hAnsi="方正仿宋_GB2312" w:eastAsia="方正仿宋_GB2312" w:cs="方正仿宋_GB2312"/>
                        <w:b w:val="0"/>
                        <w:bCs w:val="0"/>
                        <w:sz w:val="21"/>
                        <w:szCs w:val="21"/>
                      </w:rPr>
                      <w:fldChar w:fldCharType="begin"/>
                    </w:r>
                    <w:r>
                      <w:rPr>
                        <w:rFonts w:hint="eastAsia" w:ascii="方正仿宋_GB2312" w:hAnsi="方正仿宋_GB2312" w:eastAsia="方正仿宋_GB2312" w:cs="方正仿宋_GB2312"/>
                        <w:b w:val="0"/>
                        <w:bCs w:val="0"/>
                        <w:sz w:val="21"/>
                        <w:szCs w:val="21"/>
                      </w:rPr>
                      <w:instrText xml:space="preserve"> PAGE  \* MERGEFORMAT </w:instrText>
                    </w:r>
                    <w:r>
                      <w:rPr>
                        <w:rFonts w:hint="eastAsia" w:ascii="方正仿宋_GB2312" w:hAnsi="方正仿宋_GB2312" w:eastAsia="方正仿宋_GB2312" w:cs="方正仿宋_GB2312"/>
                        <w:b w:val="0"/>
                        <w:bCs w:val="0"/>
                        <w:sz w:val="21"/>
                        <w:szCs w:val="21"/>
                      </w:rPr>
                      <w:fldChar w:fldCharType="separate"/>
                    </w:r>
                    <w:r>
                      <w:rPr>
                        <w:rFonts w:hint="eastAsia" w:ascii="方正仿宋_GB2312" w:hAnsi="方正仿宋_GB2312" w:eastAsia="方正仿宋_GB2312" w:cs="方正仿宋_GB2312"/>
                        <w:b w:val="0"/>
                        <w:bCs w:val="0"/>
                        <w:sz w:val="21"/>
                        <w:szCs w:val="21"/>
                      </w:rPr>
                      <w:t>52</w:t>
                    </w:r>
                    <w:r>
                      <w:rPr>
                        <w:rFonts w:hint="eastAsia" w:ascii="方正仿宋_GB2312" w:hAnsi="方正仿宋_GB2312" w:eastAsia="方正仿宋_GB2312" w:cs="方正仿宋_GB2312"/>
                        <w:b w:val="0"/>
                        <w:bCs w:val="0"/>
                        <w:sz w:val="21"/>
                        <w:szCs w:val="21"/>
                      </w:rPr>
                      <w:fldChar w:fldCharType="end"/>
                    </w:r>
                    <w:r>
                      <w:rPr>
                        <w:rFonts w:hint="eastAsia" w:ascii="方正仿宋_GB2312" w:hAnsi="方正仿宋_GB2312" w:eastAsia="方正仿宋_GB2312" w:cs="方正仿宋_GB2312"/>
                        <w:b w:val="0"/>
                        <w:bCs w:val="0"/>
                        <w:sz w:val="21"/>
                        <w:szCs w:val="21"/>
                      </w:rPr>
                      <w:t xml:space="preserve"> 页 共 </w:t>
                    </w:r>
                    <w:r>
                      <w:rPr>
                        <w:rFonts w:hint="eastAsia" w:ascii="方正仿宋_GB2312" w:hAnsi="方正仿宋_GB2312" w:eastAsia="方正仿宋_GB2312" w:cs="方正仿宋_GB2312"/>
                        <w:b w:val="0"/>
                        <w:bCs w:val="0"/>
                        <w:sz w:val="21"/>
                        <w:szCs w:val="21"/>
                      </w:rPr>
                      <w:fldChar w:fldCharType="begin"/>
                    </w:r>
                    <w:r>
                      <w:rPr>
                        <w:rFonts w:hint="eastAsia" w:ascii="方正仿宋_GB2312" w:hAnsi="方正仿宋_GB2312" w:eastAsia="方正仿宋_GB2312" w:cs="方正仿宋_GB2312"/>
                        <w:b w:val="0"/>
                        <w:bCs w:val="0"/>
                        <w:sz w:val="21"/>
                        <w:szCs w:val="21"/>
                      </w:rPr>
                      <w:instrText xml:space="preserve"> NUMPAGES  \* MERGEFORMAT </w:instrText>
                    </w:r>
                    <w:r>
                      <w:rPr>
                        <w:rFonts w:hint="eastAsia" w:ascii="方正仿宋_GB2312" w:hAnsi="方正仿宋_GB2312" w:eastAsia="方正仿宋_GB2312" w:cs="方正仿宋_GB2312"/>
                        <w:b w:val="0"/>
                        <w:bCs w:val="0"/>
                        <w:sz w:val="21"/>
                        <w:szCs w:val="21"/>
                      </w:rPr>
                      <w:fldChar w:fldCharType="separate"/>
                    </w:r>
                    <w:r>
                      <w:rPr>
                        <w:rFonts w:hint="eastAsia" w:ascii="方正仿宋_GB2312" w:hAnsi="方正仿宋_GB2312" w:eastAsia="方正仿宋_GB2312" w:cs="方正仿宋_GB2312"/>
                        <w:b w:val="0"/>
                        <w:bCs w:val="0"/>
                        <w:sz w:val="21"/>
                        <w:szCs w:val="21"/>
                      </w:rPr>
                      <w:t>62</w:t>
                    </w:r>
                    <w:r>
                      <w:rPr>
                        <w:rFonts w:hint="eastAsia" w:ascii="方正仿宋_GB2312" w:hAnsi="方正仿宋_GB2312" w:eastAsia="方正仿宋_GB2312" w:cs="方正仿宋_GB2312"/>
                        <w:b w:val="0"/>
                        <w:bCs w:val="0"/>
                        <w:sz w:val="21"/>
                        <w:szCs w:val="21"/>
                      </w:rPr>
                      <w:fldChar w:fldCharType="end"/>
                    </w:r>
                    <w:r>
                      <w:rPr>
                        <w:rFonts w:hint="eastAsia" w:ascii="方正仿宋_GB2312" w:hAnsi="方正仿宋_GB2312" w:eastAsia="方正仿宋_GB2312" w:cs="方正仿宋_GB2312"/>
                        <w:b w:val="0"/>
                        <w:bCs w:val="0"/>
                        <w:sz w:val="21"/>
                        <w:szCs w:val="21"/>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EC25E">
    <w:pPr>
      <w:pStyle w:val="17"/>
      <w:rPr>
        <w:rFonts w:asciiTheme="minorEastAsia" w:hAnsiTheme="minorEastAsia" w:eastAsiaTheme="minorEastAsia"/>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posOffset>2066925</wp:posOffset>
              </wp:positionH>
              <wp:positionV relativeFrom="paragraph">
                <wp:posOffset>0</wp:posOffset>
              </wp:positionV>
              <wp:extent cx="2005965" cy="264795"/>
              <wp:effectExtent l="0" t="0" r="0" b="0"/>
              <wp:wrapNone/>
              <wp:docPr id="4" name="文本框 4"/>
              <wp:cNvGraphicFramePr/>
              <a:graphic xmlns:a="http://schemas.openxmlformats.org/drawingml/2006/main">
                <a:graphicData uri="http://schemas.microsoft.com/office/word/2010/wordprocessingShape">
                  <wps:wsp>
                    <wps:cNvSpPr txBox="1"/>
                    <wps:spPr>
                      <a:xfrm>
                        <a:off x="0" y="0"/>
                        <a:ext cx="2005965" cy="264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AB1127">
                          <w:pPr>
                            <w:pStyle w:val="17"/>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第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PAGE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55</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 共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NUMPAGES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62</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62.75pt;margin-top:0pt;height:20.85pt;width:157.95pt;mso-position-horizontal-relative:margin;z-index:251659264;mso-width-relative:page;mso-height-relative:page;" filled="f" stroked="f" coordsize="21600,21600" o:gfxdata="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tEi8n1gAAAAcBAAAPAAAAAAAAAAEAIAAAACIAAABkcnMvZG93bnJldi54bWxQ&#10;SwECFAAUAAAACACHTuJAePiTTjICAABWBAAADgAAAAAAAAABACAAAAAlAQAAZHJzL2Uyb0RvYy54&#10;bWxQSwUGAAAAAAYABgBZAQAAyQUAAAAA&#10;">
              <v:fill on="f" focussize="0,0"/>
              <v:stroke on="f" weight="0.5pt"/>
              <v:imagedata o:title=""/>
              <o:lock v:ext="edit" aspectratio="f"/>
              <v:textbox inset="0mm,0mm,0mm,0mm">
                <w:txbxContent>
                  <w:p w14:paraId="3FAB1127">
                    <w:pPr>
                      <w:pStyle w:val="17"/>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第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PAGE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55</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 共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NUMPAGES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62</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88377">
    <w:pPr>
      <w:pStyle w:val="18"/>
      <w:jc w:val="cente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3C4E3">
    <w:pPr>
      <w:pStyle w:val="18"/>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3532DA"/>
    <w:multiLevelType w:val="singleLevel"/>
    <w:tmpl w:val="4E3532DA"/>
    <w:lvl w:ilvl="0" w:tentative="0">
      <w:start w:val="1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jM2I5YzE4ZjU5ZDEyZTAxYmZmZTZjYzU1OTUyNTAifQ=="/>
  </w:docVars>
  <w:rsids>
    <w:rsidRoot w:val="00276BA1"/>
    <w:rsid w:val="0000043F"/>
    <w:rsid w:val="000037F9"/>
    <w:rsid w:val="000049DA"/>
    <w:rsid w:val="00005403"/>
    <w:rsid w:val="000056B7"/>
    <w:rsid w:val="00007D87"/>
    <w:rsid w:val="000131F7"/>
    <w:rsid w:val="00014039"/>
    <w:rsid w:val="00016B6C"/>
    <w:rsid w:val="00020B57"/>
    <w:rsid w:val="00020B6D"/>
    <w:rsid w:val="000323E2"/>
    <w:rsid w:val="00040C25"/>
    <w:rsid w:val="00042139"/>
    <w:rsid w:val="00042B14"/>
    <w:rsid w:val="00044F49"/>
    <w:rsid w:val="000450C3"/>
    <w:rsid w:val="00050A3F"/>
    <w:rsid w:val="00052F95"/>
    <w:rsid w:val="00054AA3"/>
    <w:rsid w:val="00056ECB"/>
    <w:rsid w:val="00057B40"/>
    <w:rsid w:val="000648D2"/>
    <w:rsid w:val="00070E0E"/>
    <w:rsid w:val="0007146E"/>
    <w:rsid w:val="00076DB7"/>
    <w:rsid w:val="00080FEB"/>
    <w:rsid w:val="00094D41"/>
    <w:rsid w:val="00097CB9"/>
    <w:rsid w:val="000A0161"/>
    <w:rsid w:val="000A10A9"/>
    <w:rsid w:val="000A6693"/>
    <w:rsid w:val="000A7970"/>
    <w:rsid w:val="000A7D94"/>
    <w:rsid w:val="000B1511"/>
    <w:rsid w:val="000B6249"/>
    <w:rsid w:val="000C1DB1"/>
    <w:rsid w:val="000D19EC"/>
    <w:rsid w:val="000D3F37"/>
    <w:rsid w:val="000E3C74"/>
    <w:rsid w:val="000E3F9B"/>
    <w:rsid w:val="000E478E"/>
    <w:rsid w:val="000E6689"/>
    <w:rsid w:val="000F0EBF"/>
    <w:rsid w:val="000F172B"/>
    <w:rsid w:val="000F2198"/>
    <w:rsid w:val="000F39B6"/>
    <w:rsid w:val="000F3A94"/>
    <w:rsid w:val="000F5645"/>
    <w:rsid w:val="000F6B7B"/>
    <w:rsid w:val="000F6F95"/>
    <w:rsid w:val="0010021F"/>
    <w:rsid w:val="00100B0F"/>
    <w:rsid w:val="0010187C"/>
    <w:rsid w:val="0010219C"/>
    <w:rsid w:val="001037E3"/>
    <w:rsid w:val="00107022"/>
    <w:rsid w:val="0011660B"/>
    <w:rsid w:val="0012143A"/>
    <w:rsid w:val="0012203E"/>
    <w:rsid w:val="001258BA"/>
    <w:rsid w:val="00130601"/>
    <w:rsid w:val="00132F4D"/>
    <w:rsid w:val="00133EA0"/>
    <w:rsid w:val="00137249"/>
    <w:rsid w:val="00140687"/>
    <w:rsid w:val="00146421"/>
    <w:rsid w:val="00153B20"/>
    <w:rsid w:val="00155F64"/>
    <w:rsid w:val="00157856"/>
    <w:rsid w:val="00160729"/>
    <w:rsid w:val="0016455F"/>
    <w:rsid w:val="00165398"/>
    <w:rsid w:val="00166794"/>
    <w:rsid w:val="00166ED8"/>
    <w:rsid w:val="001714C9"/>
    <w:rsid w:val="00171515"/>
    <w:rsid w:val="00172B93"/>
    <w:rsid w:val="001768BC"/>
    <w:rsid w:val="0018119B"/>
    <w:rsid w:val="001844AB"/>
    <w:rsid w:val="001853C7"/>
    <w:rsid w:val="00192879"/>
    <w:rsid w:val="001944B8"/>
    <w:rsid w:val="001967D2"/>
    <w:rsid w:val="00196DA3"/>
    <w:rsid w:val="001970C3"/>
    <w:rsid w:val="001971E5"/>
    <w:rsid w:val="001A0C0F"/>
    <w:rsid w:val="001A68E5"/>
    <w:rsid w:val="001B2A54"/>
    <w:rsid w:val="001B2BA4"/>
    <w:rsid w:val="001B5014"/>
    <w:rsid w:val="001B7327"/>
    <w:rsid w:val="001C2A15"/>
    <w:rsid w:val="001D22EA"/>
    <w:rsid w:val="001D53B4"/>
    <w:rsid w:val="001E1835"/>
    <w:rsid w:val="001F28D2"/>
    <w:rsid w:val="001F2F45"/>
    <w:rsid w:val="001F3023"/>
    <w:rsid w:val="001F35F6"/>
    <w:rsid w:val="001F4AAF"/>
    <w:rsid w:val="001F74CA"/>
    <w:rsid w:val="001F7590"/>
    <w:rsid w:val="002003B6"/>
    <w:rsid w:val="0020244A"/>
    <w:rsid w:val="002049B4"/>
    <w:rsid w:val="0020520B"/>
    <w:rsid w:val="002076AD"/>
    <w:rsid w:val="00213C55"/>
    <w:rsid w:val="00223CF4"/>
    <w:rsid w:val="00224B69"/>
    <w:rsid w:val="00224C4A"/>
    <w:rsid w:val="00231187"/>
    <w:rsid w:val="0023407E"/>
    <w:rsid w:val="00240715"/>
    <w:rsid w:val="00240B40"/>
    <w:rsid w:val="00244182"/>
    <w:rsid w:val="002544A1"/>
    <w:rsid w:val="00257ECE"/>
    <w:rsid w:val="00260382"/>
    <w:rsid w:val="00260B94"/>
    <w:rsid w:val="00264F2E"/>
    <w:rsid w:val="00271245"/>
    <w:rsid w:val="00272BD6"/>
    <w:rsid w:val="00273F66"/>
    <w:rsid w:val="00274A9E"/>
    <w:rsid w:val="00276BA1"/>
    <w:rsid w:val="00280984"/>
    <w:rsid w:val="002832CF"/>
    <w:rsid w:val="00283599"/>
    <w:rsid w:val="002835E3"/>
    <w:rsid w:val="00284542"/>
    <w:rsid w:val="002A14D1"/>
    <w:rsid w:val="002A1A1D"/>
    <w:rsid w:val="002A28AD"/>
    <w:rsid w:val="002B04FD"/>
    <w:rsid w:val="002B5318"/>
    <w:rsid w:val="002B6D27"/>
    <w:rsid w:val="002B7A09"/>
    <w:rsid w:val="002C060C"/>
    <w:rsid w:val="002C078A"/>
    <w:rsid w:val="002C7F27"/>
    <w:rsid w:val="002D05DD"/>
    <w:rsid w:val="002D0E4D"/>
    <w:rsid w:val="002D2965"/>
    <w:rsid w:val="002D3D02"/>
    <w:rsid w:val="002D4CB5"/>
    <w:rsid w:val="002D5900"/>
    <w:rsid w:val="002D684B"/>
    <w:rsid w:val="002E2D3A"/>
    <w:rsid w:val="002E2E96"/>
    <w:rsid w:val="002E3B26"/>
    <w:rsid w:val="002E4AB8"/>
    <w:rsid w:val="002E7FC4"/>
    <w:rsid w:val="00310070"/>
    <w:rsid w:val="0031081B"/>
    <w:rsid w:val="003110EC"/>
    <w:rsid w:val="00312CF5"/>
    <w:rsid w:val="00314289"/>
    <w:rsid w:val="003206A6"/>
    <w:rsid w:val="0032560D"/>
    <w:rsid w:val="00327C92"/>
    <w:rsid w:val="00333292"/>
    <w:rsid w:val="003344E7"/>
    <w:rsid w:val="0033580B"/>
    <w:rsid w:val="003365E7"/>
    <w:rsid w:val="003378D5"/>
    <w:rsid w:val="00340927"/>
    <w:rsid w:val="003473D7"/>
    <w:rsid w:val="00351995"/>
    <w:rsid w:val="00351AC8"/>
    <w:rsid w:val="00353075"/>
    <w:rsid w:val="00363E02"/>
    <w:rsid w:val="00373A96"/>
    <w:rsid w:val="003826C2"/>
    <w:rsid w:val="00383728"/>
    <w:rsid w:val="00384E57"/>
    <w:rsid w:val="003903BB"/>
    <w:rsid w:val="0039195E"/>
    <w:rsid w:val="00392627"/>
    <w:rsid w:val="00394128"/>
    <w:rsid w:val="00394ADC"/>
    <w:rsid w:val="00395235"/>
    <w:rsid w:val="0039561A"/>
    <w:rsid w:val="00397C7D"/>
    <w:rsid w:val="003A004F"/>
    <w:rsid w:val="003A2158"/>
    <w:rsid w:val="003A3AC4"/>
    <w:rsid w:val="003A6B66"/>
    <w:rsid w:val="003B25A5"/>
    <w:rsid w:val="003B4130"/>
    <w:rsid w:val="003B6FA1"/>
    <w:rsid w:val="003B715B"/>
    <w:rsid w:val="003C2C62"/>
    <w:rsid w:val="003C5566"/>
    <w:rsid w:val="003C577A"/>
    <w:rsid w:val="003C7C74"/>
    <w:rsid w:val="003D1D14"/>
    <w:rsid w:val="003D6C7C"/>
    <w:rsid w:val="003D6EFB"/>
    <w:rsid w:val="003D7E52"/>
    <w:rsid w:val="003E25C6"/>
    <w:rsid w:val="003F7528"/>
    <w:rsid w:val="004011AA"/>
    <w:rsid w:val="0040202C"/>
    <w:rsid w:val="00404A8F"/>
    <w:rsid w:val="00406508"/>
    <w:rsid w:val="004110F6"/>
    <w:rsid w:val="004134F8"/>
    <w:rsid w:val="0041456E"/>
    <w:rsid w:val="004148E3"/>
    <w:rsid w:val="00414F7E"/>
    <w:rsid w:val="004164F8"/>
    <w:rsid w:val="00422224"/>
    <w:rsid w:val="00426F05"/>
    <w:rsid w:val="004328E1"/>
    <w:rsid w:val="004427B7"/>
    <w:rsid w:val="0044349F"/>
    <w:rsid w:val="00445F1F"/>
    <w:rsid w:val="00447862"/>
    <w:rsid w:val="00451F60"/>
    <w:rsid w:val="00452BB2"/>
    <w:rsid w:val="00456054"/>
    <w:rsid w:val="0045656D"/>
    <w:rsid w:val="00462D98"/>
    <w:rsid w:val="00463E7D"/>
    <w:rsid w:val="00472A44"/>
    <w:rsid w:val="00473A89"/>
    <w:rsid w:val="00475899"/>
    <w:rsid w:val="00482C78"/>
    <w:rsid w:val="00483ABC"/>
    <w:rsid w:val="0048634A"/>
    <w:rsid w:val="004874AE"/>
    <w:rsid w:val="0049056F"/>
    <w:rsid w:val="00492217"/>
    <w:rsid w:val="00494D24"/>
    <w:rsid w:val="004951D1"/>
    <w:rsid w:val="004960BB"/>
    <w:rsid w:val="004A1BA3"/>
    <w:rsid w:val="004A27D0"/>
    <w:rsid w:val="004A4D67"/>
    <w:rsid w:val="004B7E79"/>
    <w:rsid w:val="004C13CB"/>
    <w:rsid w:val="004C1AAB"/>
    <w:rsid w:val="004C5B90"/>
    <w:rsid w:val="004D3D4B"/>
    <w:rsid w:val="004D5498"/>
    <w:rsid w:val="004D66A5"/>
    <w:rsid w:val="004D6B00"/>
    <w:rsid w:val="004D732A"/>
    <w:rsid w:val="004E1D50"/>
    <w:rsid w:val="004E3266"/>
    <w:rsid w:val="004E38BA"/>
    <w:rsid w:val="004E50CA"/>
    <w:rsid w:val="004F27A0"/>
    <w:rsid w:val="0050027D"/>
    <w:rsid w:val="00501382"/>
    <w:rsid w:val="005048FB"/>
    <w:rsid w:val="00510563"/>
    <w:rsid w:val="00510798"/>
    <w:rsid w:val="005119B5"/>
    <w:rsid w:val="005125F1"/>
    <w:rsid w:val="00524A11"/>
    <w:rsid w:val="00527768"/>
    <w:rsid w:val="00530EA4"/>
    <w:rsid w:val="005327FB"/>
    <w:rsid w:val="00533251"/>
    <w:rsid w:val="00533FCA"/>
    <w:rsid w:val="005346EF"/>
    <w:rsid w:val="00542F0C"/>
    <w:rsid w:val="005470D4"/>
    <w:rsid w:val="0055705E"/>
    <w:rsid w:val="005616B5"/>
    <w:rsid w:val="00566690"/>
    <w:rsid w:val="005679A4"/>
    <w:rsid w:val="00574CE6"/>
    <w:rsid w:val="0059223D"/>
    <w:rsid w:val="0059365B"/>
    <w:rsid w:val="00593ABC"/>
    <w:rsid w:val="00597B15"/>
    <w:rsid w:val="005A044C"/>
    <w:rsid w:val="005A149F"/>
    <w:rsid w:val="005A3A32"/>
    <w:rsid w:val="005B2C9F"/>
    <w:rsid w:val="005B34C9"/>
    <w:rsid w:val="005B571E"/>
    <w:rsid w:val="005C1D52"/>
    <w:rsid w:val="005C46AC"/>
    <w:rsid w:val="005D0200"/>
    <w:rsid w:val="005D44EF"/>
    <w:rsid w:val="005D5112"/>
    <w:rsid w:val="005D5D67"/>
    <w:rsid w:val="005E2BBE"/>
    <w:rsid w:val="005F34CC"/>
    <w:rsid w:val="005F3914"/>
    <w:rsid w:val="005F3B5A"/>
    <w:rsid w:val="005F6AB4"/>
    <w:rsid w:val="00607471"/>
    <w:rsid w:val="00610A66"/>
    <w:rsid w:val="006119B8"/>
    <w:rsid w:val="00613177"/>
    <w:rsid w:val="00613F7C"/>
    <w:rsid w:val="00614BF2"/>
    <w:rsid w:val="0061557C"/>
    <w:rsid w:val="00623DE2"/>
    <w:rsid w:val="00627601"/>
    <w:rsid w:val="006300D0"/>
    <w:rsid w:val="00632012"/>
    <w:rsid w:val="00634694"/>
    <w:rsid w:val="00636517"/>
    <w:rsid w:val="00636EE7"/>
    <w:rsid w:val="00637690"/>
    <w:rsid w:val="00640E1E"/>
    <w:rsid w:val="0064389A"/>
    <w:rsid w:val="00645442"/>
    <w:rsid w:val="006525CD"/>
    <w:rsid w:val="00653F7F"/>
    <w:rsid w:val="00662DCD"/>
    <w:rsid w:val="00662EE8"/>
    <w:rsid w:val="00663813"/>
    <w:rsid w:val="00664AFD"/>
    <w:rsid w:val="00667567"/>
    <w:rsid w:val="0067391A"/>
    <w:rsid w:val="00674173"/>
    <w:rsid w:val="0067534F"/>
    <w:rsid w:val="00677D87"/>
    <w:rsid w:val="006834FA"/>
    <w:rsid w:val="00690DB1"/>
    <w:rsid w:val="00693404"/>
    <w:rsid w:val="006953D9"/>
    <w:rsid w:val="006A1269"/>
    <w:rsid w:val="006A5803"/>
    <w:rsid w:val="006A69C3"/>
    <w:rsid w:val="006A7C15"/>
    <w:rsid w:val="006B1242"/>
    <w:rsid w:val="006B1DBC"/>
    <w:rsid w:val="006B31C3"/>
    <w:rsid w:val="006B3712"/>
    <w:rsid w:val="006B7D9A"/>
    <w:rsid w:val="006C06D9"/>
    <w:rsid w:val="006C3E22"/>
    <w:rsid w:val="006C5716"/>
    <w:rsid w:val="006C64B2"/>
    <w:rsid w:val="006C74A9"/>
    <w:rsid w:val="006D07DE"/>
    <w:rsid w:val="006D361A"/>
    <w:rsid w:val="006D6A81"/>
    <w:rsid w:val="006E06D9"/>
    <w:rsid w:val="006E1D40"/>
    <w:rsid w:val="006E2E1F"/>
    <w:rsid w:val="006E5059"/>
    <w:rsid w:val="006F5F03"/>
    <w:rsid w:val="006F5FFF"/>
    <w:rsid w:val="00710804"/>
    <w:rsid w:val="00711FC6"/>
    <w:rsid w:val="00712952"/>
    <w:rsid w:val="007130B1"/>
    <w:rsid w:val="00713487"/>
    <w:rsid w:val="00715071"/>
    <w:rsid w:val="007231E9"/>
    <w:rsid w:val="00724F0E"/>
    <w:rsid w:val="007270A6"/>
    <w:rsid w:val="00727C59"/>
    <w:rsid w:val="00733730"/>
    <w:rsid w:val="00734E5D"/>
    <w:rsid w:val="00736013"/>
    <w:rsid w:val="00737BF8"/>
    <w:rsid w:val="0074339B"/>
    <w:rsid w:val="0074478E"/>
    <w:rsid w:val="00750B60"/>
    <w:rsid w:val="00756245"/>
    <w:rsid w:val="00761662"/>
    <w:rsid w:val="00764043"/>
    <w:rsid w:val="00766A36"/>
    <w:rsid w:val="007757CF"/>
    <w:rsid w:val="007769F6"/>
    <w:rsid w:val="00780F9D"/>
    <w:rsid w:val="0078128F"/>
    <w:rsid w:val="007819D9"/>
    <w:rsid w:val="0078683C"/>
    <w:rsid w:val="00790EDB"/>
    <w:rsid w:val="00791538"/>
    <w:rsid w:val="0079326E"/>
    <w:rsid w:val="00796EDE"/>
    <w:rsid w:val="007A5A58"/>
    <w:rsid w:val="007A6F63"/>
    <w:rsid w:val="007B1C56"/>
    <w:rsid w:val="007B2EDC"/>
    <w:rsid w:val="007C1DD7"/>
    <w:rsid w:val="007C3CD5"/>
    <w:rsid w:val="007C4756"/>
    <w:rsid w:val="007C5E88"/>
    <w:rsid w:val="007C61EF"/>
    <w:rsid w:val="007C6783"/>
    <w:rsid w:val="007D03DE"/>
    <w:rsid w:val="007D1C0D"/>
    <w:rsid w:val="007D2D23"/>
    <w:rsid w:val="007E1AE9"/>
    <w:rsid w:val="007E27D6"/>
    <w:rsid w:val="007E3921"/>
    <w:rsid w:val="00801028"/>
    <w:rsid w:val="00803793"/>
    <w:rsid w:val="00804000"/>
    <w:rsid w:val="008101A2"/>
    <w:rsid w:val="00817A01"/>
    <w:rsid w:val="00820937"/>
    <w:rsid w:val="00825E35"/>
    <w:rsid w:val="00830A4E"/>
    <w:rsid w:val="008334F8"/>
    <w:rsid w:val="00835FFD"/>
    <w:rsid w:val="0084381F"/>
    <w:rsid w:val="00843E35"/>
    <w:rsid w:val="008524CE"/>
    <w:rsid w:val="00857633"/>
    <w:rsid w:val="0086440C"/>
    <w:rsid w:val="008674ED"/>
    <w:rsid w:val="00874EE6"/>
    <w:rsid w:val="00876659"/>
    <w:rsid w:val="0087734C"/>
    <w:rsid w:val="00882141"/>
    <w:rsid w:val="00886BD4"/>
    <w:rsid w:val="008876EC"/>
    <w:rsid w:val="008922A8"/>
    <w:rsid w:val="00895BD5"/>
    <w:rsid w:val="008A16C4"/>
    <w:rsid w:val="008A4A27"/>
    <w:rsid w:val="008A649F"/>
    <w:rsid w:val="008A6FED"/>
    <w:rsid w:val="008B39C5"/>
    <w:rsid w:val="008B51AA"/>
    <w:rsid w:val="008C67F2"/>
    <w:rsid w:val="008D064A"/>
    <w:rsid w:val="008D2537"/>
    <w:rsid w:val="008D2B0F"/>
    <w:rsid w:val="008D633C"/>
    <w:rsid w:val="008E449E"/>
    <w:rsid w:val="008E4BDD"/>
    <w:rsid w:val="008E770C"/>
    <w:rsid w:val="008F187F"/>
    <w:rsid w:val="008F402F"/>
    <w:rsid w:val="008F76E8"/>
    <w:rsid w:val="00904508"/>
    <w:rsid w:val="009078A1"/>
    <w:rsid w:val="00911E9C"/>
    <w:rsid w:val="00913719"/>
    <w:rsid w:val="00917405"/>
    <w:rsid w:val="00920C1F"/>
    <w:rsid w:val="00920F7C"/>
    <w:rsid w:val="00922718"/>
    <w:rsid w:val="00924743"/>
    <w:rsid w:val="00932A87"/>
    <w:rsid w:val="00934CAE"/>
    <w:rsid w:val="0093560E"/>
    <w:rsid w:val="0094257D"/>
    <w:rsid w:val="009443B6"/>
    <w:rsid w:val="00946F68"/>
    <w:rsid w:val="0095467C"/>
    <w:rsid w:val="00954A61"/>
    <w:rsid w:val="00955C6F"/>
    <w:rsid w:val="00966C7B"/>
    <w:rsid w:val="009701DC"/>
    <w:rsid w:val="009715D8"/>
    <w:rsid w:val="009811A8"/>
    <w:rsid w:val="00991460"/>
    <w:rsid w:val="00995BF9"/>
    <w:rsid w:val="009975CC"/>
    <w:rsid w:val="009A0CAF"/>
    <w:rsid w:val="009A2207"/>
    <w:rsid w:val="009A2D34"/>
    <w:rsid w:val="009A6565"/>
    <w:rsid w:val="009B0EDA"/>
    <w:rsid w:val="009B6C42"/>
    <w:rsid w:val="009D2998"/>
    <w:rsid w:val="009D31F7"/>
    <w:rsid w:val="009D32C2"/>
    <w:rsid w:val="009D50DB"/>
    <w:rsid w:val="009E2932"/>
    <w:rsid w:val="009E3A0A"/>
    <w:rsid w:val="009F1936"/>
    <w:rsid w:val="009F3E91"/>
    <w:rsid w:val="00A008DA"/>
    <w:rsid w:val="00A00C93"/>
    <w:rsid w:val="00A0571E"/>
    <w:rsid w:val="00A13A27"/>
    <w:rsid w:val="00A1499B"/>
    <w:rsid w:val="00A170D8"/>
    <w:rsid w:val="00A30A1B"/>
    <w:rsid w:val="00A311AD"/>
    <w:rsid w:val="00A314C2"/>
    <w:rsid w:val="00A501BF"/>
    <w:rsid w:val="00A519A0"/>
    <w:rsid w:val="00A5274A"/>
    <w:rsid w:val="00A62A2E"/>
    <w:rsid w:val="00A63A4D"/>
    <w:rsid w:val="00A63E86"/>
    <w:rsid w:val="00A67AF7"/>
    <w:rsid w:val="00A75185"/>
    <w:rsid w:val="00A754A0"/>
    <w:rsid w:val="00A757C3"/>
    <w:rsid w:val="00A75E5B"/>
    <w:rsid w:val="00A75F4B"/>
    <w:rsid w:val="00A7684A"/>
    <w:rsid w:val="00A83B69"/>
    <w:rsid w:val="00A86533"/>
    <w:rsid w:val="00A91CA2"/>
    <w:rsid w:val="00A92FB8"/>
    <w:rsid w:val="00A948F1"/>
    <w:rsid w:val="00A95A9A"/>
    <w:rsid w:val="00A97848"/>
    <w:rsid w:val="00AA0BE3"/>
    <w:rsid w:val="00AA18F9"/>
    <w:rsid w:val="00AA1D7D"/>
    <w:rsid w:val="00AA2790"/>
    <w:rsid w:val="00AA3806"/>
    <w:rsid w:val="00AB139D"/>
    <w:rsid w:val="00AB2A35"/>
    <w:rsid w:val="00AB2D05"/>
    <w:rsid w:val="00AB3EFB"/>
    <w:rsid w:val="00AC0B05"/>
    <w:rsid w:val="00AC1962"/>
    <w:rsid w:val="00AC7F9D"/>
    <w:rsid w:val="00AD079A"/>
    <w:rsid w:val="00AD1890"/>
    <w:rsid w:val="00AE2149"/>
    <w:rsid w:val="00AE2BF3"/>
    <w:rsid w:val="00AE33AE"/>
    <w:rsid w:val="00AE3986"/>
    <w:rsid w:val="00AE3F91"/>
    <w:rsid w:val="00AF5B63"/>
    <w:rsid w:val="00B0053D"/>
    <w:rsid w:val="00B01176"/>
    <w:rsid w:val="00B039E3"/>
    <w:rsid w:val="00B06D36"/>
    <w:rsid w:val="00B12BC4"/>
    <w:rsid w:val="00B22838"/>
    <w:rsid w:val="00B32474"/>
    <w:rsid w:val="00B33E8F"/>
    <w:rsid w:val="00B33E95"/>
    <w:rsid w:val="00B3720B"/>
    <w:rsid w:val="00B45D0B"/>
    <w:rsid w:val="00B52FA0"/>
    <w:rsid w:val="00B5558A"/>
    <w:rsid w:val="00B56513"/>
    <w:rsid w:val="00B61B64"/>
    <w:rsid w:val="00B631E4"/>
    <w:rsid w:val="00B64376"/>
    <w:rsid w:val="00B6570C"/>
    <w:rsid w:val="00B6790B"/>
    <w:rsid w:val="00B7401F"/>
    <w:rsid w:val="00B769CF"/>
    <w:rsid w:val="00B806C3"/>
    <w:rsid w:val="00B80D6F"/>
    <w:rsid w:val="00B84FCA"/>
    <w:rsid w:val="00B9089F"/>
    <w:rsid w:val="00B91826"/>
    <w:rsid w:val="00B91AEE"/>
    <w:rsid w:val="00B95F5A"/>
    <w:rsid w:val="00B96EAD"/>
    <w:rsid w:val="00BA4962"/>
    <w:rsid w:val="00BA4B7C"/>
    <w:rsid w:val="00BA79F5"/>
    <w:rsid w:val="00BA7EA7"/>
    <w:rsid w:val="00BB2E28"/>
    <w:rsid w:val="00BB3AB6"/>
    <w:rsid w:val="00BB766D"/>
    <w:rsid w:val="00BC007B"/>
    <w:rsid w:val="00BC1715"/>
    <w:rsid w:val="00BC26BA"/>
    <w:rsid w:val="00BC35F8"/>
    <w:rsid w:val="00BC481B"/>
    <w:rsid w:val="00BD08DF"/>
    <w:rsid w:val="00BD2D29"/>
    <w:rsid w:val="00BD617C"/>
    <w:rsid w:val="00BE782C"/>
    <w:rsid w:val="00BF376F"/>
    <w:rsid w:val="00BF46A6"/>
    <w:rsid w:val="00BF6CAD"/>
    <w:rsid w:val="00BF71FB"/>
    <w:rsid w:val="00C04DBF"/>
    <w:rsid w:val="00C05E4C"/>
    <w:rsid w:val="00C06545"/>
    <w:rsid w:val="00C134AF"/>
    <w:rsid w:val="00C220FC"/>
    <w:rsid w:val="00C24DFA"/>
    <w:rsid w:val="00C24F9D"/>
    <w:rsid w:val="00C30182"/>
    <w:rsid w:val="00C31FC9"/>
    <w:rsid w:val="00C37A63"/>
    <w:rsid w:val="00C42248"/>
    <w:rsid w:val="00C46A36"/>
    <w:rsid w:val="00C47037"/>
    <w:rsid w:val="00C50235"/>
    <w:rsid w:val="00C509E3"/>
    <w:rsid w:val="00C53625"/>
    <w:rsid w:val="00C548BA"/>
    <w:rsid w:val="00C5679D"/>
    <w:rsid w:val="00C57784"/>
    <w:rsid w:val="00C602C1"/>
    <w:rsid w:val="00C63FC0"/>
    <w:rsid w:val="00C66392"/>
    <w:rsid w:val="00C7075D"/>
    <w:rsid w:val="00C73D09"/>
    <w:rsid w:val="00C74895"/>
    <w:rsid w:val="00C74C5E"/>
    <w:rsid w:val="00C82558"/>
    <w:rsid w:val="00C827A2"/>
    <w:rsid w:val="00C82B69"/>
    <w:rsid w:val="00C82C8E"/>
    <w:rsid w:val="00C82CB3"/>
    <w:rsid w:val="00C91B28"/>
    <w:rsid w:val="00C91F3A"/>
    <w:rsid w:val="00C93590"/>
    <w:rsid w:val="00CA31EA"/>
    <w:rsid w:val="00CA5446"/>
    <w:rsid w:val="00CB14E5"/>
    <w:rsid w:val="00CB218D"/>
    <w:rsid w:val="00CB5625"/>
    <w:rsid w:val="00CB5797"/>
    <w:rsid w:val="00CC1C17"/>
    <w:rsid w:val="00CC4F7F"/>
    <w:rsid w:val="00CC5D70"/>
    <w:rsid w:val="00CD09E1"/>
    <w:rsid w:val="00CE1780"/>
    <w:rsid w:val="00CE4913"/>
    <w:rsid w:val="00CE66BD"/>
    <w:rsid w:val="00CF0671"/>
    <w:rsid w:val="00CF247A"/>
    <w:rsid w:val="00CF44AD"/>
    <w:rsid w:val="00CF4D7C"/>
    <w:rsid w:val="00CF4FC0"/>
    <w:rsid w:val="00CF7486"/>
    <w:rsid w:val="00D00637"/>
    <w:rsid w:val="00D1072F"/>
    <w:rsid w:val="00D108A5"/>
    <w:rsid w:val="00D14585"/>
    <w:rsid w:val="00D153C8"/>
    <w:rsid w:val="00D17F98"/>
    <w:rsid w:val="00D20EFF"/>
    <w:rsid w:val="00D215B9"/>
    <w:rsid w:val="00D31324"/>
    <w:rsid w:val="00D40D69"/>
    <w:rsid w:val="00D42B17"/>
    <w:rsid w:val="00D4386E"/>
    <w:rsid w:val="00D51432"/>
    <w:rsid w:val="00D53ED8"/>
    <w:rsid w:val="00D541A0"/>
    <w:rsid w:val="00D616DD"/>
    <w:rsid w:val="00D64857"/>
    <w:rsid w:val="00D6493A"/>
    <w:rsid w:val="00D649A5"/>
    <w:rsid w:val="00D66833"/>
    <w:rsid w:val="00D67875"/>
    <w:rsid w:val="00D71E86"/>
    <w:rsid w:val="00D731C6"/>
    <w:rsid w:val="00D745C5"/>
    <w:rsid w:val="00D75327"/>
    <w:rsid w:val="00D77D6B"/>
    <w:rsid w:val="00D80C36"/>
    <w:rsid w:val="00D81A32"/>
    <w:rsid w:val="00D86EE1"/>
    <w:rsid w:val="00D95E90"/>
    <w:rsid w:val="00D96126"/>
    <w:rsid w:val="00DA2FD5"/>
    <w:rsid w:val="00DB4B1C"/>
    <w:rsid w:val="00DB5085"/>
    <w:rsid w:val="00DB619F"/>
    <w:rsid w:val="00DB7211"/>
    <w:rsid w:val="00DC1062"/>
    <w:rsid w:val="00DC132C"/>
    <w:rsid w:val="00DC181A"/>
    <w:rsid w:val="00DC5727"/>
    <w:rsid w:val="00DD43F0"/>
    <w:rsid w:val="00DD44DE"/>
    <w:rsid w:val="00DE09AB"/>
    <w:rsid w:val="00DE1DCC"/>
    <w:rsid w:val="00DE352F"/>
    <w:rsid w:val="00DE4A3F"/>
    <w:rsid w:val="00DE5A99"/>
    <w:rsid w:val="00DF4367"/>
    <w:rsid w:val="00DF7291"/>
    <w:rsid w:val="00E0574A"/>
    <w:rsid w:val="00E1243D"/>
    <w:rsid w:val="00E12742"/>
    <w:rsid w:val="00E146D4"/>
    <w:rsid w:val="00E14815"/>
    <w:rsid w:val="00E21D37"/>
    <w:rsid w:val="00E220ED"/>
    <w:rsid w:val="00E22B44"/>
    <w:rsid w:val="00E30ACD"/>
    <w:rsid w:val="00E32735"/>
    <w:rsid w:val="00E34236"/>
    <w:rsid w:val="00E44B88"/>
    <w:rsid w:val="00E60DDB"/>
    <w:rsid w:val="00E65AD9"/>
    <w:rsid w:val="00E66E36"/>
    <w:rsid w:val="00E67F21"/>
    <w:rsid w:val="00E702ED"/>
    <w:rsid w:val="00E709A4"/>
    <w:rsid w:val="00E75917"/>
    <w:rsid w:val="00E772DB"/>
    <w:rsid w:val="00E86012"/>
    <w:rsid w:val="00E860CA"/>
    <w:rsid w:val="00E86BAB"/>
    <w:rsid w:val="00E92962"/>
    <w:rsid w:val="00E94E10"/>
    <w:rsid w:val="00E96743"/>
    <w:rsid w:val="00E96A42"/>
    <w:rsid w:val="00E97497"/>
    <w:rsid w:val="00EA16D5"/>
    <w:rsid w:val="00EA49C5"/>
    <w:rsid w:val="00EA6279"/>
    <w:rsid w:val="00EB5027"/>
    <w:rsid w:val="00EB6C87"/>
    <w:rsid w:val="00EC1836"/>
    <w:rsid w:val="00EC2F6E"/>
    <w:rsid w:val="00EC3990"/>
    <w:rsid w:val="00EC484B"/>
    <w:rsid w:val="00EC7E58"/>
    <w:rsid w:val="00ED15FA"/>
    <w:rsid w:val="00ED5C9F"/>
    <w:rsid w:val="00EE050C"/>
    <w:rsid w:val="00EE2113"/>
    <w:rsid w:val="00EE5730"/>
    <w:rsid w:val="00EE6E9A"/>
    <w:rsid w:val="00EF2AC4"/>
    <w:rsid w:val="00EF397E"/>
    <w:rsid w:val="00F0340C"/>
    <w:rsid w:val="00F06F68"/>
    <w:rsid w:val="00F11241"/>
    <w:rsid w:val="00F15E9D"/>
    <w:rsid w:val="00F23FA7"/>
    <w:rsid w:val="00F24C2D"/>
    <w:rsid w:val="00F27BEC"/>
    <w:rsid w:val="00F27D59"/>
    <w:rsid w:val="00F316E1"/>
    <w:rsid w:val="00F32155"/>
    <w:rsid w:val="00F32A81"/>
    <w:rsid w:val="00F40C82"/>
    <w:rsid w:val="00F4197F"/>
    <w:rsid w:val="00F46998"/>
    <w:rsid w:val="00F5382D"/>
    <w:rsid w:val="00F53D9C"/>
    <w:rsid w:val="00F54195"/>
    <w:rsid w:val="00F5462B"/>
    <w:rsid w:val="00F54653"/>
    <w:rsid w:val="00F54FAC"/>
    <w:rsid w:val="00F569DE"/>
    <w:rsid w:val="00F57205"/>
    <w:rsid w:val="00F634AD"/>
    <w:rsid w:val="00F63677"/>
    <w:rsid w:val="00F65B44"/>
    <w:rsid w:val="00F70658"/>
    <w:rsid w:val="00F7417E"/>
    <w:rsid w:val="00F75B81"/>
    <w:rsid w:val="00F761CA"/>
    <w:rsid w:val="00F804C4"/>
    <w:rsid w:val="00F80C7E"/>
    <w:rsid w:val="00F82F83"/>
    <w:rsid w:val="00F86097"/>
    <w:rsid w:val="00F90C64"/>
    <w:rsid w:val="00F9210C"/>
    <w:rsid w:val="00F92B30"/>
    <w:rsid w:val="00F933B9"/>
    <w:rsid w:val="00F94674"/>
    <w:rsid w:val="00F94919"/>
    <w:rsid w:val="00F94A59"/>
    <w:rsid w:val="00FA25B6"/>
    <w:rsid w:val="00FA2FAF"/>
    <w:rsid w:val="00FA54F6"/>
    <w:rsid w:val="00FA64B1"/>
    <w:rsid w:val="00FA70F3"/>
    <w:rsid w:val="00FA71CD"/>
    <w:rsid w:val="00FB0453"/>
    <w:rsid w:val="00FB0C07"/>
    <w:rsid w:val="00FB205F"/>
    <w:rsid w:val="00FB298D"/>
    <w:rsid w:val="00FB3171"/>
    <w:rsid w:val="00FB444E"/>
    <w:rsid w:val="00FC1439"/>
    <w:rsid w:val="00FC3F65"/>
    <w:rsid w:val="00FC5007"/>
    <w:rsid w:val="00FC70AD"/>
    <w:rsid w:val="00FC724B"/>
    <w:rsid w:val="00FC7910"/>
    <w:rsid w:val="00FD01E0"/>
    <w:rsid w:val="00FD50FC"/>
    <w:rsid w:val="00FE1627"/>
    <w:rsid w:val="00FE2D4E"/>
    <w:rsid w:val="00FE3F22"/>
    <w:rsid w:val="00FF092F"/>
    <w:rsid w:val="00FF0DA7"/>
    <w:rsid w:val="00FF2B09"/>
    <w:rsid w:val="00FF44E0"/>
    <w:rsid w:val="00FF6C72"/>
    <w:rsid w:val="01057174"/>
    <w:rsid w:val="010827C0"/>
    <w:rsid w:val="010D7DD7"/>
    <w:rsid w:val="01521C8D"/>
    <w:rsid w:val="015772A4"/>
    <w:rsid w:val="01722C8D"/>
    <w:rsid w:val="01722E9F"/>
    <w:rsid w:val="019127B6"/>
    <w:rsid w:val="01915CC2"/>
    <w:rsid w:val="01981D96"/>
    <w:rsid w:val="01BB7833"/>
    <w:rsid w:val="01D0231A"/>
    <w:rsid w:val="01EA636A"/>
    <w:rsid w:val="01FB2325"/>
    <w:rsid w:val="02201D8C"/>
    <w:rsid w:val="02661E94"/>
    <w:rsid w:val="02753E85"/>
    <w:rsid w:val="028B18FB"/>
    <w:rsid w:val="029167E5"/>
    <w:rsid w:val="02936A01"/>
    <w:rsid w:val="02990A8D"/>
    <w:rsid w:val="029D28C9"/>
    <w:rsid w:val="02A4476B"/>
    <w:rsid w:val="02B2279A"/>
    <w:rsid w:val="02C60B85"/>
    <w:rsid w:val="02EB0203"/>
    <w:rsid w:val="03031E35"/>
    <w:rsid w:val="030516AD"/>
    <w:rsid w:val="031F5DFA"/>
    <w:rsid w:val="03463A74"/>
    <w:rsid w:val="03710AF1"/>
    <w:rsid w:val="03726617"/>
    <w:rsid w:val="03791753"/>
    <w:rsid w:val="03A378D6"/>
    <w:rsid w:val="03A72764"/>
    <w:rsid w:val="03CC3F79"/>
    <w:rsid w:val="03DE3CAC"/>
    <w:rsid w:val="040659B3"/>
    <w:rsid w:val="041A2F36"/>
    <w:rsid w:val="041B280B"/>
    <w:rsid w:val="041E18B8"/>
    <w:rsid w:val="042913CB"/>
    <w:rsid w:val="043D09D3"/>
    <w:rsid w:val="045F6B9B"/>
    <w:rsid w:val="04804DA9"/>
    <w:rsid w:val="048B3E34"/>
    <w:rsid w:val="04A722F0"/>
    <w:rsid w:val="04C3537C"/>
    <w:rsid w:val="04D550AF"/>
    <w:rsid w:val="04DC4690"/>
    <w:rsid w:val="04FA4B16"/>
    <w:rsid w:val="04FC3176"/>
    <w:rsid w:val="05045994"/>
    <w:rsid w:val="050B287F"/>
    <w:rsid w:val="05123C0E"/>
    <w:rsid w:val="054E09BE"/>
    <w:rsid w:val="056621AB"/>
    <w:rsid w:val="056C5A14"/>
    <w:rsid w:val="057E12A3"/>
    <w:rsid w:val="05816FE5"/>
    <w:rsid w:val="058C7E64"/>
    <w:rsid w:val="05A131E3"/>
    <w:rsid w:val="05F15F19"/>
    <w:rsid w:val="06007F0A"/>
    <w:rsid w:val="062E4A77"/>
    <w:rsid w:val="06367DD0"/>
    <w:rsid w:val="063D4CBA"/>
    <w:rsid w:val="06450013"/>
    <w:rsid w:val="06540256"/>
    <w:rsid w:val="066F5090"/>
    <w:rsid w:val="069A035E"/>
    <w:rsid w:val="069B6CAB"/>
    <w:rsid w:val="069D7E4F"/>
    <w:rsid w:val="069F3BC7"/>
    <w:rsid w:val="06A25465"/>
    <w:rsid w:val="06AE129F"/>
    <w:rsid w:val="06BA27AF"/>
    <w:rsid w:val="06DD649D"/>
    <w:rsid w:val="06F35CC1"/>
    <w:rsid w:val="06F86E33"/>
    <w:rsid w:val="070954E4"/>
    <w:rsid w:val="07117EF5"/>
    <w:rsid w:val="0721638A"/>
    <w:rsid w:val="07267E44"/>
    <w:rsid w:val="072D20A4"/>
    <w:rsid w:val="0730481F"/>
    <w:rsid w:val="073562D9"/>
    <w:rsid w:val="0737795B"/>
    <w:rsid w:val="073A569E"/>
    <w:rsid w:val="073B420D"/>
    <w:rsid w:val="073C31C4"/>
    <w:rsid w:val="074327A4"/>
    <w:rsid w:val="07AA45D1"/>
    <w:rsid w:val="07AC659B"/>
    <w:rsid w:val="07D63618"/>
    <w:rsid w:val="07E61381"/>
    <w:rsid w:val="07EA0E72"/>
    <w:rsid w:val="08202AE5"/>
    <w:rsid w:val="082A5712"/>
    <w:rsid w:val="0831084F"/>
    <w:rsid w:val="083420ED"/>
    <w:rsid w:val="08566507"/>
    <w:rsid w:val="086329D2"/>
    <w:rsid w:val="0883687D"/>
    <w:rsid w:val="08872B64"/>
    <w:rsid w:val="088E3EF3"/>
    <w:rsid w:val="08D8516E"/>
    <w:rsid w:val="08E12275"/>
    <w:rsid w:val="08F216FE"/>
    <w:rsid w:val="09023F99"/>
    <w:rsid w:val="09120680"/>
    <w:rsid w:val="09175C96"/>
    <w:rsid w:val="095347F5"/>
    <w:rsid w:val="095C5D9F"/>
    <w:rsid w:val="095C7B4D"/>
    <w:rsid w:val="095E1B17"/>
    <w:rsid w:val="09A45050"/>
    <w:rsid w:val="09A909AA"/>
    <w:rsid w:val="09C33728"/>
    <w:rsid w:val="09CD18FD"/>
    <w:rsid w:val="09DC0C8E"/>
    <w:rsid w:val="0A002BCE"/>
    <w:rsid w:val="0A053D41"/>
    <w:rsid w:val="0A2C5771"/>
    <w:rsid w:val="0A3A3D9D"/>
    <w:rsid w:val="0A3D35AB"/>
    <w:rsid w:val="0A542106"/>
    <w:rsid w:val="0A6C4667"/>
    <w:rsid w:val="0A6D18E6"/>
    <w:rsid w:val="0A747118"/>
    <w:rsid w:val="0A7702DE"/>
    <w:rsid w:val="0A8C7FBE"/>
    <w:rsid w:val="0A8E01DA"/>
    <w:rsid w:val="0AA417AC"/>
    <w:rsid w:val="0AA96DC2"/>
    <w:rsid w:val="0AB15C77"/>
    <w:rsid w:val="0AB87005"/>
    <w:rsid w:val="0AFA5870"/>
    <w:rsid w:val="0B097861"/>
    <w:rsid w:val="0B0E30C9"/>
    <w:rsid w:val="0B3C19E4"/>
    <w:rsid w:val="0B6E1DBA"/>
    <w:rsid w:val="0B7D1FFD"/>
    <w:rsid w:val="0B7F5D75"/>
    <w:rsid w:val="0B892750"/>
    <w:rsid w:val="0BBE711B"/>
    <w:rsid w:val="0BD47173"/>
    <w:rsid w:val="0BEF6A57"/>
    <w:rsid w:val="0C0149DC"/>
    <w:rsid w:val="0C1B47F2"/>
    <w:rsid w:val="0C2A5CE1"/>
    <w:rsid w:val="0C2A7A8F"/>
    <w:rsid w:val="0C2D57D1"/>
    <w:rsid w:val="0C4264AA"/>
    <w:rsid w:val="0C6157E5"/>
    <w:rsid w:val="0C8E44C1"/>
    <w:rsid w:val="0C931AD8"/>
    <w:rsid w:val="0C943AA2"/>
    <w:rsid w:val="0C965124"/>
    <w:rsid w:val="0C9B273A"/>
    <w:rsid w:val="0CA84E57"/>
    <w:rsid w:val="0CC46135"/>
    <w:rsid w:val="0CD43E9E"/>
    <w:rsid w:val="0CF54541"/>
    <w:rsid w:val="0D112D0C"/>
    <w:rsid w:val="0D1B1ACD"/>
    <w:rsid w:val="0D2F685C"/>
    <w:rsid w:val="0D305579"/>
    <w:rsid w:val="0D417786"/>
    <w:rsid w:val="0D815DD4"/>
    <w:rsid w:val="0D907138"/>
    <w:rsid w:val="0D9F26FE"/>
    <w:rsid w:val="0DA83FA6"/>
    <w:rsid w:val="0DAC7B3F"/>
    <w:rsid w:val="0DB63633"/>
    <w:rsid w:val="0DBD4932"/>
    <w:rsid w:val="0DE95727"/>
    <w:rsid w:val="0DF2282E"/>
    <w:rsid w:val="0E032C8D"/>
    <w:rsid w:val="0E042561"/>
    <w:rsid w:val="0E1A1D85"/>
    <w:rsid w:val="0E372937"/>
    <w:rsid w:val="0E5B4877"/>
    <w:rsid w:val="0E7F7551"/>
    <w:rsid w:val="0E835B7C"/>
    <w:rsid w:val="0E87566C"/>
    <w:rsid w:val="0E9B4C74"/>
    <w:rsid w:val="0EA0228A"/>
    <w:rsid w:val="0EB6385C"/>
    <w:rsid w:val="0EB9334C"/>
    <w:rsid w:val="0EC8358F"/>
    <w:rsid w:val="0EDB59B8"/>
    <w:rsid w:val="0F090766"/>
    <w:rsid w:val="0F134CC3"/>
    <w:rsid w:val="0F4C0664"/>
    <w:rsid w:val="0F59068B"/>
    <w:rsid w:val="0F657030"/>
    <w:rsid w:val="0F924FA1"/>
    <w:rsid w:val="0F930041"/>
    <w:rsid w:val="0FC1695C"/>
    <w:rsid w:val="0FE95EB3"/>
    <w:rsid w:val="0FF86BDC"/>
    <w:rsid w:val="0FFA00C0"/>
    <w:rsid w:val="100D7DF3"/>
    <w:rsid w:val="1021564D"/>
    <w:rsid w:val="10321608"/>
    <w:rsid w:val="10392996"/>
    <w:rsid w:val="10521CAA"/>
    <w:rsid w:val="105A290D"/>
    <w:rsid w:val="105E23FD"/>
    <w:rsid w:val="10607C4F"/>
    <w:rsid w:val="106E6418"/>
    <w:rsid w:val="10AF0EAA"/>
    <w:rsid w:val="10F20D97"/>
    <w:rsid w:val="1111121D"/>
    <w:rsid w:val="111D7BC2"/>
    <w:rsid w:val="11323C4E"/>
    <w:rsid w:val="11386E78"/>
    <w:rsid w:val="113B0990"/>
    <w:rsid w:val="11447845"/>
    <w:rsid w:val="115630D4"/>
    <w:rsid w:val="11595A08"/>
    <w:rsid w:val="11731ED8"/>
    <w:rsid w:val="11945AA8"/>
    <w:rsid w:val="11B04EDA"/>
    <w:rsid w:val="11C511D1"/>
    <w:rsid w:val="11CC783A"/>
    <w:rsid w:val="11D84431"/>
    <w:rsid w:val="11E231E6"/>
    <w:rsid w:val="11F1104F"/>
    <w:rsid w:val="120668A8"/>
    <w:rsid w:val="121216F1"/>
    <w:rsid w:val="121C431D"/>
    <w:rsid w:val="12244F80"/>
    <w:rsid w:val="122B4561"/>
    <w:rsid w:val="12331667"/>
    <w:rsid w:val="12353631"/>
    <w:rsid w:val="12372F05"/>
    <w:rsid w:val="125C296C"/>
    <w:rsid w:val="126161D4"/>
    <w:rsid w:val="127F48AC"/>
    <w:rsid w:val="12971BF6"/>
    <w:rsid w:val="12B72298"/>
    <w:rsid w:val="12D71D5F"/>
    <w:rsid w:val="12E36BE9"/>
    <w:rsid w:val="12E56E05"/>
    <w:rsid w:val="12F23C0D"/>
    <w:rsid w:val="12FC7CAB"/>
    <w:rsid w:val="1306142A"/>
    <w:rsid w:val="13160A9B"/>
    <w:rsid w:val="132711CC"/>
    <w:rsid w:val="133D09EF"/>
    <w:rsid w:val="13451652"/>
    <w:rsid w:val="134D0507"/>
    <w:rsid w:val="13572D88"/>
    <w:rsid w:val="135875D7"/>
    <w:rsid w:val="135B70C7"/>
    <w:rsid w:val="13651CF4"/>
    <w:rsid w:val="13806B2E"/>
    <w:rsid w:val="139323BD"/>
    <w:rsid w:val="13A20852"/>
    <w:rsid w:val="13B3480E"/>
    <w:rsid w:val="13B567D8"/>
    <w:rsid w:val="142474B9"/>
    <w:rsid w:val="14353475"/>
    <w:rsid w:val="144933C4"/>
    <w:rsid w:val="144C5768"/>
    <w:rsid w:val="14504752"/>
    <w:rsid w:val="14524026"/>
    <w:rsid w:val="145853B5"/>
    <w:rsid w:val="147C5547"/>
    <w:rsid w:val="14861F22"/>
    <w:rsid w:val="1497412F"/>
    <w:rsid w:val="14AA20B4"/>
    <w:rsid w:val="14B720DC"/>
    <w:rsid w:val="14C31FAA"/>
    <w:rsid w:val="14D53EB9"/>
    <w:rsid w:val="151237B6"/>
    <w:rsid w:val="151B7FB7"/>
    <w:rsid w:val="152C2AC9"/>
    <w:rsid w:val="15400323"/>
    <w:rsid w:val="15593193"/>
    <w:rsid w:val="155E4C4D"/>
    <w:rsid w:val="158226E9"/>
    <w:rsid w:val="15853F88"/>
    <w:rsid w:val="15891CCA"/>
    <w:rsid w:val="15A77F2B"/>
    <w:rsid w:val="15B11221"/>
    <w:rsid w:val="15BA6327"/>
    <w:rsid w:val="15C9656A"/>
    <w:rsid w:val="15CA4090"/>
    <w:rsid w:val="15DD5B72"/>
    <w:rsid w:val="15E74C42"/>
    <w:rsid w:val="15F5735F"/>
    <w:rsid w:val="15FA2BC8"/>
    <w:rsid w:val="15FF1F8C"/>
    <w:rsid w:val="161F173B"/>
    <w:rsid w:val="1638724C"/>
    <w:rsid w:val="164B0D40"/>
    <w:rsid w:val="16504596"/>
    <w:rsid w:val="165C118C"/>
    <w:rsid w:val="16640041"/>
    <w:rsid w:val="16704C38"/>
    <w:rsid w:val="167B6427"/>
    <w:rsid w:val="16846935"/>
    <w:rsid w:val="16927B48"/>
    <w:rsid w:val="16B27D38"/>
    <w:rsid w:val="16D74CB7"/>
    <w:rsid w:val="16DF591A"/>
    <w:rsid w:val="16F05D79"/>
    <w:rsid w:val="16F5513D"/>
    <w:rsid w:val="17020F1A"/>
    <w:rsid w:val="1711641B"/>
    <w:rsid w:val="171D19CF"/>
    <w:rsid w:val="171E28E6"/>
    <w:rsid w:val="17397720"/>
    <w:rsid w:val="174A5489"/>
    <w:rsid w:val="17562080"/>
    <w:rsid w:val="17626C76"/>
    <w:rsid w:val="178F10EE"/>
    <w:rsid w:val="17BF5E77"/>
    <w:rsid w:val="17D42FA4"/>
    <w:rsid w:val="17DD454F"/>
    <w:rsid w:val="17F2506C"/>
    <w:rsid w:val="18057602"/>
    <w:rsid w:val="18151E47"/>
    <w:rsid w:val="18552337"/>
    <w:rsid w:val="1861148A"/>
    <w:rsid w:val="189B3AC2"/>
    <w:rsid w:val="189C1D14"/>
    <w:rsid w:val="18BD7EDC"/>
    <w:rsid w:val="18C474BD"/>
    <w:rsid w:val="18D23988"/>
    <w:rsid w:val="18E84F59"/>
    <w:rsid w:val="18F733EE"/>
    <w:rsid w:val="19037FE5"/>
    <w:rsid w:val="192341E3"/>
    <w:rsid w:val="1930691F"/>
    <w:rsid w:val="193219B3"/>
    <w:rsid w:val="19696B66"/>
    <w:rsid w:val="199470D8"/>
    <w:rsid w:val="19A03A86"/>
    <w:rsid w:val="19A12CBE"/>
    <w:rsid w:val="19AA66B3"/>
    <w:rsid w:val="19B25567"/>
    <w:rsid w:val="19B27315"/>
    <w:rsid w:val="19C74C01"/>
    <w:rsid w:val="19CE3569"/>
    <w:rsid w:val="19E716B5"/>
    <w:rsid w:val="19F142E2"/>
    <w:rsid w:val="1A084B70"/>
    <w:rsid w:val="1A187AC0"/>
    <w:rsid w:val="1A2A51D0"/>
    <w:rsid w:val="1A4A39F2"/>
    <w:rsid w:val="1A6528FE"/>
    <w:rsid w:val="1A654388"/>
    <w:rsid w:val="1A6C5716"/>
    <w:rsid w:val="1A703458"/>
    <w:rsid w:val="1A7A6085"/>
    <w:rsid w:val="1A7B1DFD"/>
    <w:rsid w:val="1A7D2ED2"/>
    <w:rsid w:val="1A835004"/>
    <w:rsid w:val="1AA475A6"/>
    <w:rsid w:val="1AB25BC6"/>
    <w:rsid w:val="1AB87E7C"/>
    <w:rsid w:val="1AE31E7C"/>
    <w:rsid w:val="1B043BA1"/>
    <w:rsid w:val="1B050711"/>
    <w:rsid w:val="1B0644E6"/>
    <w:rsid w:val="1B157B5C"/>
    <w:rsid w:val="1B267FBB"/>
    <w:rsid w:val="1B410951"/>
    <w:rsid w:val="1B414DF5"/>
    <w:rsid w:val="1B5B7B3E"/>
    <w:rsid w:val="1B76030C"/>
    <w:rsid w:val="1B7C7BDB"/>
    <w:rsid w:val="1B997FC0"/>
    <w:rsid w:val="1BA61F6F"/>
    <w:rsid w:val="1BB750B7"/>
    <w:rsid w:val="1BD23C9F"/>
    <w:rsid w:val="1BD96DDB"/>
    <w:rsid w:val="1BE7774A"/>
    <w:rsid w:val="1BFD6F6E"/>
    <w:rsid w:val="1C055E22"/>
    <w:rsid w:val="1C220782"/>
    <w:rsid w:val="1C275D99"/>
    <w:rsid w:val="1C550B58"/>
    <w:rsid w:val="1C573CFA"/>
    <w:rsid w:val="1C63029E"/>
    <w:rsid w:val="1C715A71"/>
    <w:rsid w:val="1C8F393E"/>
    <w:rsid w:val="1C984EE8"/>
    <w:rsid w:val="1CA76EDA"/>
    <w:rsid w:val="1CA93E55"/>
    <w:rsid w:val="1CC921E7"/>
    <w:rsid w:val="1CDF48C5"/>
    <w:rsid w:val="1CE04199"/>
    <w:rsid w:val="1CF3211F"/>
    <w:rsid w:val="1D183933"/>
    <w:rsid w:val="1D1C4205"/>
    <w:rsid w:val="1D232A04"/>
    <w:rsid w:val="1D2422D8"/>
    <w:rsid w:val="1D28001A"/>
    <w:rsid w:val="1D444EB6"/>
    <w:rsid w:val="1D6F5768"/>
    <w:rsid w:val="1D8611E5"/>
    <w:rsid w:val="1D8D2573"/>
    <w:rsid w:val="1DA840EB"/>
    <w:rsid w:val="1DB7314C"/>
    <w:rsid w:val="1DCA2E80"/>
    <w:rsid w:val="1DD04C16"/>
    <w:rsid w:val="1DDF4451"/>
    <w:rsid w:val="1DF12B02"/>
    <w:rsid w:val="1E1C44E5"/>
    <w:rsid w:val="1E29229C"/>
    <w:rsid w:val="1E2928CE"/>
    <w:rsid w:val="1E3A4CBE"/>
    <w:rsid w:val="1E470974"/>
    <w:rsid w:val="1E4F15D7"/>
    <w:rsid w:val="1E62755C"/>
    <w:rsid w:val="1E8079E2"/>
    <w:rsid w:val="1EB37DB8"/>
    <w:rsid w:val="1EC975DB"/>
    <w:rsid w:val="1ED55F80"/>
    <w:rsid w:val="1EE869A7"/>
    <w:rsid w:val="1F010B23"/>
    <w:rsid w:val="1F0979D8"/>
    <w:rsid w:val="1F176598"/>
    <w:rsid w:val="1F2B2044"/>
    <w:rsid w:val="1F301408"/>
    <w:rsid w:val="1F3E1D77"/>
    <w:rsid w:val="1F4E5D32"/>
    <w:rsid w:val="1F7A6183"/>
    <w:rsid w:val="1F865AC7"/>
    <w:rsid w:val="1F8A4FBC"/>
    <w:rsid w:val="1F8F4478"/>
    <w:rsid w:val="1F920200"/>
    <w:rsid w:val="1F937412"/>
    <w:rsid w:val="1FDE2C12"/>
    <w:rsid w:val="1FF57F5C"/>
    <w:rsid w:val="1FF95C9E"/>
    <w:rsid w:val="200603BB"/>
    <w:rsid w:val="201B28B0"/>
    <w:rsid w:val="202A5E57"/>
    <w:rsid w:val="202D1DEC"/>
    <w:rsid w:val="20474C5B"/>
    <w:rsid w:val="20580C17"/>
    <w:rsid w:val="20971013"/>
    <w:rsid w:val="20C16461"/>
    <w:rsid w:val="20C55B80"/>
    <w:rsid w:val="20CE712B"/>
    <w:rsid w:val="20FA1CCE"/>
    <w:rsid w:val="20FF5536"/>
    <w:rsid w:val="21011921"/>
    <w:rsid w:val="21052421"/>
    <w:rsid w:val="214747E7"/>
    <w:rsid w:val="215F4227"/>
    <w:rsid w:val="21645399"/>
    <w:rsid w:val="21867A05"/>
    <w:rsid w:val="218B0B78"/>
    <w:rsid w:val="218C47D6"/>
    <w:rsid w:val="219043E0"/>
    <w:rsid w:val="21B26104"/>
    <w:rsid w:val="21B843D9"/>
    <w:rsid w:val="21B87493"/>
    <w:rsid w:val="21BF61C5"/>
    <w:rsid w:val="21DE339D"/>
    <w:rsid w:val="21F26E49"/>
    <w:rsid w:val="21F37F51"/>
    <w:rsid w:val="21F97340"/>
    <w:rsid w:val="221768AF"/>
    <w:rsid w:val="22327245"/>
    <w:rsid w:val="223E5BEA"/>
    <w:rsid w:val="2253544B"/>
    <w:rsid w:val="225E003A"/>
    <w:rsid w:val="2264161E"/>
    <w:rsid w:val="226F2197"/>
    <w:rsid w:val="2309269C"/>
    <w:rsid w:val="23146520"/>
    <w:rsid w:val="231A0405"/>
    <w:rsid w:val="23243032"/>
    <w:rsid w:val="233139A1"/>
    <w:rsid w:val="23333E92"/>
    <w:rsid w:val="23580F2E"/>
    <w:rsid w:val="23585502"/>
    <w:rsid w:val="23596C26"/>
    <w:rsid w:val="239A4FDD"/>
    <w:rsid w:val="23BB3D61"/>
    <w:rsid w:val="23C10881"/>
    <w:rsid w:val="23DF164F"/>
    <w:rsid w:val="23E629DD"/>
    <w:rsid w:val="23F549CE"/>
    <w:rsid w:val="2409047A"/>
    <w:rsid w:val="2412732E"/>
    <w:rsid w:val="24127792"/>
    <w:rsid w:val="24134E54"/>
    <w:rsid w:val="24155071"/>
    <w:rsid w:val="24174945"/>
    <w:rsid w:val="24577437"/>
    <w:rsid w:val="24681644"/>
    <w:rsid w:val="2471170E"/>
    <w:rsid w:val="24A26904"/>
    <w:rsid w:val="24B6415E"/>
    <w:rsid w:val="24B86128"/>
    <w:rsid w:val="24C85C3F"/>
    <w:rsid w:val="24CA590D"/>
    <w:rsid w:val="24EE7D9B"/>
    <w:rsid w:val="24EF7670"/>
    <w:rsid w:val="24FB7DC2"/>
    <w:rsid w:val="252A68FA"/>
    <w:rsid w:val="255B4D05"/>
    <w:rsid w:val="25675458"/>
    <w:rsid w:val="25753ECD"/>
    <w:rsid w:val="25BC4456"/>
    <w:rsid w:val="25BD1A38"/>
    <w:rsid w:val="25D16D75"/>
    <w:rsid w:val="25DC7BF4"/>
    <w:rsid w:val="25E92311"/>
    <w:rsid w:val="25FF7D86"/>
    <w:rsid w:val="2610789E"/>
    <w:rsid w:val="2615583E"/>
    <w:rsid w:val="261A0BE6"/>
    <w:rsid w:val="262D78EB"/>
    <w:rsid w:val="263C4B36"/>
    <w:rsid w:val="26527EB6"/>
    <w:rsid w:val="267A11BB"/>
    <w:rsid w:val="268169ED"/>
    <w:rsid w:val="26834513"/>
    <w:rsid w:val="26CB1A16"/>
    <w:rsid w:val="26D7660D"/>
    <w:rsid w:val="26F1147D"/>
    <w:rsid w:val="270311B0"/>
    <w:rsid w:val="270D202F"/>
    <w:rsid w:val="271D6716"/>
    <w:rsid w:val="27475541"/>
    <w:rsid w:val="274C0DA9"/>
    <w:rsid w:val="27514612"/>
    <w:rsid w:val="275163C0"/>
    <w:rsid w:val="276C5CB3"/>
    <w:rsid w:val="276F6846"/>
    <w:rsid w:val="27873B8F"/>
    <w:rsid w:val="27910EB2"/>
    <w:rsid w:val="27CA60F4"/>
    <w:rsid w:val="27E234BC"/>
    <w:rsid w:val="27E85AF1"/>
    <w:rsid w:val="27FC27CF"/>
    <w:rsid w:val="280D0539"/>
    <w:rsid w:val="281573ED"/>
    <w:rsid w:val="28215D92"/>
    <w:rsid w:val="282633A8"/>
    <w:rsid w:val="283C2BCC"/>
    <w:rsid w:val="285A74F6"/>
    <w:rsid w:val="28656A33"/>
    <w:rsid w:val="28700AC7"/>
    <w:rsid w:val="287A1946"/>
    <w:rsid w:val="287F6F5C"/>
    <w:rsid w:val="28C929C1"/>
    <w:rsid w:val="28CA01D8"/>
    <w:rsid w:val="28D948BF"/>
    <w:rsid w:val="28E15521"/>
    <w:rsid w:val="290556B4"/>
    <w:rsid w:val="2920429C"/>
    <w:rsid w:val="293B7327"/>
    <w:rsid w:val="294A30C6"/>
    <w:rsid w:val="294F4B81"/>
    <w:rsid w:val="295220BC"/>
    <w:rsid w:val="29CE5AA6"/>
    <w:rsid w:val="29D15596"/>
    <w:rsid w:val="29DA6B0B"/>
    <w:rsid w:val="29DB6B11"/>
    <w:rsid w:val="29E21551"/>
    <w:rsid w:val="29E76B67"/>
    <w:rsid w:val="2A093B18"/>
    <w:rsid w:val="2A2D3A38"/>
    <w:rsid w:val="2A403DF7"/>
    <w:rsid w:val="2A510485"/>
    <w:rsid w:val="2A691C72"/>
    <w:rsid w:val="2A705CDB"/>
    <w:rsid w:val="2A763032"/>
    <w:rsid w:val="2A77613D"/>
    <w:rsid w:val="2A7A79DB"/>
    <w:rsid w:val="2A7F4FF2"/>
    <w:rsid w:val="2A8D7B4E"/>
    <w:rsid w:val="2AAA4765"/>
    <w:rsid w:val="2ABD245A"/>
    <w:rsid w:val="2AE17A5A"/>
    <w:rsid w:val="2AEB2687"/>
    <w:rsid w:val="2AFB6D6E"/>
    <w:rsid w:val="2B057BED"/>
    <w:rsid w:val="2B14398C"/>
    <w:rsid w:val="2B367DA6"/>
    <w:rsid w:val="2B412386"/>
    <w:rsid w:val="2B4A1AA4"/>
    <w:rsid w:val="2B4A7350"/>
    <w:rsid w:val="2B6568DD"/>
    <w:rsid w:val="2B681F2A"/>
    <w:rsid w:val="2B852ADC"/>
    <w:rsid w:val="2B8E7BE2"/>
    <w:rsid w:val="2B9754BD"/>
    <w:rsid w:val="2BAE2033"/>
    <w:rsid w:val="2BB34FD2"/>
    <w:rsid w:val="2BE879B1"/>
    <w:rsid w:val="2BFB4B4C"/>
    <w:rsid w:val="2C043A01"/>
    <w:rsid w:val="2C0B1233"/>
    <w:rsid w:val="2C424529"/>
    <w:rsid w:val="2C4A1610"/>
    <w:rsid w:val="2C762876"/>
    <w:rsid w:val="2C892158"/>
    <w:rsid w:val="2C931228"/>
    <w:rsid w:val="2CAE1BBE"/>
    <w:rsid w:val="2CB73169"/>
    <w:rsid w:val="2CC47634"/>
    <w:rsid w:val="2CCA2E9C"/>
    <w:rsid w:val="2CCE571D"/>
    <w:rsid w:val="2CD77367"/>
    <w:rsid w:val="2CEA687B"/>
    <w:rsid w:val="2CF47F19"/>
    <w:rsid w:val="2CF63C91"/>
    <w:rsid w:val="2D087520"/>
    <w:rsid w:val="2D1633EB"/>
    <w:rsid w:val="2D287BC3"/>
    <w:rsid w:val="2D4A5D8B"/>
    <w:rsid w:val="2D656721"/>
    <w:rsid w:val="2D746964"/>
    <w:rsid w:val="2D796670"/>
    <w:rsid w:val="2D7E2124"/>
    <w:rsid w:val="2DA01E4F"/>
    <w:rsid w:val="2DB14EDB"/>
    <w:rsid w:val="2DB43204"/>
    <w:rsid w:val="2DBB0A37"/>
    <w:rsid w:val="2DC7118A"/>
    <w:rsid w:val="2DCA0C7A"/>
    <w:rsid w:val="2DDD09AD"/>
    <w:rsid w:val="2DE16C1F"/>
    <w:rsid w:val="2E0B376C"/>
    <w:rsid w:val="2E1B2EA1"/>
    <w:rsid w:val="2E3507E9"/>
    <w:rsid w:val="2E4647A4"/>
    <w:rsid w:val="2E505623"/>
    <w:rsid w:val="2E5F13C2"/>
    <w:rsid w:val="2E63511A"/>
    <w:rsid w:val="2E6C1D31"/>
    <w:rsid w:val="2E750BE6"/>
    <w:rsid w:val="2E840E29"/>
    <w:rsid w:val="2E874603"/>
    <w:rsid w:val="2E991DFC"/>
    <w:rsid w:val="2E9D1EEA"/>
    <w:rsid w:val="2EA63495"/>
    <w:rsid w:val="2EA65243"/>
    <w:rsid w:val="2EAB2859"/>
    <w:rsid w:val="2EAC037F"/>
    <w:rsid w:val="2EAD65D1"/>
    <w:rsid w:val="2EB35320"/>
    <w:rsid w:val="2EDC0C65"/>
    <w:rsid w:val="2EE713B8"/>
    <w:rsid w:val="2EEB70FA"/>
    <w:rsid w:val="2EF25B35"/>
    <w:rsid w:val="2F0B779C"/>
    <w:rsid w:val="2F111D48"/>
    <w:rsid w:val="2F210D6D"/>
    <w:rsid w:val="2F317872"/>
    <w:rsid w:val="2F3F0C54"/>
    <w:rsid w:val="2F4615DA"/>
    <w:rsid w:val="2F5702EB"/>
    <w:rsid w:val="2F5A7DDB"/>
    <w:rsid w:val="2F5C7FF7"/>
    <w:rsid w:val="2F6B3D97"/>
    <w:rsid w:val="2FC31E25"/>
    <w:rsid w:val="2FE778C1"/>
    <w:rsid w:val="2FE853E7"/>
    <w:rsid w:val="30000983"/>
    <w:rsid w:val="30087837"/>
    <w:rsid w:val="30157C6C"/>
    <w:rsid w:val="302723B3"/>
    <w:rsid w:val="30281C88"/>
    <w:rsid w:val="306B04F2"/>
    <w:rsid w:val="30803872"/>
    <w:rsid w:val="308E41E1"/>
    <w:rsid w:val="309F019C"/>
    <w:rsid w:val="30E43E01"/>
    <w:rsid w:val="30ED2B9B"/>
    <w:rsid w:val="30FD7AF6"/>
    <w:rsid w:val="31197749"/>
    <w:rsid w:val="315E3BB3"/>
    <w:rsid w:val="316867E0"/>
    <w:rsid w:val="31A67308"/>
    <w:rsid w:val="31BE28A4"/>
    <w:rsid w:val="31CD1BEC"/>
    <w:rsid w:val="31DE0CE5"/>
    <w:rsid w:val="32081D71"/>
    <w:rsid w:val="321E1D54"/>
    <w:rsid w:val="322546D1"/>
    <w:rsid w:val="32290665"/>
    <w:rsid w:val="322A1CE7"/>
    <w:rsid w:val="325A6A70"/>
    <w:rsid w:val="326907CD"/>
    <w:rsid w:val="32691053"/>
    <w:rsid w:val="328E2276"/>
    <w:rsid w:val="32943604"/>
    <w:rsid w:val="32981347"/>
    <w:rsid w:val="329B2BE5"/>
    <w:rsid w:val="32A538A5"/>
    <w:rsid w:val="32A55811"/>
    <w:rsid w:val="32B31CDC"/>
    <w:rsid w:val="32F26FC1"/>
    <w:rsid w:val="330E360D"/>
    <w:rsid w:val="33152997"/>
    <w:rsid w:val="3321758E"/>
    <w:rsid w:val="3328091C"/>
    <w:rsid w:val="33294694"/>
    <w:rsid w:val="335334BF"/>
    <w:rsid w:val="335D0E90"/>
    <w:rsid w:val="336254B1"/>
    <w:rsid w:val="336D632F"/>
    <w:rsid w:val="33865643"/>
    <w:rsid w:val="338F013D"/>
    <w:rsid w:val="33957634"/>
    <w:rsid w:val="33A51F6D"/>
    <w:rsid w:val="33AB32FB"/>
    <w:rsid w:val="33AF6948"/>
    <w:rsid w:val="33B37D2E"/>
    <w:rsid w:val="33C27E97"/>
    <w:rsid w:val="33DE0FDB"/>
    <w:rsid w:val="340A1DD0"/>
    <w:rsid w:val="340B78F6"/>
    <w:rsid w:val="34277894"/>
    <w:rsid w:val="34346E4D"/>
    <w:rsid w:val="34692F9B"/>
    <w:rsid w:val="34757B91"/>
    <w:rsid w:val="3486639C"/>
    <w:rsid w:val="34C77CC1"/>
    <w:rsid w:val="34C91C8B"/>
    <w:rsid w:val="34E42621"/>
    <w:rsid w:val="34FB796B"/>
    <w:rsid w:val="350C3926"/>
    <w:rsid w:val="3511718E"/>
    <w:rsid w:val="351F5D4F"/>
    <w:rsid w:val="352620DC"/>
    <w:rsid w:val="35367B76"/>
    <w:rsid w:val="357339A5"/>
    <w:rsid w:val="358768A1"/>
    <w:rsid w:val="358D0F0B"/>
    <w:rsid w:val="35A25BB6"/>
    <w:rsid w:val="35A46254"/>
    <w:rsid w:val="35C3492C"/>
    <w:rsid w:val="35CF507F"/>
    <w:rsid w:val="35D00DF7"/>
    <w:rsid w:val="35E5310F"/>
    <w:rsid w:val="35E6061B"/>
    <w:rsid w:val="35EF127D"/>
    <w:rsid w:val="35FA5E74"/>
    <w:rsid w:val="360D3DFA"/>
    <w:rsid w:val="36174C78"/>
    <w:rsid w:val="362C24D2"/>
    <w:rsid w:val="363B44C3"/>
    <w:rsid w:val="36592B9B"/>
    <w:rsid w:val="365E28A7"/>
    <w:rsid w:val="3661430F"/>
    <w:rsid w:val="36745C27"/>
    <w:rsid w:val="369D587E"/>
    <w:rsid w:val="36AF6C5F"/>
    <w:rsid w:val="36BD1FE6"/>
    <w:rsid w:val="36C24BE4"/>
    <w:rsid w:val="36CC15BF"/>
    <w:rsid w:val="36CF1D5D"/>
    <w:rsid w:val="36E26C96"/>
    <w:rsid w:val="36E36908"/>
    <w:rsid w:val="36E92171"/>
    <w:rsid w:val="36FF7BE6"/>
    <w:rsid w:val="3707096C"/>
    <w:rsid w:val="370A20E7"/>
    <w:rsid w:val="370F3BF6"/>
    <w:rsid w:val="371116C7"/>
    <w:rsid w:val="37114DD4"/>
    <w:rsid w:val="373830F8"/>
    <w:rsid w:val="375C6DE7"/>
    <w:rsid w:val="377E1EC2"/>
    <w:rsid w:val="37893954"/>
    <w:rsid w:val="378E2D18"/>
    <w:rsid w:val="37A367C3"/>
    <w:rsid w:val="37BF590C"/>
    <w:rsid w:val="37CC21E5"/>
    <w:rsid w:val="37D72911"/>
    <w:rsid w:val="37F214F9"/>
    <w:rsid w:val="381B0A50"/>
    <w:rsid w:val="381C20D2"/>
    <w:rsid w:val="38286FB8"/>
    <w:rsid w:val="383E64EC"/>
    <w:rsid w:val="38482EC7"/>
    <w:rsid w:val="38654298"/>
    <w:rsid w:val="386D6DD1"/>
    <w:rsid w:val="387737AC"/>
    <w:rsid w:val="387939C8"/>
    <w:rsid w:val="387E2D8D"/>
    <w:rsid w:val="389820A0"/>
    <w:rsid w:val="389E359A"/>
    <w:rsid w:val="38B62526"/>
    <w:rsid w:val="38B73ED6"/>
    <w:rsid w:val="38EF3C8A"/>
    <w:rsid w:val="390C2146"/>
    <w:rsid w:val="390F1C37"/>
    <w:rsid w:val="391536F1"/>
    <w:rsid w:val="39237490"/>
    <w:rsid w:val="39293004"/>
    <w:rsid w:val="392F4273"/>
    <w:rsid w:val="393578EF"/>
    <w:rsid w:val="39365415"/>
    <w:rsid w:val="393F251C"/>
    <w:rsid w:val="394144E6"/>
    <w:rsid w:val="394E6C03"/>
    <w:rsid w:val="39700927"/>
    <w:rsid w:val="39882115"/>
    <w:rsid w:val="39932868"/>
    <w:rsid w:val="399565E0"/>
    <w:rsid w:val="39AD1B7B"/>
    <w:rsid w:val="39BD78E5"/>
    <w:rsid w:val="39C24EFB"/>
    <w:rsid w:val="39C90037"/>
    <w:rsid w:val="39E10D60"/>
    <w:rsid w:val="39FE23D7"/>
    <w:rsid w:val="3A06128C"/>
    <w:rsid w:val="3A15327D"/>
    <w:rsid w:val="3A217E73"/>
    <w:rsid w:val="3A5244D1"/>
    <w:rsid w:val="3A59585F"/>
    <w:rsid w:val="3A5C70FE"/>
    <w:rsid w:val="3A5E69D2"/>
    <w:rsid w:val="3A773F37"/>
    <w:rsid w:val="3A7E0E22"/>
    <w:rsid w:val="3AAD7959"/>
    <w:rsid w:val="3ABC687E"/>
    <w:rsid w:val="3AC6401A"/>
    <w:rsid w:val="3AD9074E"/>
    <w:rsid w:val="3AF630AE"/>
    <w:rsid w:val="3B0C0B24"/>
    <w:rsid w:val="3B135A0E"/>
    <w:rsid w:val="3B1D688D"/>
    <w:rsid w:val="3B20012B"/>
    <w:rsid w:val="3B293484"/>
    <w:rsid w:val="3B2B584C"/>
    <w:rsid w:val="3B2C4D22"/>
    <w:rsid w:val="3B3F4A55"/>
    <w:rsid w:val="3B660234"/>
    <w:rsid w:val="3BA24FE4"/>
    <w:rsid w:val="3BBD1E1E"/>
    <w:rsid w:val="3BC136BC"/>
    <w:rsid w:val="3BC46D08"/>
    <w:rsid w:val="3BD319FF"/>
    <w:rsid w:val="3BF75330"/>
    <w:rsid w:val="3BFC5E74"/>
    <w:rsid w:val="3C0059BB"/>
    <w:rsid w:val="3C26744A"/>
    <w:rsid w:val="3C553E04"/>
    <w:rsid w:val="3C5F3E33"/>
    <w:rsid w:val="3C636521"/>
    <w:rsid w:val="3C6A3D54"/>
    <w:rsid w:val="3C706E90"/>
    <w:rsid w:val="3C7324DC"/>
    <w:rsid w:val="3C7F0E81"/>
    <w:rsid w:val="3C834E15"/>
    <w:rsid w:val="3C905550"/>
    <w:rsid w:val="3C964B49"/>
    <w:rsid w:val="3C9E1C4F"/>
    <w:rsid w:val="3CB7061B"/>
    <w:rsid w:val="3CB90837"/>
    <w:rsid w:val="3CBE5E4E"/>
    <w:rsid w:val="3CDB255C"/>
    <w:rsid w:val="3D0D307C"/>
    <w:rsid w:val="3D37175C"/>
    <w:rsid w:val="3D3D6D72"/>
    <w:rsid w:val="3D712EC0"/>
    <w:rsid w:val="3D8B21D4"/>
    <w:rsid w:val="3DA07301"/>
    <w:rsid w:val="3DA23079"/>
    <w:rsid w:val="3DA46DF1"/>
    <w:rsid w:val="3DD671C7"/>
    <w:rsid w:val="3DD75419"/>
    <w:rsid w:val="3DD82F3F"/>
    <w:rsid w:val="3DF338D5"/>
    <w:rsid w:val="3DFA4C63"/>
    <w:rsid w:val="3E083824"/>
    <w:rsid w:val="3E173A67"/>
    <w:rsid w:val="3E4203B8"/>
    <w:rsid w:val="3E5E3417"/>
    <w:rsid w:val="3E682515"/>
    <w:rsid w:val="3E6F1E22"/>
    <w:rsid w:val="3E7C1B1C"/>
    <w:rsid w:val="3E907376"/>
    <w:rsid w:val="3E950E30"/>
    <w:rsid w:val="3E9E5F37"/>
    <w:rsid w:val="3EB70DA6"/>
    <w:rsid w:val="3EE6168C"/>
    <w:rsid w:val="3F2758C4"/>
    <w:rsid w:val="3F5E4365"/>
    <w:rsid w:val="3F70009F"/>
    <w:rsid w:val="3FA07A8C"/>
    <w:rsid w:val="3FA27361"/>
    <w:rsid w:val="3FC76DC7"/>
    <w:rsid w:val="3FD414E4"/>
    <w:rsid w:val="3FE0711F"/>
    <w:rsid w:val="3FE312E3"/>
    <w:rsid w:val="3FEA2868"/>
    <w:rsid w:val="3FF878C8"/>
    <w:rsid w:val="401069C0"/>
    <w:rsid w:val="40381A73"/>
    <w:rsid w:val="404C3770"/>
    <w:rsid w:val="408C0DB1"/>
    <w:rsid w:val="40953369"/>
    <w:rsid w:val="40970E8F"/>
    <w:rsid w:val="409C0254"/>
    <w:rsid w:val="40B4756A"/>
    <w:rsid w:val="40CF687B"/>
    <w:rsid w:val="40D479EE"/>
    <w:rsid w:val="40D75730"/>
    <w:rsid w:val="40E51BFB"/>
    <w:rsid w:val="411058C0"/>
    <w:rsid w:val="41197AF6"/>
    <w:rsid w:val="41344930"/>
    <w:rsid w:val="414C1C7A"/>
    <w:rsid w:val="414D154E"/>
    <w:rsid w:val="415329EB"/>
    <w:rsid w:val="415470E2"/>
    <w:rsid w:val="41556814"/>
    <w:rsid w:val="41630D72"/>
    <w:rsid w:val="4182569C"/>
    <w:rsid w:val="4182744A"/>
    <w:rsid w:val="41847666"/>
    <w:rsid w:val="41874A60"/>
    <w:rsid w:val="418A27A2"/>
    <w:rsid w:val="418B2B0D"/>
    <w:rsid w:val="4194717D"/>
    <w:rsid w:val="41967399"/>
    <w:rsid w:val="41AF5742"/>
    <w:rsid w:val="41B808D2"/>
    <w:rsid w:val="41BB759E"/>
    <w:rsid w:val="41C757A4"/>
    <w:rsid w:val="41D34149"/>
    <w:rsid w:val="41DD28D2"/>
    <w:rsid w:val="41E53E7C"/>
    <w:rsid w:val="423170C2"/>
    <w:rsid w:val="424B1F31"/>
    <w:rsid w:val="42734FE4"/>
    <w:rsid w:val="42770F78"/>
    <w:rsid w:val="42937435"/>
    <w:rsid w:val="429C09DF"/>
    <w:rsid w:val="42A33B1C"/>
    <w:rsid w:val="42AC04F6"/>
    <w:rsid w:val="42B51AA1"/>
    <w:rsid w:val="42B740A7"/>
    <w:rsid w:val="42C6780A"/>
    <w:rsid w:val="42E269CA"/>
    <w:rsid w:val="42ED123B"/>
    <w:rsid w:val="42F223AD"/>
    <w:rsid w:val="43157425"/>
    <w:rsid w:val="43222604"/>
    <w:rsid w:val="43291B47"/>
    <w:rsid w:val="432D2471"/>
    <w:rsid w:val="43301127"/>
    <w:rsid w:val="4353477A"/>
    <w:rsid w:val="43566DE0"/>
    <w:rsid w:val="435E3EE6"/>
    <w:rsid w:val="43600F52"/>
    <w:rsid w:val="43721740"/>
    <w:rsid w:val="4392593E"/>
    <w:rsid w:val="439711A6"/>
    <w:rsid w:val="43C05511"/>
    <w:rsid w:val="43C31F9B"/>
    <w:rsid w:val="43C662FC"/>
    <w:rsid w:val="43D45F57"/>
    <w:rsid w:val="43DB1093"/>
    <w:rsid w:val="43E4467E"/>
    <w:rsid w:val="43F263DD"/>
    <w:rsid w:val="44676DCB"/>
    <w:rsid w:val="44692B43"/>
    <w:rsid w:val="446B6021"/>
    <w:rsid w:val="448B4867"/>
    <w:rsid w:val="44AE67A8"/>
    <w:rsid w:val="44D0671E"/>
    <w:rsid w:val="44D22496"/>
    <w:rsid w:val="44E126D9"/>
    <w:rsid w:val="45244CBC"/>
    <w:rsid w:val="452B1BA6"/>
    <w:rsid w:val="454A380C"/>
    <w:rsid w:val="454F3AE7"/>
    <w:rsid w:val="4550160D"/>
    <w:rsid w:val="45603F46"/>
    <w:rsid w:val="456F4189"/>
    <w:rsid w:val="45813EBC"/>
    <w:rsid w:val="459972E4"/>
    <w:rsid w:val="45FC7108"/>
    <w:rsid w:val="46004DE1"/>
    <w:rsid w:val="460A2104"/>
    <w:rsid w:val="460F3276"/>
    <w:rsid w:val="46401681"/>
    <w:rsid w:val="46592743"/>
    <w:rsid w:val="466E4440"/>
    <w:rsid w:val="468123C6"/>
    <w:rsid w:val="46827EEC"/>
    <w:rsid w:val="46B245AC"/>
    <w:rsid w:val="46C202E8"/>
    <w:rsid w:val="46DF70EC"/>
    <w:rsid w:val="46F41115"/>
    <w:rsid w:val="46FC7C9E"/>
    <w:rsid w:val="47134FE8"/>
    <w:rsid w:val="471D19C3"/>
    <w:rsid w:val="471F398D"/>
    <w:rsid w:val="47372A84"/>
    <w:rsid w:val="473A7BED"/>
    <w:rsid w:val="476E221E"/>
    <w:rsid w:val="477C0DDF"/>
    <w:rsid w:val="477F61D9"/>
    <w:rsid w:val="47863A67"/>
    <w:rsid w:val="478F71C4"/>
    <w:rsid w:val="47BB1907"/>
    <w:rsid w:val="47EC1AC1"/>
    <w:rsid w:val="47FB61A8"/>
    <w:rsid w:val="48050DD4"/>
    <w:rsid w:val="480768FB"/>
    <w:rsid w:val="48111527"/>
    <w:rsid w:val="4821786A"/>
    <w:rsid w:val="4825146D"/>
    <w:rsid w:val="48270D4B"/>
    <w:rsid w:val="482D5894"/>
    <w:rsid w:val="4873625E"/>
    <w:rsid w:val="48AE6D76"/>
    <w:rsid w:val="48B40105"/>
    <w:rsid w:val="48B84099"/>
    <w:rsid w:val="48C4659A"/>
    <w:rsid w:val="48D10CB7"/>
    <w:rsid w:val="48EB621C"/>
    <w:rsid w:val="48EC56D9"/>
    <w:rsid w:val="48FB08F2"/>
    <w:rsid w:val="492B03C7"/>
    <w:rsid w:val="49311755"/>
    <w:rsid w:val="49374FBE"/>
    <w:rsid w:val="49471290"/>
    <w:rsid w:val="495E079C"/>
    <w:rsid w:val="497F6965"/>
    <w:rsid w:val="49A63EF1"/>
    <w:rsid w:val="49C16050"/>
    <w:rsid w:val="49DE7B2F"/>
    <w:rsid w:val="49F95638"/>
    <w:rsid w:val="4A286FFC"/>
    <w:rsid w:val="4A5C2802"/>
    <w:rsid w:val="4A6169D0"/>
    <w:rsid w:val="4A6A13C3"/>
    <w:rsid w:val="4A7B35D0"/>
    <w:rsid w:val="4A7D10F6"/>
    <w:rsid w:val="4A993A56"/>
    <w:rsid w:val="4AB34B18"/>
    <w:rsid w:val="4ABF34BD"/>
    <w:rsid w:val="4AE62B3D"/>
    <w:rsid w:val="4AFB201B"/>
    <w:rsid w:val="4B014864"/>
    <w:rsid w:val="4B271062"/>
    <w:rsid w:val="4B3F63AB"/>
    <w:rsid w:val="4B425E9C"/>
    <w:rsid w:val="4B797B0F"/>
    <w:rsid w:val="4B8464B4"/>
    <w:rsid w:val="4B9366F7"/>
    <w:rsid w:val="4B954E7C"/>
    <w:rsid w:val="4B9A5CD8"/>
    <w:rsid w:val="4BBE3774"/>
    <w:rsid w:val="4BBF129A"/>
    <w:rsid w:val="4BE13907"/>
    <w:rsid w:val="4C0A0767"/>
    <w:rsid w:val="4C0F3FD0"/>
    <w:rsid w:val="4C1635B0"/>
    <w:rsid w:val="4C206537"/>
    <w:rsid w:val="4C213D03"/>
    <w:rsid w:val="4C3B4DC5"/>
    <w:rsid w:val="4C417F01"/>
    <w:rsid w:val="4C520360"/>
    <w:rsid w:val="4C63256E"/>
    <w:rsid w:val="4C6C31D0"/>
    <w:rsid w:val="4C7223A4"/>
    <w:rsid w:val="4C7B78B7"/>
    <w:rsid w:val="4C934C01"/>
    <w:rsid w:val="4C9414B3"/>
    <w:rsid w:val="4C984932"/>
    <w:rsid w:val="4C9D782D"/>
    <w:rsid w:val="4CE52F83"/>
    <w:rsid w:val="4CEB4169"/>
    <w:rsid w:val="4CF11927"/>
    <w:rsid w:val="4D063625"/>
    <w:rsid w:val="4D1D44CA"/>
    <w:rsid w:val="4D265A75"/>
    <w:rsid w:val="4D36558C"/>
    <w:rsid w:val="4D467EC5"/>
    <w:rsid w:val="4D64659D"/>
    <w:rsid w:val="4D6F2111"/>
    <w:rsid w:val="4D7762D0"/>
    <w:rsid w:val="4D7F706A"/>
    <w:rsid w:val="4D926C66"/>
    <w:rsid w:val="4DAE15C6"/>
    <w:rsid w:val="4DBC0187"/>
    <w:rsid w:val="4DC72EBD"/>
    <w:rsid w:val="4DC82688"/>
    <w:rsid w:val="4DCC4263"/>
    <w:rsid w:val="4DE0665B"/>
    <w:rsid w:val="4DF0398D"/>
    <w:rsid w:val="4DFA0CB0"/>
    <w:rsid w:val="4E013DEC"/>
    <w:rsid w:val="4E031912"/>
    <w:rsid w:val="4E092CA1"/>
    <w:rsid w:val="4E231FB4"/>
    <w:rsid w:val="4E451F2B"/>
    <w:rsid w:val="4E6B046C"/>
    <w:rsid w:val="4E707289"/>
    <w:rsid w:val="4E8D742E"/>
    <w:rsid w:val="4E9C58C3"/>
    <w:rsid w:val="4E9E4717"/>
    <w:rsid w:val="4EB15812"/>
    <w:rsid w:val="4EB250E6"/>
    <w:rsid w:val="4EBD7DE3"/>
    <w:rsid w:val="4EC372F3"/>
    <w:rsid w:val="4ECC7F56"/>
    <w:rsid w:val="4ED432AF"/>
    <w:rsid w:val="4EEA3D40"/>
    <w:rsid w:val="4EFB4CDF"/>
    <w:rsid w:val="4F00728A"/>
    <w:rsid w:val="4F134B35"/>
    <w:rsid w:val="4F2E6E63"/>
    <w:rsid w:val="4F38383D"/>
    <w:rsid w:val="4F3F6AB1"/>
    <w:rsid w:val="4F42290E"/>
    <w:rsid w:val="4F5D071B"/>
    <w:rsid w:val="4F60078E"/>
    <w:rsid w:val="4F6472FD"/>
    <w:rsid w:val="4F6C6E86"/>
    <w:rsid w:val="4F9B688F"/>
    <w:rsid w:val="4FA9473B"/>
    <w:rsid w:val="4FB01626"/>
    <w:rsid w:val="4FB530E0"/>
    <w:rsid w:val="4FE038AE"/>
    <w:rsid w:val="4FE65048"/>
    <w:rsid w:val="4FF84FB4"/>
    <w:rsid w:val="5006393C"/>
    <w:rsid w:val="50083210"/>
    <w:rsid w:val="500D0826"/>
    <w:rsid w:val="502618E8"/>
    <w:rsid w:val="50267B3A"/>
    <w:rsid w:val="5041798F"/>
    <w:rsid w:val="50533B81"/>
    <w:rsid w:val="50681F00"/>
    <w:rsid w:val="506B379F"/>
    <w:rsid w:val="50700DB5"/>
    <w:rsid w:val="50AD2009"/>
    <w:rsid w:val="50BE5FC4"/>
    <w:rsid w:val="50CC06E1"/>
    <w:rsid w:val="50CD4378"/>
    <w:rsid w:val="5100482F"/>
    <w:rsid w:val="51204589"/>
    <w:rsid w:val="51556929"/>
    <w:rsid w:val="516F1791"/>
    <w:rsid w:val="51716314"/>
    <w:rsid w:val="517F7502"/>
    <w:rsid w:val="51844B18"/>
    <w:rsid w:val="5208399B"/>
    <w:rsid w:val="52151C14"/>
    <w:rsid w:val="522B1438"/>
    <w:rsid w:val="52374280"/>
    <w:rsid w:val="5245699D"/>
    <w:rsid w:val="52505342"/>
    <w:rsid w:val="5253098E"/>
    <w:rsid w:val="526130AB"/>
    <w:rsid w:val="52650DED"/>
    <w:rsid w:val="52A5743C"/>
    <w:rsid w:val="52A66D10"/>
    <w:rsid w:val="52C80FB1"/>
    <w:rsid w:val="52C92F68"/>
    <w:rsid w:val="52CA29FF"/>
    <w:rsid w:val="52DC2732"/>
    <w:rsid w:val="52F42171"/>
    <w:rsid w:val="52F537F4"/>
    <w:rsid w:val="530C1269"/>
    <w:rsid w:val="530F0D59"/>
    <w:rsid w:val="532049DD"/>
    <w:rsid w:val="534327B1"/>
    <w:rsid w:val="534704F3"/>
    <w:rsid w:val="535E583D"/>
    <w:rsid w:val="5367649F"/>
    <w:rsid w:val="538D3F6C"/>
    <w:rsid w:val="538E1C7E"/>
    <w:rsid w:val="53964FD7"/>
    <w:rsid w:val="539B439B"/>
    <w:rsid w:val="539F3E8B"/>
    <w:rsid w:val="53B92A73"/>
    <w:rsid w:val="53C27B7A"/>
    <w:rsid w:val="53CF4C12"/>
    <w:rsid w:val="53D14261"/>
    <w:rsid w:val="53D224B3"/>
    <w:rsid w:val="53FC12DE"/>
    <w:rsid w:val="540168F4"/>
    <w:rsid w:val="54087D99"/>
    <w:rsid w:val="541D74A6"/>
    <w:rsid w:val="54346FD8"/>
    <w:rsid w:val="54413194"/>
    <w:rsid w:val="54436F0C"/>
    <w:rsid w:val="547A66A6"/>
    <w:rsid w:val="54931516"/>
    <w:rsid w:val="5495528E"/>
    <w:rsid w:val="54977258"/>
    <w:rsid w:val="54A72003"/>
    <w:rsid w:val="54FC355F"/>
    <w:rsid w:val="5503669C"/>
    <w:rsid w:val="55141E73"/>
    <w:rsid w:val="55326F81"/>
    <w:rsid w:val="554051FA"/>
    <w:rsid w:val="55425416"/>
    <w:rsid w:val="55564A1D"/>
    <w:rsid w:val="555E7D76"/>
    <w:rsid w:val="55690291"/>
    <w:rsid w:val="556F788D"/>
    <w:rsid w:val="557C1FAA"/>
    <w:rsid w:val="55945546"/>
    <w:rsid w:val="559519EA"/>
    <w:rsid w:val="559B68D4"/>
    <w:rsid w:val="55AC6D33"/>
    <w:rsid w:val="55AE4859"/>
    <w:rsid w:val="55DF2C65"/>
    <w:rsid w:val="55F83D27"/>
    <w:rsid w:val="56023921"/>
    <w:rsid w:val="563D798B"/>
    <w:rsid w:val="567C4958"/>
    <w:rsid w:val="567D450A"/>
    <w:rsid w:val="56BC6B02"/>
    <w:rsid w:val="56C02A96"/>
    <w:rsid w:val="56D24578"/>
    <w:rsid w:val="56E010A8"/>
    <w:rsid w:val="56F52014"/>
    <w:rsid w:val="57071EFB"/>
    <w:rsid w:val="57081D47"/>
    <w:rsid w:val="57250B4B"/>
    <w:rsid w:val="573963A5"/>
    <w:rsid w:val="57504E2F"/>
    <w:rsid w:val="57511940"/>
    <w:rsid w:val="576B22D6"/>
    <w:rsid w:val="578A30DC"/>
    <w:rsid w:val="5798756F"/>
    <w:rsid w:val="57AE6D93"/>
    <w:rsid w:val="57B91294"/>
    <w:rsid w:val="57EE53E1"/>
    <w:rsid w:val="5809250B"/>
    <w:rsid w:val="5818420C"/>
    <w:rsid w:val="589C6BEB"/>
    <w:rsid w:val="58AE4B70"/>
    <w:rsid w:val="58B02697"/>
    <w:rsid w:val="58BC103B"/>
    <w:rsid w:val="58BE1257"/>
    <w:rsid w:val="58BF0B2C"/>
    <w:rsid w:val="58C6010C"/>
    <w:rsid w:val="58CB127E"/>
    <w:rsid w:val="58D00F8B"/>
    <w:rsid w:val="58D02D39"/>
    <w:rsid w:val="58E24B57"/>
    <w:rsid w:val="59050C34"/>
    <w:rsid w:val="590D7AE9"/>
    <w:rsid w:val="59281992"/>
    <w:rsid w:val="592941F7"/>
    <w:rsid w:val="593037D7"/>
    <w:rsid w:val="593B5363"/>
    <w:rsid w:val="5952374E"/>
    <w:rsid w:val="595B6AA6"/>
    <w:rsid w:val="59633BAD"/>
    <w:rsid w:val="59814033"/>
    <w:rsid w:val="59A87812"/>
    <w:rsid w:val="59B47F65"/>
    <w:rsid w:val="5A1F5D26"/>
    <w:rsid w:val="5A3617D9"/>
    <w:rsid w:val="5A4237C2"/>
    <w:rsid w:val="5A43252D"/>
    <w:rsid w:val="5A4E2167"/>
    <w:rsid w:val="5A7F6B6C"/>
    <w:rsid w:val="5A8C2C8F"/>
    <w:rsid w:val="5A90452E"/>
    <w:rsid w:val="5A9D30EE"/>
    <w:rsid w:val="5AA93841"/>
    <w:rsid w:val="5AB20948"/>
    <w:rsid w:val="5AB26B9A"/>
    <w:rsid w:val="5ADE553D"/>
    <w:rsid w:val="5AF820D3"/>
    <w:rsid w:val="5AFA3ABF"/>
    <w:rsid w:val="5AFB613D"/>
    <w:rsid w:val="5B0373F5"/>
    <w:rsid w:val="5B0647F0"/>
    <w:rsid w:val="5B070568"/>
    <w:rsid w:val="5B10566E"/>
    <w:rsid w:val="5B2D7FCE"/>
    <w:rsid w:val="5B3A093D"/>
    <w:rsid w:val="5B5E462C"/>
    <w:rsid w:val="5B6753BA"/>
    <w:rsid w:val="5B863B83"/>
    <w:rsid w:val="5B884B20"/>
    <w:rsid w:val="5B914A01"/>
    <w:rsid w:val="5B9B5880"/>
    <w:rsid w:val="5BAF4E87"/>
    <w:rsid w:val="5BAF6495"/>
    <w:rsid w:val="5BBA55DA"/>
    <w:rsid w:val="5BC0556E"/>
    <w:rsid w:val="5BC81C40"/>
    <w:rsid w:val="5BDD7C46"/>
    <w:rsid w:val="5BE70AC5"/>
    <w:rsid w:val="5BEF34D6"/>
    <w:rsid w:val="5C126666"/>
    <w:rsid w:val="5C15542F"/>
    <w:rsid w:val="5C1967A5"/>
    <w:rsid w:val="5C1F5A65"/>
    <w:rsid w:val="5C2C0286"/>
    <w:rsid w:val="5C49708A"/>
    <w:rsid w:val="5C4C26D6"/>
    <w:rsid w:val="5C606182"/>
    <w:rsid w:val="5C7F1F20"/>
    <w:rsid w:val="5C930305"/>
    <w:rsid w:val="5C981DBF"/>
    <w:rsid w:val="5CF05758"/>
    <w:rsid w:val="5CF35248"/>
    <w:rsid w:val="5CF54B1C"/>
    <w:rsid w:val="5CF97E35"/>
    <w:rsid w:val="5CFF1E3E"/>
    <w:rsid w:val="5D0B2917"/>
    <w:rsid w:val="5D1E0517"/>
    <w:rsid w:val="5D215911"/>
    <w:rsid w:val="5D2418A5"/>
    <w:rsid w:val="5D331AE8"/>
    <w:rsid w:val="5D335644"/>
    <w:rsid w:val="5D423AD9"/>
    <w:rsid w:val="5D532DB4"/>
    <w:rsid w:val="5D5A7075"/>
    <w:rsid w:val="5D63417B"/>
    <w:rsid w:val="5D740137"/>
    <w:rsid w:val="5D924A61"/>
    <w:rsid w:val="5D9562FF"/>
    <w:rsid w:val="5DA327CA"/>
    <w:rsid w:val="5DA56542"/>
    <w:rsid w:val="5DB04EE7"/>
    <w:rsid w:val="5DB26EB1"/>
    <w:rsid w:val="5DE132F2"/>
    <w:rsid w:val="5DEF17B3"/>
    <w:rsid w:val="5DF43025"/>
    <w:rsid w:val="5DF9688E"/>
    <w:rsid w:val="5E072D6A"/>
    <w:rsid w:val="5E1C432A"/>
    <w:rsid w:val="5E2356B9"/>
    <w:rsid w:val="5E3B0C54"/>
    <w:rsid w:val="5E4A533B"/>
    <w:rsid w:val="5E4A70E9"/>
    <w:rsid w:val="5E5341F0"/>
    <w:rsid w:val="5E55537D"/>
    <w:rsid w:val="5E653F23"/>
    <w:rsid w:val="5E800D5D"/>
    <w:rsid w:val="5E856373"/>
    <w:rsid w:val="5EA06D09"/>
    <w:rsid w:val="5EC7698C"/>
    <w:rsid w:val="5ED510A9"/>
    <w:rsid w:val="5ED7710A"/>
    <w:rsid w:val="5EE035AA"/>
    <w:rsid w:val="5EE709A4"/>
    <w:rsid w:val="5EF13A09"/>
    <w:rsid w:val="5F245B8C"/>
    <w:rsid w:val="5F3D27AA"/>
    <w:rsid w:val="5F5244A8"/>
    <w:rsid w:val="5F676EFD"/>
    <w:rsid w:val="5F700DD2"/>
    <w:rsid w:val="5F904FD0"/>
    <w:rsid w:val="5F9439FA"/>
    <w:rsid w:val="5FB31F31"/>
    <w:rsid w:val="5FC30F01"/>
    <w:rsid w:val="5FD21144"/>
    <w:rsid w:val="5FD74633"/>
    <w:rsid w:val="5FDE5D3B"/>
    <w:rsid w:val="60011A2A"/>
    <w:rsid w:val="603B318E"/>
    <w:rsid w:val="608F7035"/>
    <w:rsid w:val="60997EB4"/>
    <w:rsid w:val="60A26D69"/>
    <w:rsid w:val="60B13450"/>
    <w:rsid w:val="60C018E5"/>
    <w:rsid w:val="60C1245D"/>
    <w:rsid w:val="60E412C0"/>
    <w:rsid w:val="60F82579"/>
    <w:rsid w:val="6109328C"/>
    <w:rsid w:val="610B0DB2"/>
    <w:rsid w:val="61202383"/>
    <w:rsid w:val="61371BA7"/>
    <w:rsid w:val="613876CD"/>
    <w:rsid w:val="613C6465"/>
    <w:rsid w:val="614C4F26"/>
    <w:rsid w:val="61642270"/>
    <w:rsid w:val="6170330B"/>
    <w:rsid w:val="61A22D98"/>
    <w:rsid w:val="61B551C2"/>
    <w:rsid w:val="61B76844"/>
    <w:rsid w:val="61BA4586"/>
    <w:rsid w:val="61E323AE"/>
    <w:rsid w:val="61E33ADD"/>
    <w:rsid w:val="61E3588B"/>
    <w:rsid w:val="61F509FD"/>
    <w:rsid w:val="621719D8"/>
    <w:rsid w:val="622A170C"/>
    <w:rsid w:val="622C5484"/>
    <w:rsid w:val="623331AC"/>
    <w:rsid w:val="62522A10"/>
    <w:rsid w:val="62571DD5"/>
    <w:rsid w:val="625772C4"/>
    <w:rsid w:val="62682234"/>
    <w:rsid w:val="626926CD"/>
    <w:rsid w:val="62724E61"/>
    <w:rsid w:val="628250A4"/>
    <w:rsid w:val="629D3C8C"/>
    <w:rsid w:val="62A82630"/>
    <w:rsid w:val="62CE653B"/>
    <w:rsid w:val="62EF64B1"/>
    <w:rsid w:val="62FA10DE"/>
    <w:rsid w:val="632B74E9"/>
    <w:rsid w:val="63332842"/>
    <w:rsid w:val="633914DA"/>
    <w:rsid w:val="634467FD"/>
    <w:rsid w:val="6356208C"/>
    <w:rsid w:val="636B3D8A"/>
    <w:rsid w:val="636F3034"/>
    <w:rsid w:val="637758DE"/>
    <w:rsid w:val="63857EF8"/>
    <w:rsid w:val="639A641D"/>
    <w:rsid w:val="63C82F8A"/>
    <w:rsid w:val="63ED747E"/>
    <w:rsid w:val="63FD075A"/>
    <w:rsid w:val="64357EF4"/>
    <w:rsid w:val="646507D9"/>
    <w:rsid w:val="649015CE"/>
    <w:rsid w:val="64AA6B34"/>
    <w:rsid w:val="64D22CD7"/>
    <w:rsid w:val="64D67929"/>
    <w:rsid w:val="64DB6CED"/>
    <w:rsid w:val="64E262CE"/>
    <w:rsid w:val="650516A8"/>
    <w:rsid w:val="650F4BE9"/>
    <w:rsid w:val="65197815"/>
    <w:rsid w:val="65330581"/>
    <w:rsid w:val="657038D9"/>
    <w:rsid w:val="65735178"/>
    <w:rsid w:val="65830E72"/>
    <w:rsid w:val="65847385"/>
    <w:rsid w:val="65C62E15"/>
    <w:rsid w:val="65C92FEA"/>
    <w:rsid w:val="65D26342"/>
    <w:rsid w:val="66067D9A"/>
    <w:rsid w:val="660A2A6B"/>
    <w:rsid w:val="6618187B"/>
    <w:rsid w:val="662B5A52"/>
    <w:rsid w:val="66544FA9"/>
    <w:rsid w:val="66BB0B84"/>
    <w:rsid w:val="66BB6DD6"/>
    <w:rsid w:val="66C51A03"/>
    <w:rsid w:val="66D165FA"/>
    <w:rsid w:val="66E81280"/>
    <w:rsid w:val="66FE4F15"/>
    <w:rsid w:val="671B1623"/>
    <w:rsid w:val="673F7A07"/>
    <w:rsid w:val="676A4358"/>
    <w:rsid w:val="6773145F"/>
    <w:rsid w:val="67A4786A"/>
    <w:rsid w:val="67B33F51"/>
    <w:rsid w:val="67D0065F"/>
    <w:rsid w:val="67EE0AE5"/>
    <w:rsid w:val="67F02AB0"/>
    <w:rsid w:val="67F3434E"/>
    <w:rsid w:val="67FC76A6"/>
    <w:rsid w:val="68210EBB"/>
    <w:rsid w:val="682D3D04"/>
    <w:rsid w:val="684F1617"/>
    <w:rsid w:val="685C1EF3"/>
    <w:rsid w:val="68831B76"/>
    <w:rsid w:val="68A35D74"/>
    <w:rsid w:val="68AE296F"/>
    <w:rsid w:val="68BE495C"/>
    <w:rsid w:val="68D0643D"/>
    <w:rsid w:val="68ED5241"/>
    <w:rsid w:val="69004F74"/>
    <w:rsid w:val="690F6F65"/>
    <w:rsid w:val="69110DD3"/>
    <w:rsid w:val="691D526F"/>
    <w:rsid w:val="69676D3F"/>
    <w:rsid w:val="69765236"/>
    <w:rsid w:val="699D27C3"/>
    <w:rsid w:val="69A022B3"/>
    <w:rsid w:val="69A91168"/>
    <w:rsid w:val="69AC2A06"/>
    <w:rsid w:val="69BD2E65"/>
    <w:rsid w:val="69C53AC8"/>
    <w:rsid w:val="69D32689"/>
    <w:rsid w:val="69E44B6C"/>
    <w:rsid w:val="69F14CBF"/>
    <w:rsid w:val="6A266C5C"/>
    <w:rsid w:val="6A2E3597"/>
    <w:rsid w:val="6A333127"/>
    <w:rsid w:val="6A6432E1"/>
    <w:rsid w:val="6A6B0B13"/>
    <w:rsid w:val="6A75729C"/>
    <w:rsid w:val="6A8E65B0"/>
    <w:rsid w:val="6AAF0A00"/>
    <w:rsid w:val="6AE663EC"/>
    <w:rsid w:val="6AEF52A0"/>
    <w:rsid w:val="6AFC79BD"/>
    <w:rsid w:val="6B0074AE"/>
    <w:rsid w:val="6B030D4C"/>
    <w:rsid w:val="6B454EC0"/>
    <w:rsid w:val="6B4C44A1"/>
    <w:rsid w:val="6B4F5D3F"/>
    <w:rsid w:val="6B5E41D4"/>
    <w:rsid w:val="6B7A5555"/>
    <w:rsid w:val="6B7E7D97"/>
    <w:rsid w:val="6B814E0E"/>
    <w:rsid w:val="6B8E2D0B"/>
    <w:rsid w:val="6BA37E39"/>
    <w:rsid w:val="6BA75B7B"/>
    <w:rsid w:val="6BB107A8"/>
    <w:rsid w:val="6BB34520"/>
    <w:rsid w:val="6BB40298"/>
    <w:rsid w:val="6BD050D2"/>
    <w:rsid w:val="6BD46244"/>
    <w:rsid w:val="6BD83F86"/>
    <w:rsid w:val="6C021003"/>
    <w:rsid w:val="6C054650"/>
    <w:rsid w:val="6C101972"/>
    <w:rsid w:val="6C27128A"/>
    <w:rsid w:val="6C327B3B"/>
    <w:rsid w:val="6C437038"/>
    <w:rsid w:val="6C5B4D4B"/>
    <w:rsid w:val="6C6A77E5"/>
    <w:rsid w:val="6C773A8C"/>
    <w:rsid w:val="6C875F9B"/>
    <w:rsid w:val="6C8D150C"/>
    <w:rsid w:val="6C9D091B"/>
    <w:rsid w:val="6CA45DFD"/>
    <w:rsid w:val="6CC8224D"/>
    <w:rsid w:val="6CD56718"/>
    <w:rsid w:val="6CE35249"/>
    <w:rsid w:val="6CEF77DA"/>
    <w:rsid w:val="6D01750D"/>
    <w:rsid w:val="6D036DE1"/>
    <w:rsid w:val="6D176D30"/>
    <w:rsid w:val="6D394EF9"/>
    <w:rsid w:val="6D3F3718"/>
    <w:rsid w:val="6D54588F"/>
    <w:rsid w:val="6D54763D"/>
    <w:rsid w:val="6D5A614B"/>
    <w:rsid w:val="6D604233"/>
    <w:rsid w:val="6D806684"/>
    <w:rsid w:val="6D8819DC"/>
    <w:rsid w:val="6DB4457F"/>
    <w:rsid w:val="6DE54739"/>
    <w:rsid w:val="6DE85FD7"/>
    <w:rsid w:val="6DF66946"/>
    <w:rsid w:val="6DFF1C9E"/>
    <w:rsid w:val="6E112B79"/>
    <w:rsid w:val="6E1374F8"/>
    <w:rsid w:val="6E39711A"/>
    <w:rsid w:val="6E446B0F"/>
    <w:rsid w:val="6E7736D4"/>
    <w:rsid w:val="6E7837FF"/>
    <w:rsid w:val="6E997D6C"/>
    <w:rsid w:val="6E9A5523"/>
    <w:rsid w:val="6EA2262A"/>
    <w:rsid w:val="6EAC5256"/>
    <w:rsid w:val="6EB32A89"/>
    <w:rsid w:val="6EB56801"/>
    <w:rsid w:val="6EC151A6"/>
    <w:rsid w:val="6ED044E2"/>
    <w:rsid w:val="6ED07197"/>
    <w:rsid w:val="6EDC1FE0"/>
    <w:rsid w:val="6EF616F6"/>
    <w:rsid w:val="6F046E40"/>
    <w:rsid w:val="6F062BB9"/>
    <w:rsid w:val="6F0926A9"/>
    <w:rsid w:val="6F152DFC"/>
    <w:rsid w:val="6F17534A"/>
    <w:rsid w:val="6F571666"/>
    <w:rsid w:val="6F5B1156"/>
    <w:rsid w:val="6F5D575B"/>
    <w:rsid w:val="6F5E47A3"/>
    <w:rsid w:val="6F6049BF"/>
    <w:rsid w:val="6F7E3097"/>
    <w:rsid w:val="6F96218E"/>
    <w:rsid w:val="6FB50DC7"/>
    <w:rsid w:val="6FB87E05"/>
    <w:rsid w:val="6FCA008A"/>
    <w:rsid w:val="6FED5B27"/>
    <w:rsid w:val="6FF173C5"/>
    <w:rsid w:val="6FF43359"/>
    <w:rsid w:val="701632CF"/>
    <w:rsid w:val="702C664F"/>
    <w:rsid w:val="702E0619"/>
    <w:rsid w:val="70335C2F"/>
    <w:rsid w:val="706E6C67"/>
    <w:rsid w:val="70721D98"/>
    <w:rsid w:val="70785D38"/>
    <w:rsid w:val="708A15C7"/>
    <w:rsid w:val="70950698"/>
    <w:rsid w:val="70B328CC"/>
    <w:rsid w:val="70BB79D3"/>
    <w:rsid w:val="70DE203F"/>
    <w:rsid w:val="70F73101"/>
    <w:rsid w:val="70FB2903"/>
    <w:rsid w:val="70FC24C5"/>
    <w:rsid w:val="71047606"/>
    <w:rsid w:val="710D46D2"/>
    <w:rsid w:val="71285068"/>
    <w:rsid w:val="712F0BF3"/>
    <w:rsid w:val="713C6D66"/>
    <w:rsid w:val="71467526"/>
    <w:rsid w:val="715838BF"/>
    <w:rsid w:val="71681909"/>
    <w:rsid w:val="716D5171"/>
    <w:rsid w:val="718A5D23"/>
    <w:rsid w:val="71B763EC"/>
    <w:rsid w:val="71D64AC4"/>
    <w:rsid w:val="7205184D"/>
    <w:rsid w:val="72275320"/>
    <w:rsid w:val="722D66AE"/>
    <w:rsid w:val="724063E2"/>
    <w:rsid w:val="724539F8"/>
    <w:rsid w:val="72565C05"/>
    <w:rsid w:val="72615139"/>
    <w:rsid w:val="726447C6"/>
    <w:rsid w:val="72AE5A41"/>
    <w:rsid w:val="72B55021"/>
    <w:rsid w:val="72C76B03"/>
    <w:rsid w:val="72CC4119"/>
    <w:rsid w:val="72DD1E82"/>
    <w:rsid w:val="7329331A"/>
    <w:rsid w:val="7349245C"/>
    <w:rsid w:val="7349576A"/>
    <w:rsid w:val="736E6F7E"/>
    <w:rsid w:val="737259EB"/>
    <w:rsid w:val="73840550"/>
    <w:rsid w:val="738844E4"/>
    <w:rsid w:val="739509AF"/>
    <w:rsid w:val="73AA445A"/>
    <w:rsid w:val="73AB1F81"/>
    <w:rsid w:val="73AF7CC3"/>
    <w:rsid w:val="73B13A3B"/>
    <w:rsid w:val="73F90F3E"/>
    <w:rsid w:val="743C0E2B"/>
    <w:rsid w:val="747B7BA5"/>
    <w:rsid w:val="74C0380A"/>
    <w:rsid w:val="74C07CAE"/>
    <w:rsid w:val="74D15A17"/>
    <w:rsid w:val="74E05C5A"/>
    <w:rsid w:val="74E474F8"/>
    <w:rsid w:val="74F040EF"/>
    <w:rsid w:val="74FC0CE6"/>
    <w:rsid w:val="74FC2405"/>
    <w:rsid w:val="75063912"/>
    <w:rsid w:val="7507768A"/>
    <w:rsid w:val="75183646"/>
    <w:rsid w:val="751B4EE4"/>
    <w:rsid w:val="754058DD"/>
    <w:rsid w:val="75475CD9"/>
    <w:rsid w:val="756878A0"/>
    <w:rsid w:val="75750A98"/>
    <w:rsid w:val="75A153E9"/>
    <w:rsid w:val="75AD3D8E"/>
    <w:rsid w:val="75B72E5F"/>
    <w:rsid w:val="75B90985"/>
    <w:rsid w:val="75C17839"/>
    <w:rsid w:val="75C612F4"/>
    <w:rsid w:val="75D02172"/>
    <w:rsid w:val="75EA3234"/>
    <w:rsid w:val="75F817BA"/>
    <w:rsid w:val="7601057E"/>
    <w:rsid w:val="760342F6"/>
    <w:rsid w:val="762C11D6"/>
    <w:rsid w:val="762D3121"/>
    <w:rsid w:val="764010A6"/>
    <w:rsid w:val="76452218"/>
    <w:rsid w:val="76500BBD"/>
    <w:rsid w:val="76562678"/>
    <w:rsid w:val="765E152C"/>
    <w:rsid w:val="7671300D"/>
    <w:rsid w:val="76946CFC"/>
    <w:rsid w:val="76966F18"/>
    <w:rsid w:val="76A270A6"/>
    <w:rsid w:val="77132317"/>
    <w:rsid w:val="771A04F8"/>
    <w:rsid w:val="771F6F0D"/>
    <w:rsid w:val="77356731"/>
    <w:rsid w:val="773F135E"/>
    <w:rsid w:val="774E77F3"/>
    <w:rsid w:val="777728A5"/>
    <w:rsid w:val="779D6084"/>
    <w:rsid w:val="77DE46D3"/>
    <w:rsid w:val="78191BAF"/>
    <w:rsid w:val="783764D9"/>
    <w:rsid w:val="783B1B25"/>
    <w:rsid w:val="784A4B73"/>
    <w:rsid w:val="784C788F"/>
    <w:rsid w:val="78540E39"/>
    <w:rsid w:val="785E75C1"/>
    <w:rsid w:val="785F0A27"/>
    <w:rsid w:val="786924FD"/>
    <w:rsid w:val="7883527A"/>
    <w:rsid w:val="788A03B6"/>
    <w:rsid w:val="78A3591C"/>
    <w:rsid w:val="78AA2807"/>
    <w:rsid w:val="78AA6CAB"/>
    <w:rsid w:val="78CC09CF"/>
    <w:rsid w:val="78D43D28"/>
    <w:rsid w:val="78E201F2"/>
    <w:rsid w:val="78E91BB8"/>
    <w:rsid w:val="78EA354B"/>
    <w:rsid w:val="78FC1543"/>
    <w:rsid w:val="79102FB2"/>
    <w:rsid w:val="791E4907"/>
    <w:rsid w:val="791F31F5"/>
    <w:rsid w:val="792A3948"/>
    <w:rsid w:val="79336CA0"/>
    <w:rsid w:val="79346574"/>
    <w:rsid w:val="793A002E"/>
    <w:rsid w:val="79433AC6"/>
    <w:rsid w:val="79515378"/>
    <w:rsid w:val="79701CA2"/>
    <w:rsid w:val="7973484F"/>
    <w:rsid w:val="79752E15"/>
    <w:rsid w:val="797C08AB"/>
    <w:rsid w:val="797D7F1B"/>
    <w:rsid w:val="79863274"/>
    <w:rsid w:val="799B26EC"/>
    <w:rsid w:val="79AB6836"/>
    <w:rsid w:val="79B871A5"/>
    <w:rsid w:val="79C63670"/>
    <w:rsid w:val="79D42231"/>
    <w:rsid w:val="79DC10E6"/>
    <w:rsid w:val="79DD6C0C"/>
    <w:rsid w:val="79FC52E4"/>
    <w:rsid w:val="7A0C3049"/>
    <w:rsid w:val="7A1000E9"/>
    <w:rsid w:val="7A4016CB"/>
    <w:rsid w:val="7A4D1FE3"/>
    <w:rsid w:val="7A543372"/>
    <w:rsid w:val="7A5B3FA8"/>
    <w:rsid w:val="7A7E3F4B"/>
    <w:rsid w:val="7A886B78"/>
    <w:rsid w:val="7A951295"/>
    <w:rsid w:val="7A9D1AE5"/>
    <w:rsid w:val="7AA87B97"/>
    <w:rsid w:val="7AAA2F92"/>
    <w:rsid w:val="7AB12572"/>
    <w:rsid w:val="7AB14320"/>
    <w:rsid w:val="7AB61937"/>
    <w:rsid w:val="7AC2652D"/>
    <w:rsid w:val="7AC73B44"/>
    <w:rsid w:val="7AD41DBD"/>
    <w:rsid w:val="7AE2097E"/>
    <w:rsid w:val="7AF1471D"/>
    <w:rsid w:val="7AF31360"/>
    <w:rsid w:val="7AF34939"/>
    <w:rsid w:val="7B002BB2"/>
    <w:rsid w:val="7B30793B"/>
    <w:rsid w:val="7B5D1DB2"/>
    <w:rsid w:val="7B66335D"/>
    <w:rsid w:val="7B8C08E9"/>
    <w:rsid w:val="7B8D1547"/>
    <w:rsid w:val="7B8E01BE"/>
    <w:rsid w:val="7B8E3C79"/>
    <w:rsid w:val="7BA174E1"/>
    <w:rsid w:val="7BA75723"/>
    <w:rsid w:val="7BC04FC3"/>
    <w:rsid w:val="7BC14DBE"/>
    <w:rsid w:val="7BC938EC"/>
    <w:rsid w:val="7BCE4A5E"/>
    <w:rsid w:val="7C1D1542"/>
    <w:rsid w:val="7C396335"/>
    <w:rsid w:val="7C3A20F4"/>
    <w:rsid w:val="7C3D3992"/>
    <w:rsid w:val="7C4F2043"/>
    <w:rsid w:val="7C5F7DAC"/>
    <w:rsid w:val="7C9537CE"/>
    <w:rsid w:val="7CA72746"/>
    <w:rsid w:val="7CAC1243"/>
    <w:rsid w:val="7CBE0F77"/>
    <w:rsid w:val="7CC83BA3"/>
    <w:rsid w:val="7CDD764F"/>
    <w:rsid w:val="7CF229CE"/>
    <w:rsid w:val="7D3B6123"/>
    <w:rsid w:val="7D4F6073"/>
    <w:rsid w:val="7D6E474B"/>
    <w:rsid w:val="7D6F2271"/>
    <w:rsid w:val="7D8F646F"/>
    <w:rsid w:val="7DA63EE4"/>
    <w:rsid w:val="7DC12ACC"/>
    <w:rsid w:val="7DC33C3F"/>
    <w:rsid w:val="7DD32800"/>
    <w:rsid w:val="7DD81BC4"/>
    <w:rsid w:val="7DDB3462"/>
    <w:rsid w:val="7DE14F1D"/>
    <w:rsid w:val="7DF02678"/>
    <w:rsid w:val="7DF10ED8"/>
    <w:rsid w:val="7E062BD5"/>
    <w:rsid w:val="7E074257"/>
    <w:rsid w:val="7E1A3F8B"/>
    <w:rsid w:val="7E1C7D03"/>
    <w:rsid w:val="7E1D1CCD"/>
    <w:rsid w:val="7E1D3A7B"/>
    <w:rsid w:val="7E413C0D"/>
    <w:rsid w:val="7E5A4CCF"/>
    <w:rsid w:val="7E617E0B"/>
    <w:rsid w:val="7E6D4A02"/>
    <w:rsid w:val="7EA81A90"/>
    <w:rsid w:val="7EBB7543"/>
    <w:rsid w:val="7EEB0B24"/>
    <w:rsid w:val="7F227B81"/>
    <w:rsid w:val="7F2B14FE"/>
    <w:rsid w:val="7F323556"/>
    <w:rsid w:val="7F533BF8"/>
    <w:rsid w:val="7F82628B"/>
    <w:rsid w:val="7F99469F"/>
    <w:rsid w:val="7F9C372F"/>
    <w:rsid w:val="7FAC3308"/>
    <w:rsid w:val="7FAF4BA7"/>
    <w:rsid w:val="7FD14B1D"/>
    <w:rsid w:val="7FDB599C"/>
    <w:rsid w:val="7FDF548C"/>
    <w:rsid w:val="7FE231CE"/>
    <w:rsid w:val="7FF7082F"/>
    <w:rsid w:val="FAFEB2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仿宋_GB2312" w:eastAsia="@仿宋_GB2312" w:cs="@仿宋_GB2312"/>
      <w:kern w:val="2"/>
      <w:sz w:val="21"/>
      <w:lang w:val="en-US" w:eastAsia="zh-CN" w:bidi="ar-SA"/>
    </w:rPr>
  </w:style>
  <w:style w:type="paragraph" w:styleId="5">
    <w:name w:val="heading 1"/>
    <w:basedOn w:val="1"/>
    <w:next w:val="1"/>
    <w:link w:val="59"/>
    <w:autoRedefine/>
    <w:qFormat/>
    <w:uiPriority w:val="9"/>
    <w:pPr>
      <w:keepNext/>
      <w:keepLines/>
      <w:spacing w:before="340" w:after="330" w:line="578" w:lineRule="auto"/>
      <w:outlineLvl w:val="0"/>
    </w:pPr>
    <w:rPr>
      <w:b/>
      <w:bCs/>
      <w:kern w:val="44"/>
      <w:sz w:val="44"/>
      <w:szCs w:val="44"/>
    </w:rPr>
  </w:style>
  <w:style w:type="paragraph" w:styleId="6">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7">
    <w:name w:val="heading 3"/>
    <w:basedOn w:val="1"/>
    <w:next w:val="1"/>
    <w:link w:val="61"/>
    <w:autoRedefine/>
    <w:semiHidden/>
    <w:unhideWhenUsed/>
    <w:qFormat/>
    <w:uiPriority w:val="9"/>
    <w:pPr>
      <w:keepNext/>
      <w:keepLines/>
      <w:spacing w:before="260" w:after="260" w:line="416" w:lineRule="auto"/>
      <w:outlineLvl w:val="2"/>
    </w:pPr>
    <w:rPr>
      <w:b/>
      <w:bCs/>
      <w:sz w:val="32"/>
      <w:szCs w:val="32"/>
    </w:rPr>
  </w:style>
  <w:style w:type="paragraph" w:styleId="8">
    <w:name w:val="heading 4"/>
    <w:basedOn w:val="1"/>
    <w:next w:val="1"/>
    <w:link w:val="66"/>
    <w:autoRedefine/>
    <w:qFormat/>
    <w:uiPriority w:val="0"/>
    <w:pPr>
      <w:keepNext/>
      <w:keepLines/>
      <w:spacing w:before="280" w:after="290" w:line="376" w:lineRule="auto"/>
      <w:outlineLvl w:val="3"/>
    </w:pPr>
    <w:rPr>
      <w:b/>
      <w:bCs/>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rPr>
      <w:kern w:val="0"/>
      <w:sz w:val="20"/>
    </w:rPr>
  </w:style>
  <w:style w:type="paragraph" w:styleId="3">
    <w:name w:val="Body Text Indent"/>
    <w:basedOn w:val="1"/>
    <w:next w:val="4"/>
    <w:qFormat/>
    <w:uiPriority w:val="0"/>
    <w:pPr>
      <w:spacing w:after="120"/>
      <w:ind w:left="200" w:leftChars="200"/>
    </w:pPr>
  </w:style>
  <w:style w:type="paragraph" w:styleId="4">
    <w:name w:val="envelope return"/>
    <w:basedOn w:val="1"/>
    <w:qFormat/>
    <w:uiPriority w:val="0"/>
    <w:pPr>
      <w:snapToGrid w:val="0"/>
    </w:pPr>
    <w:rPr>
      <w:rFonts w:ascii="Arial" w:hAnsi="Arial" w:cs="Arial"/>
      <w:b/>
      <w:bCs/>
      <w:color w:val="FF0000"/>
      <w:sz w:val="48"/>
      <w:szCs w:val="24"/>
    </w:rPr>
  </w:style>
  <w:style w:type="paragraph" w:styleId="9">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10">
    <w:name w:val="annotation text"/>
    <w:basedOn w:val="1"/>
    <w:link w:val="58"/>
    <w:autoRedefine/>
    <w:qFormat/>
    <w:uiPriority w:val="0"/>
    <w:pPr>
      <w:jc w:val="left"/>
    </w:pPr>
    <w:rPr>
      <w:rFonts w:ascii="Arial" w:hAnsi="Arial" w:eastAsia="黑体" w:cs="Arial"/>
    </w:rPr>
  </w:style>
  <w:style w:type="paragraph" w:styleId="11">
    <w:name w:val="Body Text"/>
    <w:basedOn w:val="1"/>
    <w:next w:val="12"/>
    <w:link w:val="67"/>
    <w:autoRedefine/>
    <w:qFormat/>
    <w:uiPriority w:val="0"/>
    <w:pPr>
      <w:spacing w:after="120"/>
    </w:pPr>
    <w:rPr>
      <w:rFonts w:ascii="@微软简标宋" w:hAnsi="@微软简标宋" w:eastAsia="@微软简标宋" w:cs="@微软简标宋"/>
      <w:szCs w:val="24"/>
      <w:lang w:val="zh-CN"/>
    </w:rPr>
  </w:style>
  <w:style w:type="paragraph" w:customStyle="1" w:styleId="1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8"/>
      <w:szCs w:val="18"/>
    </w:rPr>
  </w:style>
  <w:style w:type="paragraph" w:styleId="13">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4">
    <w:name w:val="Plain Text"/>
    <w:basedOn w:val="1"/>
    <w:link w:val="47"/>
    <w:autoRedefine/>
    <w:qFormat/>
    <w:uiPriority w:val="99"/>
    <w:rPr>
      <w:rFonts w:ascii="宋体" w:hAnsi="Courier New" w:eastAsiaTheme="minorEastAsia" w:cstheme="minorBidi"/>
      <w:szCs w:val="22"/>
    </w:rPr>
  </w:style>
  <w:style w:type="paragraph" w:styleId="15">
    <w:name w:val="Date"/>
    <w:basedOn w:val="1"/>
    <w:next w:val="1"/>
    <w:link w:val="54"/>
    <w:autoRedefine/>
    <w:qFormat/>
    <w:uiPriority w:val="0"/>
    <w:rPr>
      <w:rFonts w:ascii="Arial" w:hAnsi="Arial" w:eastAsia="宋体" w:cs="Arial"/>
      <w:b/>
      <w:sz w:val="28"/>
    </w:rPr>
  </w:style>
  <w:style w:type="paragraph" w:styleId="16">
    <w:name w:val="Balloon Text"/>
    <w:basedOn w:val="1"/>
    <w:link w:val="41"/>
    <w:autoRedefine/>
    <w:semiHidden/>
    <w:unhideWhenUsed/>
    <w:qFormat/>
    <w:uiPriority w:val="99"/>
    <w:rPr>
      <w:sz w:val="18"/>
      <w:szCs w:val="18"/>
    </w:rPr>
  </w:style>
  <w:style w:type="paragraph" w:styleId="17">
    <w:name w:val="footer"/>
    <w:basedOn w:val="1"/>
    <w:link w:val="46"/>
    <w:autoRedefine/>
    <w:unhideWhenUsed/>
    <w:qFormat/>
    <w:uiPriority w:val="99"/>
    <w:pPr>
      <w:tabs>
        <w:tab w:val="center" w:pos="4153"/>
        <w:tab w:val="right" w:pos="8306"/>
      </w:tabs>
      <w:snapToGrid w:val="0"/>
      <w:jc w:val="left"/>
    </w:pPr>
    <w:rPr>
      <w:sz w:val="18"/>
      <w:szCs w:val="18"/>
    </w:rPr>
  </w:style>
  <w:style w:type="paragraph" w:styleId="18">
    <w:name w:val="header"/>
    <w:basedOn w:val="1"/>
    <w:link w:val="45"/>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0">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1">
    <w:name w:val="Normal (Web)"/>
    <w:basedOn w:val="1"/>
    <w:autoRedefine/>
    <w:qFormat/>
    <w:uiPriority w:val="0"/>
    <w:pPr>
      <w:spacing w:before="100" w:beforeAutospacing="1" w:after="100" w:afterAutospacing="1"/>
      <w:jc w:val="left"/>
    </w:pPr>
    <w:rPr>
      <w:rFonts w:cs="Times New Roman"/>
      <w:kern w:val="0"/>
      <w:sz w:val="24"/>
    </w:rPr>
  </w:style>
  <w:style w:type="paragraph" w:styleId="22">
    <w:name w:val="index 1"/>
    <w:basedOn w:val="1"/>
    <w:next w:val="1"/>
    <w:autoRedefine/>
    <w:qFormat/>
    <w:uiPriority w:val="0"/>
    <w:pPr>
      <w:jc w:val="center"/>
    </w:pPr>
    <w:rPr>
      <w:rFonts w:ascii="Arial" w:hAnsi="Arial" w:eastAsia="Arial" w:cs="Arial"/>
      <w:b/>
      <w:bCs/>
      <w:sz w:val="28"/>
    </w:rPr>
  </w:style>
  <w:style w:type="paragraph" w:styleId="23">
    <w:name w:val="Body Text First Indent"/>
    <w:basedOn w:val="11"/>
    <w:autoRedefine/>
    <w:unhideWhenUsed/>
    <w:qFormat/>
    <w:uiPriority w:val="99"/>
    <w:pPr>
      <w:ind w:firstLine="420" w:firstLineChars="100"/>
    </w:pPr>
  </w:style>
  <w:style w:type="table" w:styleId="25">
    <w:name w:val="Table Grid"/>
    <w:basedOn w:val="24"/>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autoRedefine/>
    <w:qFormat/>
    <w:uiPriority w:val="0"/>
    <w:rPr>
      <w:b/>
      <w:bCs/>
    </w:rPr>
  </w:style>
  <w:style w:type="character" w:styleId="28">
    <w:name w:val="page number"/>
    <w:basedOn w:val="26"/>
    <w:qFormat/>
    <w:uiPriority w:val="0"/>
  </w:style>
  <w:style w:type="character" w:styleId="29">
    <w:name w:val="FollowedHyperlink"/>
    <w:basedOn w:val="26"/>
    <w:autoRedefine/>
    <w:semiHidden/>
    <w:unhideWhenUsed/>
    <w:qFormat/>
    <w:uiPriority w:val="99"/>
    <w:rPr>
      <w:color w:val="800080"/>
      <w:u w:val="none"/>
    </w:rPr>
  </w:style>
  <w:style w:type="character" w:styleId="30">
    <w:name w:val="Emphasis"/>
    <w:basedOn w:val="26"/>
    <w:autoRedefine/>
    <w:qFormat/>
    <w:uiPriority w:val="20"/>
    <w:rPr>
      <w:b/>
      <w:bCs/>
    </w:rPr>
  </w:style>
  <w:style w:type="character" w:styleId="31">
    <w:name w:val="HTML Definition"/>
    <w:basedOn w:val="26"/>
    <w:autoRedefine/>
    <w:semiHidden/>
    <w:unhideWhenUsed/>
    <w:qFormat/>
    <w:uiPriority w:val="99"/>
  </w:style>
  <w:style w:type="character" w:styleId="32">
    <w:name w:val="HTML Typewriter"/>
    <w:basedOn w:val="26"/>
    <w:autoRedefine/>
    <w:semiHidden/>
    <w:unhideWhenUsed/>
    <w:qFormat/>
    <w:uiPriority w:val="99"/>
    <w:rPr>
      <w:rFonts w:hint="default" w:ascii="monospace" w:hAnsi="monospace" w:eastAsia="monospace" w:cs="monospace"/>
      <w:sz w:val="20"/>
    </w:rPr>
  </w:style>
  <w:style w:type="character" w:styleId="33">
    <w:name w:val="HTML Acronym"/>
    <w:basedOn w:val="26"/>
    <w:autoRedefine/>
    <w:semiHidden/>
    <w:unhideWhenUsed/>
    <w:qFormat/>
    <w:uiPriority w:val="99"/>
  </w:style>
  <w:style w:type="character" w:styleId="34">
    <w:name w:val="HTML Variable"/>
    <w:basedOn w:val="26"/>
    <w:autoRedefine/>
    <w:semiHidden/>
    <w:unhideWhenUsed/>
    <w:qFormat/>
    <w:uiPriority w:val="99"/>
  </w:style>
  <w:style w:type="character" w:styleId="35">
    <w:name w:val="Hyperlink"/>
    <w:basedOn w:val="26"/>
    <w:autoRedefine/>
    <w:unhideWhenUsed/>
    <w:qFormat/>
    <w:uiPriority w:val="99"/>
    <w:rPr>
      <w:color w:val="0000FF" w:themeColor="hyperlink"/>
      <w:u w:val="single"/>
      <w14:textFill>
        <w14:solidFill>
          <w14:schemeClr w14:val="hlink"/>
        </w14:solidFill>
      </w14:textFill>
    </w:rPr>
  </w:style>
  <w:style w:type="character" w:styleId="36">
    <w:name w:val="HTML Code"/>
    <w:basedOn w:val="26"/>
    <w:autoRedefine/>
    <w:semiHidden/>
    <w:unhideWhenUsed/>
    <w:qFormat/>
    <w:uiPriority w:val="99"/>
    <w:rPr>
      <w:rFonts w:ascii="monospace" w:hAnsi="monospace" w:eastAsia="monospace" w:cs="monospace"/>
      <w:sz w:val="20"/>
    </w:rPr>
  </w:style>
  <w:style w:type="character" w:styleId="37">
    <w:name w:val="HTML Cite"/>
    <w:basedOn w:val="26"/>
    <w:autoRedefine/>
    <w:semiHidden/>
    <w:unhideWhenUsed/>
    <w:qFormat/>
    <w:uiPriority w:val="99"/>
  </w:style>
  <w:style w:type="character" w:styleId="38">
    <w:name w:val="HTML Keyboard"/>
    <w:basedOn w:val="26"/>
    <w:autoRedefine/>
    <w:semiHidden/>
    <w:unhideWhenUsed/>
    <w:qFormat/>
    <w:uiPriority w:val="99"/>
    <w:rPr>
      <w:rFonts w:hint="default" w:ascii="monospace" w:hAnsi="monospace" w:eastAsia="monospace" w:cs="monospace"/>
      <w:sz w:val="20"/>
    </w:rPr>
  </w:style>
  <w:style w:type="character" w:styleId="39">
    <w:name w:val="HTML Sample"/>
    <w:basedOn w:val="26"/>
    <w:autoRedefine/>
    <w:semiHidden/>
    <w:unhideWhenUsed/>
    <w:qFormat/>
    <w:uiPriority w:val="99"/>
    <w:rPr>
      <w:rFonts w:hint="default" w:ascii="monospace" w:hAnsi="monospace" w:eastAsia="monospace" w:cs="monospace"/>
    </w:rPr>
  </w:style>
  <w:style w:type="paragraph" w:customStyle="1" w:styleId="40">
    <w:name w:val="Default"/>
    <w:autoRedefine/>
    <w:qFormat/>
    <w:uiPriority w:val="0"/>
    <w:pPr>
      <w:widowControl w:val="0"/>
      <w:autoSpaceDE w:val="0"/>
      <w:autoSpaceDN w:val="0"/>
      <w:adjustRightInd w:val="0"/>
    </w:pPr>
    <w:rPr>
      <w:rFonts w:ascii="黑体" w:hAnsi="Times New Roman" w:eastAsia="黑体" w:cs="Times New Roman"/>
      <w:kern w:val="0"/>
      <w:sz w:val="20"/>
      <w:szCs w:val="20"/>
      <w:lang w:val="en-US" w:eastAsia="zh-CN" w:bidi="ar-SA"/>
    </w:rPr>
  </w:style>
  <w:style w:type="character" w:customStyle="1" w:styleId="41">
    <w:name w:val="批注框文本 字符"/>
    <w:basedOn w:val="26"/>
    <w:link w:val="16"/>
    <w:autoRedefine/>
    <w:semiHidden/>
    <w:qFormat/>
    <w:uiPriority w:val="99"/>
    <w:rPr>
      <w:rFonts w:ascii="@仿宋_GB2312" w:hAnsi="@仿宋_GB2312" w:eastAsia="@仿宋_GB2312" w:cs="@仿宋_GB2312"/>
      <w:sz w:val="18"/>
      <w:szCs w:val="18"/>
    </w:rPr>
  </w:style>
  <w:style w:type="paragraph" w:customStyle="1" w:styleId="42">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3">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4">
    <w:name w:val="D&amp;L"/>
    <w:basedOn w:val="1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5">
    <w:name w:val="页眉 字符"/>
    <w:basedOn w:val="26"/>
    <w:link w:val="18"/>
    <w:autoRedefine/>
    <w:qFormat/>
    <w:uiPriority w:val="0"/>
    <w:rPr>
      <w:rFonts w:ascii="@仿宋_GB2312" w:hAnsi="@仿宋_GB2312" w:eastAsia="@仿宋_GB2312" w:cs="@仿宋_GB2312"/>
      <w:sz w:val="18"/>
      <w:szCs w:val="18"/>
    </w:rPr>
  </w:style>
  <w:style w:type="character" w:customStyle="1" w:styleId="46">
    <w:name w:val="页脚 字符"/>
    <w:basedOn w:val="26"/>
    <w:link w:val="17"/>
    <w:autoRedefine/>
    <w:qFormat/>
    <w:uiPriority w:val="99"/>
    <w:rPr>
      <w:rFonts w:ascii="@仿宋_GB2312" w:hAnsi="@仿宋_GB2312" w:eastAsia="@仿宋_GB2312" w:cs="@仿宋_GB2312"/>
      <w:sz w:val="18"/>
      <w:szCs w:val="18"/>
    </w:rPr>
  </w:style>
  <w:style w:type="character" w:customStyle="1" w:styleId="47">
    <w:name w:val="纯文本 字符"/>
    <w:link w:val="14"/>
    <w:autoRedefine/>
    <w:qFormat/>
    <w:uiPriority w:val="0"/>
    <w:rPr>
      <w:rFonts w:ascii="宋体" w:hAnsi="Courier New"/>
    </w:rPr>
  </w:style>
  <w:style w:type="character" w:customStyle="1" w:styleId="48">
    <w:name w:val="纯文本 字符1"/>
    <w:basedOn w:val="26"/>
    <w:autoRedefine/>
    <w:semiHidden/>
    <w:qFormat/>
    <w:uiPriority w:val="99"/>
    <w:rPr>
      <w:rFonts w:hAnsi="Courier New" w:cs="Courier New" w:asciiTheme="minorEastAsia"/>
      <w:szCs w:val="20"/>
    </w:rPr>
  </w:style>
  <w:style w:type="character" w:customStyle="1" w:styleId="49">
    <w:name w:val="未处理的提及1"/>
    <w:basedOn w:val="26"/>
    <w:autoRedefine/>
    <w:semiHidden/>
    <w:unhideWhenUsed/>
    <w:qFormat/>
    <w:uiPriority w:val="99"/>
    <w:rPr>
      <w:color w:val="605E5C"/>
      <w:shd w:val="clear" w:color="auto" w:fill="E1DFDD"/>
    </w:rPr>
  </w:style>
  <w:style w:type="paragraph" w:styleId="50">
    <w:name w:val="List Paragraph"/>
    <w:basedOn w:val="1"/>
    <w:autoRedefine/>
    <w:qFormat/>
    <w:uiPriority w:val="34"/>
    <w:pPr>
      <w:ind w:firstLine="420" w:firstLineChars="200"/>
    </w:pPr>
  </w:style>
  <w:style w:type="paragraph" w:customStyle="1" w:styleId="51">
    <w:name w:val="Char Char Char Char Char Char Char1 Char"/>
    <w:basedOn w:val="1"/>
    <w:autoRedefine/>
    <w:qFormat/>
    <w:uiPriority w:val="0"/>
    <w:rPr>
      <w:rFonts w:ascii="Arial" w:hAnsi="Arial" w:eastAsia="宋体" w:cs="Arial"/>
      <w:sz w:val="24"/>
    </w:rPr>
  </w:style>
  <w:style w:type="table" w:customStyle="1" w:styleId="52">
    <w:name w:val="网格表 1 浅色1"/>
    <w:basedOn w:val="24"/>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3">
    <w:name w:val="日期 字符"/>
    <w:basedOn w:val="26"/>
    <w:autoRedefine/>
    <w:semiHidden/>
    <w:qFormat/>
    <w:uiPriority w:val="99"/>
    <w:rPr>
      <w:rFonts w:ascii="@仿宋_GB2312" w:hAnsi="@仿宋_GB2312" w:eastAsia="@仿宋_GB2312" w:cs="@仿宋_GB2312"/>
      <w:szCs w:val="20"/>
    </w:rPr>
  </w:style>
  <w:style w:type="character" w:customStyle="1" w:styleId="54">
    <w:name w:val="日期 字符1"/>
    <w:link w:val="15"/>
    <w:autoRedefine/>
    <w:qFormat/>
    <w:uiPriority w:val="0"/>
    <w:rPr>
      <w:rFonts w:ascii="Arial" w:hAnsi="Arial" w:eastAsia="宋体" w:cs="Arial"/>
      <w:b/>
      <w:sz w:val="28"/>
      <w:szCs w:val="20"/>
    </w:rPr>
  </w:style>
  <w:style w:type="character" w:customStyle="1" w:styleId="55">
    <w:name w:val="纯文本 Char1"/>
    <w:link w:val="56"/>
    <w:autoRedefine/>
    <w:qFormat/>
    <w:locked/>
    <w:uiPriority w:val="0"/>
    <w:rPr>
      <w:rFonts w:ascii="Arial" w:hAnsi="Arial" w:eastAsia="Arial"/>
      <w:kern w:val="2"/>
      <w:sz w:val="21"/>
      <w:lang w:val="en-US" w:eastAsia="zh-CN" w:bidi="ar-SA"/>
    </w:rPr>
  </w:style>
  <w:style w:type="paragraph" w:customStyle="1" w:styleId="56">
    <w:name w:val="纯文本1"/>
    <w:basedOn w:val="1"/>
    <w:link w:val="55"/>
    <w:autoRedefine/>
    <w:qFormat/>
    <w:uiPriority w:val="0"/>
    <w:rPr>
      <w:rFonts w:ascii="Arial" w:hAnsi="Arial" w:eastAsia="Arial" w:cstheme="minorBidi"/>
    </w:rPr>
  </w:style>
  <w:style w:type="character" w:customStyle="1" w:styleId="57">
    <w:name w:val="批注文字 Char"/>
    <w:basedOn w:val="26"/>
    <w:autoRedefine/>
    <w:semiHidden/>
    <w:qFormat/>
    <w:uiPriority w:val="99"/>
    <w:rPr>
      <w:rFonts w:ascii="@仿宋_GB2312" w:hAnsi="@仿宋_GB2312" w:eastAsia="@仿宋_GB2312" w:cs="@仿宋_GB2312"/>
      <w:szCs w:val="20"/>
    </w:rPr>
  </w:style>
  <w:style w:type="character" w:customStyle="1" w:styleId="58">
    <w:name w:val="批注文字 字符"/>
    <w:link w:val="10"/>
    <w:autoRedefine/>
    <w:qFormat/>
    <w:uiPriority w:val="0"/>
    <w:rPr>
      <w:rFonts w:ascii="Arial" w:hAnsi="Arial" w:eastAsia="黑体" w:cs="Arial"/>
      <w:szCs w:val="20"/>
    </w:rPr>
  </w:style>
  <w:style w:type="character" w:customStyle="1" w:styleId="59">
    <w:name w:val="标题 1 字符"/>
    <w:basedOn w:val="26"/>
    <w:link w:val="5"/>
    <w:autoRedefine/>
    <w:qFormat/>
    <w:uiPriority w:val="9"/>
    <w:rPr>
      <w:rFonts w:ascii="@仿宋_GB2312" w:hAnsi="@仿宋_GB2312" w:eastAsia="@仿宋_GB2312" w:cs="@仿宋_GB2312"/>
      <w:b/>
      <w:bCs/>
      <w:kern w:val="44"/>
      <w:sz w:val="44"/>
      <w:szCs w:val="44"/>
    </w:rPr>
  </w:style>
  <w:style w:type="paragraph" w:customStyle="1" w:styleId="60">
    <w:name w:val="TOC 标题1"/>
    <w:basedOn w:val="5"/>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1">
    <w:name w:val="标题 3 字符"/>
    <w:basedOn w:val="26"/>
    <w:link w:val="7"/>
    <w:autoRedefine/>
    <w:semiHidden/>
    <w:qFormat/>
    <w:uiPriority w:val="9"/>
    <w:rPr>
      <w:rFonts w:ascii="@仿宋_GB2312" w:hAnsi="@仿宋_GB2312" w:eastAsia="@仿宋_GB2312" w:cs="@仿宋_GB2312"/>
      <w:b/>
      <w:bCs/>
      <w:sz w:val="32"/>
      <w:szCs w:val="32"/>
    </w:rPr>
  </w:style>
  <w:style w:type="character" w:customStyle="1" w:styleId="62">
    <w:name w:val="fontstyle01"/>
    <w:basedOn w:val="26"/>
    <w:autoRedefine/>
    <w:qFormat/>
    <w:uiPriority w:val="0"/>
    <w:rPr>
      <w:rFonts w:hint="eastAsia" w:ascii="宋体" w:hAnsi="宋体" w:eastAsia="宋体"/>
      <w:color w:val="000000"/>
      <w:sz w:val="22"/>
      <w:szCs w:val="22"/>
    </w:rPr>
  </w:style>
  <w:style w:type="character" w:customStyle="1" w:styleId="63">
    <w:name w:val="fontstyle21"/>
    <w:basedOn w:val="26"/>
    <w:autoRedefine/>
    <w:qFormat/>
    <w:uiPriority w:val="0"/>
    <w:rPr>
      <w:rFonts w:hint="default" w:ascii="TimesNewRomanPSMT" w:hAnsi="TimesNewRomanPSMT"/>
      <w:color w:val="000000"/>
      <w:sz w:val="22"/>
      <w:szCs w:val="22"/>
    </w:rPr>
  </w:style>
  <w:style w:type="character" w:customStyle="1" w:styleId="64">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5">
    <w:name w:val="标题 4 字符"/>
    <w:basedOn w:val="26"/>
    <w:autoRedefine/>
    <w:semiHidden/>
    <w:qFormat/>
    <w:uiPriority w:val="9"/>
    <w:rPr>
      <w:rFonts w:asciiTheme="majorHAnsi" w:hAnsiTheme="majorHAnsi" w:eastAsiaTheme="majorEastAsia" w:cstheme="majorBidi"/>
      <w:b/>
      <w:bCs/>
      <w:sz w:val="28"/>
      <w:szCs w:val="28"/>
    </w:rPr>
  </w:style>
  <w:style w:type="character" w:customStyle="1" w:styleId="66">
    <w:name w:val="标题 4 字符1"/>
    <w:link w:val="8"/>
    <w:autoRedefine/>
    <w:qFormat/>
    <w:uiPriority w:val="0"/>
    <w:rPr>
      <w:rFonts w:ascii="@仿宋_GB2312" w:hAnsi="@仿宋_GB2312" w:eastAsia="@仿宋_GB2312" w:cs="@仿宋_GB2312"/>
      <w:b/>
      <w:bCs/>
      <w:sz w:val="28"/>
      <w:szCs w:val="28"/>
    </w:rPr>
  </w:style>
  <w:style w:type="character" w:customStyle="1" w:styleId="67">
    <w:name w:val="正文文本 字符"/>
    <w:basedOn w:val="26"/>
    <w:link w:val="11"/>
    <w:autoRedefine/>
    <w:qFormat/>
    <w:uiPriority w:val="0"/>
    <w:rPr>
      <w:rFonts w:ascii="@微软简标宋" w:hAnsi="@微软简标宋" w:eastAsia="@微软简标宋" w:cs="@微软简标宋"/>
      <w:szCs w:val="24"/>
      <w:lang w:val="zh-CN" w:eastAsia="zh-CN"/>
    </w:rPr>
  </w:style>
  <w:style w:type="table" w:customStyle="1" w:styleId="68">
    <w:name w:val="网格型1"/>
    <w:basedOn w:val="24"/>
    <w:autoRedefine/>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
    <w:name w:val="Table Normal"/>
    <w:autoRedefine/>
    <w:semiHidden/>
    <w:unhideWhenUsed/>
    <w:qFormat/>
    <w:uiPriority w:val="0"/>
    <w:tblPr>
      <w:tblCellMar>
        <w:top w:w="0" w:type="dxa"/>
        <w:left w:w="0" w:type="dxa"/>
        <w:bottom w:w="0" w:type="dxa"/>
        <w:right w:w="0" w:type="dxa"/>
      </w:tblCellMar>
    </w:tblPr>
  </w:style>
  <w:style w:type="paragraph" w:customStyle="1" w:styleId="70">
    <w:name w:val="Table Text"/>
    <w:basedOn w:val="1"/>
    <w:autoRedefine/>
    <w:semiHidden/>
    <w:qFormat/>
    <w:uiPriority w:val="0"/>
    <w:rPr>
      <w:rFonts w:ascii="Arial" w:hAnsi="Arial" w:eastAsia="Arial" w:cs="Arial"/>
      <w:szCs w:val="21"/>
      <w:lang w:eastAsia="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64</Pages>
  <Words>14266</Words>
  <Characters>15176</Characters>
  <Lines>237</Lines>
  <Paragraphs>66</Paragraphs>
  <TotalTime>3</TotalTime>
  <ScaleCrop>false</ScaleCrop>
  <LinksUpToDate>false</LinksUpToDate>
  <CharactersWithSpaces>15410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2019-05-06T22:32:00Z</dcterms:created>
  <dc:creator>Anakin</dc:creator>
  <cp:lastModifiedBy>WPS_1474480070</cp:lastModifiedBy>
  <cp:lastPrinted>2019-12-07T23:20:00Z</cp:lastPrinted>
  <dcterms:modified xsi:type="dcterms:W3CDTF">2026-10-22T08:13:45Z</dcterms:modified>
  <cp:revision>444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28BEBB7733454CB19D18E77578BCE2EE_13</vt:lpwstr>
  </property>
  <property fmtid="{D5CDD505-2E9C-101B-9397-08002B2CF9AE}" pid="4" name="KSOTemplateDocerSaveRecord">
    <vt:lpwstr>eyJoZGlkIjoiZDZjY2Q5ZTU1ZTgzNjA4ZGIwOTQ3MjZiMzc1OWViZTMiLCJ1c2VySWQiOiIyNDE1MjM0MzcifQ==</vt:lpwstr>
  </property>
</Properties>
</file>