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70201">
      <w:pPr>
        <w:spacing w:line="540" w:lineRule="exact"/>
        <w:jc w:val="center"/>
        <w:rPr>
          <w:rFonts w:hint="default" w:ascii="Times New Roman" w:hAnsi="Times New Roman" w:eastAsia="方正小标宋_GBK" w:cs="Times New Roman"/>
          <w:sz w:val="44"/>
          <w:szCs w:val="44"/>
        </w:rPr>
      </w:pPr>
      <w:r>
        <w:rPr>
          <w:rFonts w:hint="eastAsia" w:eastAsia="方正小标宋_GBK" w:cs="Times New Roman"/>
          <w:sz w:val="44"/>
          <w:szCs w:val="44"/>
          <w:lang w:val="en-US" w:eastAsia="zh-CN"/>
        </w:rPr>
        <w:t xml:space="preserve">  </w:t>
      </w:r>
      <w:r>
        <w:rPr>
          <w:rFonts w:hint="default" w:ascii="Times New Roman" w:hAnsi="Times New Roman" w:eastAsia="方正小标宋_GBK" w:cs="Times New Roman"/>
          <w:sz w:val="44"/>
          <w:szCs w:val="44"/>
          <w:lang w:val="en-US" w:eastAsia="zh-CN"/>
        </w:rPr>
        <w:t>安徽省沿淮行蓄洪区等其他洼地治理工程（六安段）</w:t>
      </w:r>
      <w:r>
        <w:rPr>
          <w:rFonts w:hint="default" w:ascii="Times New Roman" w:hAnsi="Times New Roman" w:eastAsia="方正小标宋_GBK" w:cs="Times New Roman"/>
          <w:sz w:val="44"/>
          <w:szCs w:val="44"/>
        </w:rPr>
        <w:t>项目支出绩效评价报告</w:t>
      </w:r>
    </w:p>
    <w:p w14:paraId="23916FB1">
      <w:pPr>
        <w:spacing w:line="540" w:lineRule="exact"/>
        <w:jc w:val="center"/>
        <w:rPr>
          <w:rFonts w:hint="default" w:ascii="Times New Roman" w:hAnsi="Times New Roman" w:eastAsia="黑体" w:cs="Times New Roman"/>
          <w:szCs w:val="32"/>
        </w:rPr>
      </w:pPr>
    </w:p>
    <w:p w14:paraId="4A6749A8">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14:paraId="29A517C9">
      <w:pPr>
        <w:keepNext w:val="0"/>
        <w:keepLines w:val="0"/>
        <w:pageBreakBefore w:val="0"/>
        <w:widowControl w:val="0"/>
        <w:kinsoku/>
        <w:wordWrap/>
        <w:overflowPunct/>
        <w:topLinePunct w:val="0"/>
        <w:autoSpaceDE/>
        <w:autoSpaceDN/>
        <w:bidi w:val="0"/>
        <w:adjustRightInd/>
        <w:snapToGrid/>
        <w:spacing w:line="520" w:lineRule="exact"/>
        <w:ind w:firstLine="600"/>
        <w:textAlignment w:val="auto"/>
        <w:outlineLvl w:val="0"/>
        <w:rPr>
          <w:rFonts w:hint="default" w:ascii="Times New Roman" w:hAnsi="Times New Roman" w:eastAsia="楷体" w:cs="Times New Roman"/>
          <w:b/>
          <w:bCs/>
          <w:szCs w:val="32"/>
        </w:rPr>
      </w:pPr>
      <w:r>
        <w:rPr>
          <w:rFonts w:hint="default" w:ascii="Times New Roman" w:hAnsi="Times New Roman" w:eastAsia="楷体" w:cs="Times New Roman"/>
          <w:b/>
          <w:bCs/>
          <w:szCs w:val="32"/>
        </w:rPr>
        <w:t>（一）项目概况</w:t>
      </w:r>
    </w:p>
    <w:p w14:paraId="2592936F">
      <w:pPr>
        <w:keepNext w:val="0"/>
        <w:keepLines w:val="0"/>
        <w:pageBreakBefore w:val="0"/>
        <w:widowControl w:val="0"/>
        <w:kinsoku/>
        <w:wordWrap/>
        <w:overflowPunct/>
        <w:topLinePunct w:val="0"/>
        <w:autoSpaceDE/>
        <w:autoSpaceDN/>
        <w:bidi w:val="0"/>
        <w:adjustRightInd/>
        <w:snapToGrid/>
        <w:spacing w:line="520" w:lineRule="exact"/>
        <w:ind w:firstLine="922" w:firstLineChars="287"/>
        <w:textAlignment w:val="auto"/>
        <w:outlineLvl w:val="0"/>
        <w:rPr>
          <w:rFonts w:hint="default" w:ascii="Times New Roman" w:hAnsi="Times New Roman" w:cs="Times New Roman"/>
          <w:b/>
          <w:bCs/>
          <w:szCs w:val="32"/>
          <w:lang w:val="en-US" w:eastAsia="zh-CN"/>
        </w:rPr>
      </w:pPr>
      <w:r>
        <w:rPr>
          <w:rFonts w:hint="default" w:ascii="Times New Roman" w:hAnsi="Times New Roman" w:cs="Times New Roman"/>
          <w:b/>
          <w:bCs/>
          <w:szCs w:val="32"/>
          <w:lang w:val="en-US" w:eastAsia="zh-CN"/>
        </w:rPr>
        <w:t>1.项目背景</w:t>
      </w:r>
    </w:p>
    <w:p w14:paraId="42A097B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szCs w:val="30"/>
        </w:rPr>
      </w:pPr>
      <w:r>
        <w:rPr>
          <w:rFonts w:hint="default" w:ascii="Times New Roman" w:hAnsi="Times New Roman" w:cs="Times New Roman"/>
          <w:szCs w:val="30"/>
        </w:rPr>
        <w:t>安徽省淮河流域易涝多灾，易涝范围包括沿淮湖洼地、淮北平原的大部分地区及淮南支流洼地，涝区面积3.06万km2。为保障淮河流域防洪安全，新中国成立以来有计划地将我市沿淮较大的城东湖、城西湖和姜唐湖等湖泊洼地建成了行蓄洪区。同时为保障淮河及主要支流防洪安全，沿岸建设了一系列保庄圩，形成了低洼圩区。由于缺乏系统治理，部分圩区堤防防洪标准低，除涝工程体系不完善，洼地“关门淹”现象较为严重。</w:t>
      </w:r>
    </w:p>
    <w:p w14:paraId="247F207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szCs w:val="30"/>
        </w:rPr>
      </w:pPr>
      <w:r>
        <w:rPr>
          <w:rFonts w:hint="default" w:ascii="Times New Roman" w:hAnsi="Times New Roman" w:cs="Times New Roman"/>
          <w:szCs w:val="30"/>
        </w:rPr>
        <w:t>2007年大水之后，省水利厅及沿淮各市积极谋划安徽省重点平原洼地治理工程，相继列入安徽省人民政府批复的《安徽省淮河流域排涝规划报告》、水利部批复的《淮河流域重点平原洼地除涝规划报告》。本项目于2011年列入国务院确定的进一步治理淮河38项工程之一，2018年列入国家172项重大水利项目之一，2021年列入国家150项重大水利项目之一。</w:t>
      </w:r>
    </w:p>
    <w:p w14:paraId="18467C11">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szCs w:val="30"/>
          <w:lang w:eastAsia="zh-CN"/>
        </w:rPr>
      </w:pPr>
      <w:r>
        <w:rPr>
          <w:rFonts w:hint="default" w:ascii="Times New Roman" w:hAnsi="Times New Roman" w:cs="Times New Roman"/>
          <w:szCs w:val="30"/>
          <w:lang w:val="en-US" w:eastAsia="zh-CN"/>
        </w:rPr>
        <w:t>2023年，根据《安徽省财政厅关于下达增发国债水利领域项目（经建口）2023-2024年补助资金预算的通知》(皖财建﹝2023﹞1556号)，共计下达我市洼地治理工程补助资金130295万元。2024年1月25日，经市政府同意，根据《六安市财政局关于下达增发国债水利领域项目（经建口）2023-2024年补助资金预算的通知》（财建﹝2024﹞34号）</w:t>
      </w:r>
      <w:r>
        <w:rPr>
          <w:rFonts w:hint="default" w:ascii="Times New Roman" w:hAnsi="Times New Roman" w:cs="Times New Roman"/>
          <w:szCs w:val="30"/>
          <w:lang w:eastAsia="zh-CN"/>
        </w:rPr>
        <w:t>，分配我局负责</w:t>
      </w:r>
      <w:r>
        <w:rPr>
          <w:rFonts w:hint="default" w:ascii="Times New Roman" w:hAnsi="Times New Roman" w:cs="Times New Roman"/>
          <w:szCs w:val="30"/>
        </w:rPr>
        <w:t>安徽省沿淮行蓄洪区等其他洼地治理工程（六安段）</w:t>
      </w:r>
      <w:r>
        <w:rPr>
          <w:rFonts w:hint="default" w:ascii="Times New Roman" w:hAnsi="Times New Roman" w:cs="Times New Roman"/>
          <w:szCs w:val="30"/>
          <w:lang w:val="en-US" w:eastAsia="zh-CN"/>
        </w:rPr>
        <w:t>3</w:t>
      </w:r>
      <w:r>
        <w:rPr>
          <w:rFonts w:hint="default" w:ascii="Times New Roman" w:hAnsi="Times New Roman" w:cs="Times New Roman"/>
          <w:szCs w:val="30"/>
        </w:rPr>
        <w:t>600万元</w:t>
      </w:r>
      <w:r>
        <w:rPr>
          <w:rFonts w:hint="default" w:ascii="Times New Roman" w:hAnsi="Times New Roman" w:cs="Times New Roman"/>
          <w:szCs w:val="30"/>
          <w:lang w:eastAsia="zh-CN"/>
        </w:rPr>
        <w:t>。</w:t>
      </w:r>
    </w:p>
    <w:p w14:paraId="539F209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cs="Times New Roman"/>
          <w:b/>
          <w:bCs/>
          <w:szCs w:val="30"/>
          <w:lang w:val="en-US" w:eastAsia="zh-CN"/>
        </w:rPr>
      </w:pPr>
      <w:r>
        <w:rPr>
          <w:rFonts w:hint="default" w:ascii="Times New Roman" w:hAnsi="Times New Roman" w:cs="Times New Roman"/>
          <w:b/>
          <w:bCs/>
          <w:szCs w:val="30"/>
          <w:lang w:val="en-US" w:eastAsia="zh-CN"/>
        </w:rPr>
        <w:t>2.主要内容及实施情况</w:t>
      </w:r>
    </w:p>
    <w:p w14:paraId="24C4650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六安市本次洼地治理范围包括城东湖、城西湖蓄洪区、姜唐湖行洪区，以及临王段、史河、淠河洼地等3片洼地，共计6片洼地，治理面积1098.1km</w:t>
      </w:r>
      <w:r>
        <w:rPr>
          <w:rFonts w:hint="default" w:ascii="Times New Roman" w:hAnsi="Times New Roman" w:cs="Times New Roman"/>
          <w:szCs w:val="30"/>
          <w:vertAlign w:val="superscript"/>
          <w:lang w:val="en-US" w:eastAsia="zh-CN"/>
        </w:rPr>
        <w:t>2</w:t>
      </w:r>
      <w:r>
        <w:rPr>
          <w:rFonts w:hint="default" w:ascii="Times New Roman" w:hAnsi="Times New Roman" w:cs="Times New Roman"/>
          <w:szCs w:val="30"/>
          <w:lang w:val="en-US" w:eastAsia="zh-CN"/>
        </w:rPr>
        <w:t>，涉及霍邱县、金寨县、霍山县、金安区、裕安区和叶集区6个县区。</w:t>
      </w:r>
    </w:p>
    <w:p w14:paraId="480CB6C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主要建设内容包括：加固堤防79km，堤顶防汛道路79km，护坡25km；河道疏浚长30km，护坡46km，护岸20km；疏浚大沟长171，护坡137km，护岸22km；泵站工程42座；涵闸工程99座；重建桥梁38座。建设总工期36个月。</w:t>
      </w:r>
    </w:p>
    <w:p w14:paraId="10DA23F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default" w:ascii="Times New Roman" w:hAnsi="Times New Roman" w:cs="Times New Roman"/>
          <w:szCs w:val="30"/>
          <w:lang w:val="en-US" w:eastAsia="zh-CN"/>
        </w:rPr>
      </w:pPr>
      <w:r>
        <w:rPr>
          <w:rFonts w:hint="default" w:ascii="Times New Roman" w:hAnsi="Times New Roman" w:cs="Times New Roman"/>
          <w:szCs w:val="30"/>
          <w:lang w:val="en-US" w:eastAsia="zh-CN"/>
        </w:rPr>
        <w:t>实施情况：截至2024年底，项目前期各项工作</w:t>
      </w:r>
      <w:r>
        <w:rPr>
          <w:rFonts w:hint="eastAsia" w:cs="Times New Roman"/>
          <w:szCs w:val="30"/>
          <w:lang w:val="en-US" w:eastAsia="zh-CN"/>
        </w:rPr>
        <w:t>全部</w:t>
      </w:r>
      <w:r>
        <w:rPr>
          <w:rFonts w:hint="default" w:ascii="Times New Roman" w:hAnsi="Times New Roman" w:cs="Times New Roman"/>
          <w:szCs w:val="30"/>
          <w:lang w:val="en-US" w:eastAsia="zh-CN"/>
        </w:rPr>
        <w:t>完成，已</w:t>
      </w:r>
      <w:r>
        <w:rPr>
          <w:rFonts w:hint="eastAsia" w:cs="Times New Roman"/>
          <w:szCs w:val="30"/>
          <w:lang w:val="en-US" w:eastAsia="zh-CN"/>
        </w:rPr>
        <w:t>开工</w:t>
      </w:r>
      <w:r>
        <w:rPr>
          <w:rFonts w:hint="default" w:ascii="Times New Roman" w:hAnsi="Times New Roman" w:cs="Times New Roman"/>
          <w:szCs w:val="30"/>
          <w:lang w:val="en-US" w:eastAsia="zh-CN"/>
        </w:rPr>
        <w:t>实施城西湖、城东湖、淠河、史河片部分洼地治理工程内容，治理面积超400km</w:t>
      </w:r>
      <w:r>
        <w:rPr>
          <w:rFonts w:hint="default" w:ascii="Times New Roman" w:hAnsi="Times New Roman" w:cs="Times New Roman"/>
          <w:szCs w:val="30"/>
          <w:vertAlign w:val="superscript"/>
          <w:lang w:val="en-US" w:eastAsia="zh-CN"/>
        </w:rPr>
        <w:t>2</w:t>
      </w:r>
      <w:r>
        <w:rPr>
          <w:rFonts w:hint="default" w:ascii="Times New Roman" w:hAnsi="Times New Roman" w:cs="Times New Roman"/>
          <w:szCs w:val="30"/>
          <w:lang w:val="en-US" w:eastAsia="zh-CN"/>
        </w:rPr>
        <w:t>。</w:t>
      </w:r>
    </w:p>
    <w:p w14:paraId="40D9DEC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Times New Roman" w:cs="Times New Roman"/>
          <w:b/>
          <w:bCs/>
          <w:szCs w:val="30"/>
          <w:lang w:val="en-US" w:eastAsia="zh-CN"/>
        </w:rPr>
      </w:pPr>
      <w:r>
        <w:rPr>
          <w:rFonts w:hint="default" w:ascii="Times New Roman" w:hAnsi="Times New Roman" w:cs="Times New Roman"/>
          <w:b/>
          <w:bCs/>
          <w:szCs w:val="30"/>
          <w:lang w:val="en-US" w:eastAsia="zh-CN"/>
        </w:rPr>
        <w:t>3.资金投入和使用情况</w:t>
      </w:r>
    </w:p>
    <w:p w14:paraId="275EA18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cs="Times New Roman"/>
          <w:szCs w:val="30"/>
          <w:lang w:val="en-US" w:eastAsia="zh-CN"/>
        </w:rPr>
      </w:pPr>
      <w:r>
        <w:rPr>
          <w:rFonts w:hint="default" w:ascii="Times New Roman" w:hAnsi="Times New Roman" w:eastAsia="仿宋_GB2312" w:cs="Times New Roman"/>
          <w:b w:val="0"/>
          <w:bCs w:val="0"/>
          <w:kern w:val="2"/>
          <w:sz w:val="32"/>
          <w:szCs w:val="32"/>
          <w:lang w:val="en-US" w:eastAsia="zh-CN" w:bidi="ar-SA"/>
        </w:rPr>
        <w:t>该项目2023</w:t>
      </w:r>
      <w:r>
        <w:rPr>
          <w:rFonts w:hint="default" w:ascii="Times New Roman" w:hAnsi="Times New Roman" w:cs="Times New Roman"/>
          <w:b w:val="0"/>
          <w:bCs w:val="0"/>
          <w:kern w:val="2"/>
          <w:sz w:val="32"/>
          <w:szCs w:val="32"/>
          <w:lang w:val="en-US" w:eastAsia="zh-CN" w:bidi="ar-SA"/>
        </w:rPr>
        <w:t>-2024</w:t>
      </w:r>
      <w:r>
        <w:rPr>
          <w:rFonts w:hint="default" w:ascii="Times New Roman" w:hAnsi="Times New Roman" w:eastAsia="仿宋_GB2312" w:cs="Times New Roman"/>
          <w:b w:val="0"/>
          <w:bCs w:val="0"/>
          <w:kern w:val="2"/>
          <w:sz w:val="32"/>
          <w:szCs w:val="32"/>
          <w:lang w:val="en-US" w:eastAsia="zh-CN" w:bidi="ar-SA"/>
        </w:rPr>
        <w:t>年度投资</w:t>
      </w:r>
      <w:r>
        <w:rPr>
          <w:rFonts w:hint="default" w:ascii="Times New Roman" w:hAnsi="Times New Roman" w:cs="Times New Roman"/>
          <w:b w:val="0"/>
          <w:bCs w:val="0"/>
          <w:kern w:val="2"/>
          <w:sz w:val="32"/>
          <w:szCs w:val="32"/>
          <w:lang w:val="en-US" w:eastAsia="zh-CN" w:bidi="ar-SA"/>
        </w:rPr>
        <w:t>130295</w:t>
      </w:r>
      <w:r>
        <w:rPr>
          <w:rFonts w:hint="default" w:ascii="Times New Roman" w:hAnsi="Times New Roman" w:eastAsia="仿宋_GB2312" w:cs="Times New Roman"/>
          <w:b w:val="0"/>
          <w:bCs w:val="0"/>
          <w:kern w:val="2"/>
          <w:sz w:val="32"/>
          <w:szCs w:val="32"/>
          <w:lang w:val="en" w:eastAsia="zh-CN" w:bidi="ar-SA"/>
        </w:rPr>
        <w:t>万元</w:t>
      </w:r>
      <w:r>
        <w:rPr>
          <w:rFonts w:hint="default" w:ascii="Times New Roman" w:hAnsi="Times New Roman" w:eastAsia="仿宋_GB2312" w:cs="Times New Roman"/>
          <w:b w:val="0"/>
          <w:bCs w:val="0"/>
          <w:kern w:val="2"/>
          <w:sz w:val="32"/>
          <w:szCs w:val="32"/>
          <w:lang w:val="en-US" w:eastAsia="zh-CN" w:bidi="ar-SA"/>
        </w:rPr>
        <w:t>，</w:t>
      </w:r>
      <w:r>
        <w:rPr>
          <w:rFonts w:hint="default" w:ascii="Times New Roman" w:hAnsi="Times New Roman" w:cs="Times New Roman"/>
          <w:b w:val="0"/>
          <w:bCs w:val="0"/>
          <w:kern w:val="2"/>
          <w:sz w:val="32"/>
          <w:szCs w:val="32"/>
          <w:lang w:val="en-US" w:eastAsia="zh-CN" w:bidi="ar-SA"/>
        </w:rPr>
        <w:t>均为</w:t>
      </w:r>
      <w:bookmarkStart w:id="0" w:name="OLE_LINK1"/>
      <w:r>
        <w:rPr>
          <w:rFonts w:hint="default" w:ascii="Times New Roman" w:hAnsi="Times New Roman" w:cs="Times New Roman"/>
          <w:b w:val="0"/>
          <w:bCs w:val="0"/>
          <w:kern w:val="2"/>
          <w:sz w:val="32"/>
          <w:szCs w:val="32"/>
          <w:lang w:val="en-US" w:eastAsia="zh-CN" w:bidi="ar-SA"/>
        </w:rPr>
        <w:t>增发国债补助资金</w:t>
      </w:r>
      <w:bookmarkEnd w:id="0"/>
      <w:r>
        <w:rPr>
          <w:rFonts w:hint="default"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其中</w:t>
      </w:r>
      <w:r>
        <w:rPr>
          <w:rFonts w:hint="default" w:ascii="Times New Roman" w:hAnsi="Times New Roman" w:cs="Times New Roman"/>
          <w:b w:val="0"/>
          <w:bCs w:val="0"/>
          <w:kern w:val="2"/>
          <w:sz w:val="32"/>
          <w:szCs w:val="32"/>
          <w:lang w:val="en-US" w:eastAsia="zh-CN" w:bidi="ar-SA"/>
        </w:rPr>
        <w:t>市本级</w:t>
      </w:r>
      <w:r>
        <w:rPr>
          <w:rFonts w:hint="default" w:ascii="Times New Roman" w:hAnsi="Times New Roman" w:eastAsia="仿宋_GB2312" w:cs="Times New Roman"/>
          <w:b w:val="0"/>
          <w:bCs w:val="0"/>
          <w:kern w:val="2"/>
          <w:sz w:val="32"/>
          <w:szCs w:val="32"/>
          <w:lang w:val="en-US" w:eastAsia="zh-CN" w:bidi="ar-SA"/>
        </w:rPr>
        <w:t>补助资金</w:t>
      </w:r>
      <w:r>
        <w:rPr>
          <w:rFonts w:hint="default" w:ascii="Times New Roman" w:hAnsi="Times New Roman" w:cs="Times New Roman"/>
          <w:b w:val="0"/>
          <w:bCs w:val="0"/>
          <w:kern w:val="2"/>
          <w:sz w:val="32"/>
          <w:szCs w:val="32"/>
          <w:lang w:val="en-US" w:eastAsia="zh-CN" w:bidi="ar-SA"/>
        </w:rPr>
        <w:t>3</w:t>
      </w:r>
      <w:r>
        <w:rPr>
          <w:rFonts w:hint="default" w:ascii="Times New Roman" w:hAnsi="Times New Roman" w:eastAsia="仿宋_GB2312" w:cs="Times New Roman"/>
          <w:b w:val="0"/>
          <w:bCs w:val="0"/>
          <w:kern w:val="2"/>
          <w:sz w:val="32"/>
          <w:szCs w:val="32"/>
          <w:lang w:val="en-US" w:eastAsia="zh-CN" w:bidi="ar-SA"/>
        </w:rPr>
        <w:t>600万元，即本次绩效评价的项目资金</w:t>
      </w:r>
      <w:r>
        <w:rPr>
          <w:rFonts w:hint="default" w:ascii="Times New Roman" w:hAnsi="Times New Roman" w:cs="Times New Roman"/>
          <w:b w:val="0"/>
          <w:bCs w:val="0"/>
          <w:kern w:val="2"/>
          <w:sz w:val="32"/>
          <w:szCs w:val="32"/>
          <w:lang w:val="en-US" w:eastAsia="zh-CN" w:bidi="ar-SA"/>
        </w:rPr>
        <w:t>。根据市委市政府部署安排，市本级主要负责</w:t>
      </w:r>
      <w:r>
        <w:rPr>
          <w:rFonts w:hint="default" w:ascii="Times New Roman" w:hAnsi="Times New Roman" w:eastAsia="仿宋_GB2312" w:cs="Times New Roman"/>
          <w:color w:val="auto"/>
          <w:sz w:val="32"/>
          <w:szCs w:val="32"/>
          <w:lang w:val="en-US" w:eastAsia="zh-CN"/>
        </w:rPr>
        <w:t>总体统筹协调</w:t>
      </w:r>
      <w:r>
        <w:rPr>
          <w:rFonts w:hint="default" w:ascii="Times New Roman" w:hAnsi="Times New Roman" w:cs="Times New Roman"/>
          <w:color w:val="auto"/>
          <w:sz w:val="32"/>
          <w:szCs w:val="32"/>
          <w:lang w:val="en-US" w:eastAsia="zh-CN"/>
        </w:rPr>
        <w:t>，县区具体负责项目实施，因此，本次绩效评价的项目资金</w:t>
      </w:r>
      <w:r>
        <w:rPr>
          <w:rFonts w:hint="default" w:ascii="Times New Roman" w:hAnsi="Times New Roman" w:eastAsia="仿宋_GB2312" w:cs="Times New Roman"/>
          <w:b w:val="0"/>
          <w:bCs w:val="0"/>
          <w:kern w:val="2"/>
          <w:sz w:val="32"/>
          <w:szCs w:val="32"/>
          <w:lang w:val="en-US" w:eastAsia="zh-CN" w:bidi="ar-SA"/>
        </w:rPr>
        <w:t>主要</w:t>
      </w:r>
      <w:r>
        <w:rPr>
          <w:rFonts w:hint="default" w:ascii="Times New Roman" w:hAnsi="Times New Roman" w:cs="Times New Roman"/>
          <w:b w:val="0"/>
          <w:bCs w:val="0"/>
          <w:kern w:val="2"/>
          <w:sz w:val="32"/>
          <w:szCs w:val="32"/>
          <w:lang w:val="en-US" w:eastAsia="zh-CN" w:bidi="ar-SA"/>
        </w:rPr>
        <w:t>用途</w:t>
      </w:r>
      <w:r>
        <w:rPr>
          <w:rFonts w:hint="default" w:ascii="Times New Roman" w:hAnsi="Times New Roman" w:eastAsia="仿宋_GB2312" w:cs="Times New Roman"/>
          <w:b w:val="0"/>
          <w:bCs w:val="0"/>
          <w:kern w:val="2"/>
          <w:sz w:val="32"/>
          <w:szCs w:val="32"/>
          <w:lang w:val="en-US" w:eastAsia="zh-CN" w:bidi="ar-SA"/>
        </w:rPr>
        <w:t>包括</w:t>
      </w:r>
      <w:r>
        <w:rPr>
          <w:rFonts w:hint="default" w:ascii="Times New Roman" w:hAnsi="Times New Roman" w:cs="Times New Roman"/>
          <w:b w:val="0"/>
          <w:bCs w:val="0"/>
          <w:kern w:val="2"/>
          <w:sz w:val="32"/>
          <w:szCs w:val="32"/>
          <w:lang w:val="en-US" w:eastAsia="zh-CN" w:bidi="ar-SA"/>
        </w:rPr>
        <w:t>项目勘测设计、林地报批、安全鉴定、水保补偿费等项目推进保障经费</w:t>
      </w:r>
      <w:r>
        <w:rPr>
          <w:rFonts w:hint="default" w:ascii="Times New Roman" w:hAnsi="Times New Roman" w:eastAsia="仿宋_GB2312" w:cs="Times New Roman"/>
          <w:b w:val="0"/>
          <w:bCs w:val="0"/>
          <w:kern w:val="2"/>
          <w:sz w:val="32"/>
          <w:szCs w:val="32"/>
          <w:lang w:val="en-US" w:eastAsia="zh-CN" w:bidi="ar-SA"/>
        </w:rPr>
        <w:t>。根据合同约定支付进度款，截至202</w:t>
      </w:r>
      <w:r>
        <w:rPr>
          <w:rFonts w:hint="default" w:ascii="Times New Roman" w:hAnsi="Times New Roman" w:cs="Times New Roman"/>
          <w:b w:val="0"/>
          <w:bCs w:val="0"/>
          <w:kern w:val="2"/>
          <w:sz w:val="32"/>
          <w:szCs w:val="32"/>
          <w:lang w:val="en-US" w:eastAsia="zh-CN" w:bidi="ar-SA"/>
        </w:rPr>
        <w:t>4</w:t>
      </w:r>
      <w:r>
        <w:rPr>
          <w:rFonts w:hint="default" w:ascii="Times New Roman" w:hAnsi="Times New Roman" w:eastAsia="仿宋_GB2312" w:cs="Times New Roman"/>
          <w:b w:val="0"/>
          <w:bCs w:val="0"/>
          <w:kern w:val="2"/>
          <w:sz w:val="32"/>
          <w:szCs w:val="32"/>
          <w:lang w:val="en-US" w:eastAsia="zh-CN" w:bidi="ar-SA"/>
        </w:rPr>
        <w:t>年底，已</w:t>
      </w:r>
      <w:r>
        <w:rPr>
          <w:rFonts w:hint="default" w:ascii="Times New Roman" w:hAnsi="Times New Roman" w:cs="Times New Roman"/>
          <w:b w:val="0"/>
          <w:bCs w:val="0"/>
          <w:kern w:val="2"/>
          <w:sz w:val="32"/>
          <w:szCs w:val="32"/>
          <w:lang w:val="en-US" w:eastAsia="zh-CN" w:bidi="ar-SA"/>
        </w:rPr>
        <w:t>支付3600万元，资金执行率100%。</w:t>
      </w:r>
    </w:p>
    <w:p w14:paraId="3ACEE6AE">
      <w:pPr>
        <w:keepNext w:val="0"/>
        <w:keepLines w:val="0"/>
        <w:pageBreakBefore w:val="0"/>
        <w:widowControl w:val="0"/>
        <w:kinsoku/>
        <w:wordWrap/>
        <w:overflowPunct/>
        <w:topLinePunct w:val="0"/>
        <w:autoSpaceDE/>
        <w:autoSpaceDN/>
        <w:bidi w:val="0"/>
        <w:adjustRightInd/>
        <w:snapToGrid/>
        <w:spacing w:line="520" w:lineRule="exact"/>
        <w:ind w:firstLine="600"/>
        <w:textAlignment w:val="auto"/>
        <w:outlineLvl w:val="0"/>
        <w:rPr>
          <w:rFonts w:hint="default" w:ascii="Times New Roman" w:hAnsi="Times New Roman" w:eastAsia="楷体" w:cs="Times New Roman"/>
          <w:b/>
          <w:bCs/>
          <w:szCs w:val="32"/>
        </w:rPr>
      </w:pP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lang w:val="en-US" w:eastAsia="zh-CN"/>
        </w:rPr>
        <w:t>二</w:t>
      </w:r>
      <w:r>
        <w:rPr>
          <w:rFonts w:hint="default" w:ascii="Times New Roman" w:hAnsi="Times New Roman" w:eastAsia="楷体" w:cs="Times New Roman"/>
          <w:b/>
          <w:bCs/>
          <w:szCs w:val="32"/>
          <w:lang w:eastAsia="zh-CN"/>
        </w:rPr>
        <w:t>）</w:t>
      </w:r>
      <w:r>
        <w:rPr>
          <w:rFonts w:hint="default" w:ascii="Times New Roman" w:hAnsi="Times New Roman" w:eastAsia="楷体" w:cs="Times New Roman"/>
          <w:b/>
          <w:bCs/>
          <w:szCs w:val="32"/>
        </w:rPr>
        <w:t>项目绩效目标</w:t>
      </w:r>
    </w:p>
    <w:p w14:paraId="67674C9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总体目标：按照市委、市政府总体要求，加快推进工程建设，同时加强</w:t>
      </w:r>
      <w:r>
        <w:rPr>
          <w:rFonts w:hint="default" w:ascii="Times New Roman" w:hAnsi="Times New Roman" w:cs="Times New Roman"/>
          <w:b w:val="0"/>
          <w:bCs w:val="0"/>
          <w:kern w:val="2"/>
          <w:sz w:val="32"/>
          <w:szCs w:val="32"/>
          <w:lang w:val="en-US" w:eastAsia="zh-CN" w:bidi="ar-SA"/>
        </w:rPr>
        <w:t>增发国债</w:t>
      </w:r>
      <w:r>
        <w:rPr>
          <w:rFonts w:hint="default" w:ascii="Times New Roman" w:hAnsi="Times New Roman" w:eastAsia="仿宋_GB2312" w:cs="Times New Roman"/>
          <w:b w:val="0"/>
          <w:bCs w:val="0"/>
          <w:kern w:val="2"/>
          <w:sz w:val="32"/>
          <w:szCs w:val="32"/>
          <w:lang w:val="en-US" w:eastAsia="zh-CN" w:bidi="ar-SA"/>
        </w:rPr>
        <w:t>补助资金和项目的日常监管，资金使用规范、充分发挥资金使用效益，社会效益明显，保质保量完成各项工作任务，人民群众满意度达到90%以上。</w:t>
      </w:r>
    </w:p>
    <w:p w14:paraId="5747B83F">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阶段性目标：</w:t>
      </w:r>
      <w:r>
        <w:rPr>
          <w:rFonts w:hint="eastAsia" w:cs="Times New Roman"/>
          <w:b w:val="0"/>
          <w:bCs w:val="0"/>
          <w:kern w:val="2"/>
          <w:sz w:val="32"/>
          <w:szCs w:val="32"/>
          <w:lang w:val="en-US" w:eastAsia="zh-CN" w:bidi="ar-SA"/>
        </w:rPr>
        <w:t>开工建设</w:t>
      </w:r>
      <w:r>
        <w:rPr>
          <w:rFonts w:hint="default" w:ascii="Times New Roman" w:hAnsi="Times New Roman" w:eastAsia="仿宋_GB2312" w:cs="Times New Roman"/>
          <w:b w:val="0"/>
          <w:bCs w:val="0"/>
          <w:kern w:val="2"/>
          <w:sz w:val="32"/>
          <w:szCs w:val="32"/>
          <w:lang w:val="en-US" w:eastAsia="zh-CN" w:bidi="ar-SA"/>
        </w:rPr>
        <w:t>城西湖、城东湖、淠河、史河片部分洼地治理工程内容</w:t>
      </w:r>
      <w:r>
        <w:rPr>
          <w:rFonts w:hint="default" w:ascii="Times New Roman" w:hAnsi="Times New Roman" w:cs="Times New Roman"/>
          <w:b w:val="0"/>
          <w:bCs w:val="0"/>
          <w:kern w:val="2"/>
          <w:sz w:val="32"/>
          <w:szCs w:val="32"/>
          <w:lang w:val="en-US" w:eastAsia="zh-CN" w:bidi="ar-SA"/>
        </w:rPr>
        <w:t>，治理面积超400km</w:t>
      </w:r>
      <w:r>
        <w:rPr>
          <w:rFonts w:hint="default" w:ascii="Times New Roman" w:hAnsi="Times New Roman" w:cs="Times New Roman"/>
          <w:b w:val="0"/>
          <w:bCs w:val="0"/>
          <w:kern w:val="2"/>
          <w:sz w:val="32"/>
          <w:szCs w:val="32"/>
          <w:vertAlign w:val="superscript"/>
          <w:lang w:val="en-US" w:eastAsia="zh-CN" w:bidi="ar-SA"/>
        </w:rPr>
        <w:t>2</w:t>
      </w:r>
      <w:r>
        <w:rPr>
          <w:rFonts w:hint="default"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投资完成和支付比例均达到序时进度要求</w:t>
      </w:r>
      <w:r>
        <w:rPr>
          <w:rFonts w:hint="default"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达到100%；通过工程建设，实施地区排涝标准提升至5-10年一遇。</w:t>
      </w:r>
    </w:p>
    <w:p w14:paraId="14FF4100">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二、绩效评价工作开展情况</w:t>
      </w:r>
    </w:p>
    <w:p w14:paraId="4ECDB135">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Times New Roman" w:hAnsi="Times New Roman" w:cs="Times New Roman"/>
          <w:szCs w:val="32"/>
          <w:lang w:val="en-US" w:eastAsia="zh-CN"/>
        </w:rPr>
      </w:pPr>
      <w:r>
        <w:rPr>
          <w:rFonts w:hint="default" w:ascii="Times New Roman" w:hAnsi="Times New Roman" w:cs="Times New Roman"/>
          <w:szCs w:val="32"/>
        </w:rPr>
        <w:t>（一）目的</w:t>
      </w:r>
      <w:r>
        <w:rPr>
          <w:rFonts w:hint="default" w:ascii="Times New Roman" w:hAnsi="Times New Roman" w:cs="Times New Roman"/>
          <w:szCs w:val="32"/>
          <w:lang w:eastAsia="zh-CN"/>
        </w:rPr>
        <w:t>：通过开展</w:t>
      </w:r>
      <w:r>
        <w:rPr>
          <w:rFonts w:hint="default" w:ascii="Times New Roman" w:hAnsi="Times New Roman" w:cs="Times New Roman"/>
          <w:szCs w:val="32"/>
          <w:lang w:val="en-US" w:eastAsia="zh-CN"/>
        </w:rPr>
        <w:t>2023-2024年增发国债补助资金绩效评价，了解专项资金项目进展、资金使用、执行情况及取得的成效，发现问题、总结经验，作为完善制度、加强管理、强化监督的依据，从而进一步提高财政专项资金使用效益和项目管理水平。</w:t>
      </w:r>
      <w:bookmarkStart w:id="1" w:name="_GoBack"/>
      <w:bookmarkEnd w:id="1"/>
    </w:p>
    <w:p w14:paraId="393A0C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rPr>
        <w:t>对象</w:t>
      </w:r>
      <w:r>
        <w:rPr>
          <w:rFonts w:hint="default" w:ascii="Times New Roman" w:hAnsi="Times New Roman" w:cs="Times New Roman"/>
          <w:szCs w:val="32"/>
          <w:lang w:eastAsia="zh-CN"/>
        </w:rPr>
        <w:t>：</w:t>
      </w:r>
      <w:r>
        <w:rPr>
          <w:rFonts w:hint="default" w:ascii="Times New Roman" w:hAnsi="Times New Roman" w:cs="Times New Roman"/>
          <w:szCs w:val="32"/>
          <w:lang w:val="en-US" w:eastAsia="zh-CN"/>
        </w:rPr>
        <w:t>2023-2024年</w:t>
      </w:r>
      <w:r>
        <w:rPr>
          <w:rFonts w:hint="default" w:ascii="Times New Roman" w:hAnsi="Times New Roman" w:cs="Times New Roman"/>
          <w:b w:val="0"/>
          <w:bCs w:val="0"/>
          <w:kern w:val="2"/>
          <w:sz w:val="32"/>
          <w:szCs w:val="32"/>
          <w:lang w:val="en-US" w:eastAsia="zh-CN" w:bidi="ar-SA"/>
        </w:rPr>
        <w:t>增发国债补助资金</w:t>
      </w:r>
      <w:r>
        <w:rPr>
          <w:rFonts w:hint="default" w:ascii="Times New Roman" w:hAnsi="Times New Roman" w:cs="Times New Roman"/>
          <w:szCs w:val="32"/>
          <w:lang w:val="en-US" w:eastAsia="zh-CN"/>
        </w:rPr>
        <w:t>3600万元。</w:t>
      </w:r>
    </w:p>
    <w:p w14:paraId="6D6B1FB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rPr>
        <w:t>范围</w:t>
      </w:r>
      <w:r>
        <w:rPr>
          <w:rFonts w:hint="default" w:ascii="Times New Roman" w:hAnsi="Times New Roman" w:cs="Times New Roman"/>
          <w:szCs w:val="32"/>
          <w:lang w:eastAsia="zh-CN"/>
        </w:rPr>
        <w:t>：本次绩效评价范围包括项目</w:t>
      </w:r>
      <w:r>
        <w:rPr>
          <w:rFonts w:hint="default" w:ascii="Times New Roman" w:hAnsi="Times New Roman" w:cs="Times New Roman"/>
          <w:szCs w:val="32"/>
          <w:lang w:val="en-US" w:eastAsia="zh-CN"/>
        </w:rPr>
        <w:t>前期</w:t>
      </w:r>
      <w:r>
        <w:rPr>
          <w:rFonts w:hint="default" w:ascii="Times New Roman" w:hAnsi="Times New Roman" w:cs="Times New Roman"/>
          <w:szCs w:val="32"/>
          <w:lang w:eastAsia="zh-CN"/>
        </w:rPr>
        <w:t>、过程、产出、效益等。</w:t>
      </w:r>
    </w:p>
    <w:p w14:paraId="3419510B">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lang w:val="en-US" w:eastAsia="zh-CN"/>
        </w:rPr>
        <w:t>（二）绩效评价原则：1.科学规范原则。绩效评价应当严格执行规定的程序，按照科学可行的要求，采用定量与定性分析相结合的方法。2.公正公开原则。绩效评价应当符合真实、客观、公正的要求，依法公开并接受监督。3.绩效相关原则。绩效评价应当针对具体支出及产出绩效进行，评价结果应当清晰反映支出和产出绩效之间的紧密对应关系。</w:t>
      </w:r>
      <w:r>
        <w:rPr>
          <w:rFonts w:hint="default" w:ascii="Times New Roman" w:hAnsi="Times New Roman" w:cs="Times New Roman"/>
          <w:szCs w:val="32"/>
        </w:rPr>
        <w:t>评价指标体系</w:t>
      </w:r>
      <w:r>
        <w:rPr>
          <w:rFonts w:hint="default" w:ascii="Times New Roman" w:hAnsi="Times New Roman" w:cs="Times New Roman"/>
          <w:szCs w:val="32"/>
          <w:lang w:eastAsia="zh-CN"/>
        </w:rPr>
        <w:t>：见下表</w:t>
      </w:r>
    </w:p>
    <w:tbl>
      <w:tblPr>
        <w:tblStyle w:val="8"/>
        <w:tblW w:w="8551" w:type="dxa"/>
        <w:tblInd w:w="0" w:type="dxa"/>
        <w:shd w:val="clear" w:color="auto" w:fill="auto"/>
        <w:tblLayout w:type="fixed"/>
        <w:tblCellMar>
          <w:top w:w="0" w:type="dxa"/>
          <w:left w:w="0" w:type="dxa"/>
          <w:bottom w:w="0" w:type="dxa"/>
          <w:right w:w="0" w:type="dxa"/>
        </w:tblCellMar>
      </w:tblPr>
      <w:tblGrid>
        <w:gridCol w:w="1037"/>
        <w:gridCol w:w="1037"/>
        <w:gridCol w:w="6477"/>
      </w:tblGrid>
      <w:tr w14:paraId="1592B734">
        <w:tblPrEx>
          <w:shd w:val="clear" w:color="auto" w:fill="auto"/>
          <w:tblCellMar>
            <w:top w:w="0" w:type="dxa"/>
            <w:left w:w="0" w:type="dxa"/>
            <w:bottom w:w="0" w:type="dxa"/>
            <w:right w:w="0" w:type="dxa"/>
          </w:tblCellMar>
        </w:tblPrEx>
        <w:trPr>
          <w:trHeight w:val="680" w:hRule="atLeast"/>
        </w:trPr>
        <w:tc>
          <w:tcPr>
            <w:tcW w:w="8551" w:type="dxa"/>
            <w:gridSpan w:val="3"/>
            <w:tcBorders>
              <w:top w:val="nil"/>
              <w:left w:val="nil"/>
              <w:bottom w:val="nil"/>
              <w:right w:val="nil"/>
            </w:tcBorders>
            <w:shd w:val="clear" w:color="auto" w:fill="auto"/>
            <w:noWrap/>
            <w:tcMar>
              <w:top w:w="15" w:type="dxa"/>
              <w:left w:w="15" w:type="dxa"/>
              <w:right w:w="15" w:type="dxa"/>
            </w:tcMar>
            <w:vAlign w:val="center"/>
          </w:tcPr>
          <w:p w14:paraId="28D4C10D">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2023-2024年度增发国债补助资金项目绩效评价指标体系</w:t>
            </w:r>
          </w:p>
        </w:tc>
      </w:tr>
      <w:tr w14:paraId="1DB16D7F">
        <w:tblPrEx>
          <w:tblCellMar>
            <w:top w:w="0" w:type="dxa"/>
            <w:left w:w="0" w:type="dxa"/>
            <w:bottom w:w="0" w:type="dxa"/>
            <w:right w:w="0" w:type="dxa"/>
          </w:tblCellMar>
        </w:tblPrEx>
        <w:trPr>
          <w:trHeight w:val="32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C876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一级指标</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1891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二级指标</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8E3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三级指标</w:t>
            </w:r>
          </w:p>
        </w:tc>
      </w:tr>
      <w:tr w14:paraId="077E02D0">
        <w:tblPrEx>
          <w:tblCellMar>
            <w:top w:w="0" w:type="dxa"/>
            <w:left w:w="0" w:type="dxa"/>
            <w:bottom w:w="0" w:type="dxa"/>
            <w:right w:w="0" w:type="dxa"/>
          </w:tblCellMar>
        </w:tblPrEx>
        <w:trPr>
          <w:trHeight w:val="320"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1DFF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前期</w:t>
            </w:r>
          </w:p>
        </w:tc>
        <w:tc>
          <w:tcPr>
            <w:tcW w:w="1037"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751B9B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项目立项</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BD33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立项依据充分性</w:t>
            </w:r>
          </w:p>
        </w:tc>
      </w:tr>
      <w:tr w14:paraId="744E77D9">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8FCDA">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4042B57">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430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立项程序规范性</w:t>
            </w:r>
          </w:p>
        </w:tc>
      </w:tr>
      <w:tr w14:paraId="29B07FB8">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6213">
            <w:pPr>
              <w:jc w:val="center"/>
              <w:rPr>
                <w:rFonts w:hint="default" w:ascii="Times New Roman" w:hAnsi="Times New Roman" w:eastAsia="宋体" w:cs="Times New Roman"/>
                <w:i w:val="0"/>
                <w:color w:val="000000"/>
                <w:sz w:val="22"/>
                <w:szCs w:val="22"/>
                <w:u w:val="none"/>
              </w:rPr>
            </w:pPr>
          </w:p>
        </w:tc>
        <w:tc>
          <w:tcPr>
            <w:tcW w:w="1037"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AF3B59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绩效目标</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3FB5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绩效目标合理性</w:t>
            </w:r>
          </w:p>
        </w:tc>
      </w:tr>
      <w:tr w14:paraId="3E17E3A1">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FDCC">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B57286D">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9566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绩效指标明确性</w:t>
            </w:r>
          </w:p>
        </w:tc>
      </w:tr>
      <w:tr w14:paraId="6CDD214E">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D0AD9">
            <w:pPr>
              <w:jc w:val="center"/>
              <w:rPr>
                <w:rFonts w:hint="default" w:ascii="Times New Roman" w:hAnsi="Times New Roman" w:eastAsia="宋体" w:cs="Times New Roman"/>
                <w:i w:val="0"/>
                <w:color w:val="000000"/>
                <w:sz w:val="22"/>
                <w:szCs w:val="22"/>
                <w:u w:val="none"/>
              </w:rPr>
            </w:pPr>
          </w:p>
        </w:tc>
        <w:tc>
          <w:tcPr>
            <w:tcW w:w="1037"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683C09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资金投入</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80FE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预算编制科学性</w:t>
            </w:r>
          </w:p>
        </w:tc>
      </w:tr>
      <w:tr w14:paraId="66A646FD">
        <w:tblPrEx>
          <w:tblCellMar>
            <w:top w:w="0" w:type="dxa"/>
            <w:left w:w="0" w:type="dxa"/>
            <w:bottom w:w="0" w:type="dxa"/>
            <w:right w:w="0" w:type="dxa"/>
          </w:tblCellMar>
        </w:tblPrEx>
        <w:trPr>
          <w:trHeight w:val="320"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2E1B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过程</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A1B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资金管理</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51F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资金到位率</w:t>
            </w:r>
          </w:p>
        </w:tc>
      </w:tr>
      <w:tr w14:paraId="15238649">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C3E71">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30286">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8C3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资金拨付及时性</w:t>
            </w:r>
          </w:p>
        </w:tc>
      </w:tr>
      <w:tr w14:paraId="02D0BBE6">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6E1CC">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98D3">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91D4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预算执行率</w:t>
            </w:r>
          </w:p>
        </w:tc>
      </w:tr>
      <w:tr w14:paraId="6698394C">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4452">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6C9AE">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C9A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资金使用合规性</w:t>
            </w:r>
          </w:p>
        </w:tc>
      </w:tr>
      <w:tr w14:paraId="50A65E53">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6C9B">
            <w:pPr>
              <w:jc w:val="center"/>
              <w:rPr>
                <w:rFonts w:hint="default" w:ascii="Times New Roman" w:hAnsi="Times New Roman" w:eastAsia="宋体" w:cs="Times New Roman"/>
                <w:i w:val="0"/>
                <w:color w:val="000000"/>
                <w:sz w:val="22"/>
                <w:szCs w:val="22"/>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856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组织实施</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E43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管理制度健全性</w:t>
            </w:r>
          </w:p>
        </w:tc>
      </w:tr>
      <w:tr w14:paraId="4A236127">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3E4E">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6398">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0FC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制度执行有效性</w:t>
            </w:r>
          </w:p>
        </w:tc>
      </w:tr>
      <w:tr w14:paraId="02ACBDE2">
        <w:tblPrEx>
          <w:tblCellMar>
            <w:top w:w="0" w:type="dxa"/>
            <w:left w:w="0" w:type="dxa"/>
            <w:bottom w:w="0" w:type="dxa"/>
            <w:right w:w="0" w:type="dxa"/>
          </w:tblCellMar>
        </w:tblPrEx>
        <w:trPr>
          <w:trHeight w:val="320"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7B2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产出</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2A04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产出数量</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4F7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治理面积</w:t>
            </w:r>
          </w:p>
        </w:tc>
      </w:tr>
      <w:tr w14:paraId="5F5F1E25">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2903B">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E746">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AF17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开工建设洼地片数</w:t>
            </w:r>
          </w:p>
        </w:tc>
      </w:tr>
      <w:tr w14:paraId="1C35AB4A">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59EA2">
            <w:pPr>
              <w:jc w:val="center"/>
              <w:rPr>
                <w:rFonts w:hint="default" w:ascii="Times New Roman" w:hAnsi="Times New Roman" w:eastAsia="宋体" w:cs="Times New Roman"/>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761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产出质量</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D4E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已建工程是否存在质量缺陷</w:t>
            </w:r>
          </w:p>
        </w:tc>
      </w:tr>
      <w:tr w14:paraId="38521F20">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546E">
            <w:pPr>
              <w:jc w:val="center"/>
              <w:rPr>
                <w:rFonts w:hint="default" w:ascii="Times New Roman" w:hAnsi="Times New Roman" w:eastAsia="宋体" w:cs="Times New Roman"/>
                <w:i w:val="0"/>
                <w:color w:val="000000"/>
                <w:sz w:val="22"/>
                <w:szCs w:val="22"/>
                <w:u w:val="none"/>
              </w:rPr>
            </w:pP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899D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产出时效</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7E1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投资完成比例</w:t>
            </w:r>
          </w:p>
        </w:tc>
      </w:tr>
      <w:tr w14:paraId="3346763D">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15252">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1ECC">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636D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投资支付比例</w:t>
            </w:r>
          </w:p>
        </w:tc>
      </w:tr>
      <w:tr w14:paraId="30CDF072">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186A">
            <w:pPr>
              <w:jc w:val="center"/>
              <w:rPr>
                <w:rFonts w:hint="default" w:ascii="Times New Roman" w:hAnsi="Times New Roman" w:eastAsia="宋体" w:cs="Times New Roman"/>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EDCD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产出成本</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BAF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单价是否控制在批复概算单价内</w:t>
            </w:r>
          </w:p>
        </w:tc>
      </w:tr>
      <w:tr w14:paraId="716C6B7A">
        <w:tblPrEx>
          <w:tblCellMar>
            <w:top w:w="0" w:type="dxa"/>
            <w:left w:w="0" w:type="dxa"/>
            <w:bottom w:w="0" w:type="dxa"/>
            <w:right w:w="0" w:type="dxa"/>
          </w:tblCellMar>
        </w:tblPrEx>
        <w:trPr>
          <w:trHeight w:val="320" w:hRule="atLeast"/>
        </w:trPr>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416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效益</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6087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项目效益</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AC4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提升排涝能力</w:t>
            </w:r>
          </w:p>
        </w:tc>
      </w:tr>
      <w:tr w14:paraId="62D6F8C7">
        <w:tblPrEx>
          <w:tblCellMar>
            <w:top w:w="0" w:type="dxa"/>
            <w:left w:w="0" w:type="dxa"/>
            <w:bottom w:w="0" w:type="dxa"/>
            <w:right w:w="0" w:type="dxa"/>
          </w:tblCellMar>
        </w:tblPrEx>
        <w:trPr>
          <w:trHeight w:val="27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26047">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BA657">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1355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加强日常工程管理，不发生破坏生态环境等现象</w:t>
            </w:r>
          </w:p>
        </w:tc>
      </w:tr>
      <w:tr w14:paraId="24E98120">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0C411">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14001">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E30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已完工程是否达到设计预期效果</w:t>
            </w:r>
          </w:p>
        </w:tc>
      </w:tr>
      <w:tr w14:paraId="20FD5D13">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B28D7">
            <w:pPr>
              <w:jc w:val="center"/>
              <w:rPr>
                <w:rFonts w:hint="default" w:ascii="Times New Roman" w:hAnsi="Times New Roman" w:eastAsia="宋体" w:cs="Times New Roman"/>
                <w:i w:val="0"/>
                <w:color w:val="000000"/>
                <w:sz w:val="22"/>
                <w:szCs w:val="22"/>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A572">
            <w:pPr>
              <w:jc w:val="center"/>
              <w:rPr>
                <w:rFonts w:hint="default" w:ascii="Times New Roman" w:hAnsi="Times New Roman" w:eastAsia="宋体" w:cs="Times New Roman"/>
                <w:i w:val="0"/>
                <w:color w:val="000000"/>
                <w:sz w:val="22"/>
                <w:szCs w:val="22"/>
                <w:u w:val="none"/>
              </w:rPr>
            </w:pP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BDCA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已完工程是否良性运行</w:t>
            </w:r>
          </w:p>
        </w:tc>
      </w:tr>
      <w:tr w14:paraId="1605BCE7">
        <w:tblPrEx>
          <w:tblCellMar>
            <w:top w:w="0" w:type="dxa"/>
            <w:left w:w="0" w:type="dxa"/>
            <w:bottom w:w="0" w:type="dxa"/>
            <w:right w:w="0" w:type="dxa"/>
          </w:tblCellMar>
        </w:tblPrEx>
        <w:trPr>
          <w:trHeight w:val="320" w:hRule="atLeast"/>
        </w:trPr>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CAD3">
            <w:pPr>
              <w:jc w:val="center"/>
              <w:rPr>
                <w:rFonts w:hint="default" w:ascii="Times New Roman" w:hAnsi="Times New Roman" w:eastAsia="宋体" w:cs="Times New Roman"/>
                <w:i w:val="0"/>
                <w:color w:val="000000"/>
                <w:sz w:val="22"/>
                <w:szCs w:val="22"/>
                <w:u w:val="none"/>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DB9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满意度</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519D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受众群众满意度</w:t>
            </w:r>
          </w:p>
        </w:tc>
      </w:tr>
    </w:tbl>
    <w:p w14:paraId="3EA32D3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评价方法：结合本次绩效评价项目的具体情况，主要采用资料分析法、因素分析法、问卷调查法开展绩效评价，从项目资料、财务资料及其他佐证资料进行审核分析，从而得出结论。</w:t>
      </w:r>
    </w:p>
    <w:p w14:paraId="196E171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Cs w:val="32"/>
          <w:lang w:val="en-US" w:eastAsia="zh-CN"/>
        </w:rPr>
      </w:pPr>
      <w:r>
        <w:rPr>
          <w:rFonts w:hint="default" w:ascii="Times New Roman" w:hAnsi="Times New Roman" w:cs="Times New Roman"/>
          <w:szCs w:val="32"/>
        </w:rPr>
        <w:t>评价标准</w:t>
      </w:r>
      <w:r>
        <w:rPr>
          <w:rFonts w:hint="default" w:ascii="Times New Roman" w:hAnsi="Times New Roman" w:cs="Times New Roman"/>
          <w:szCs w:val="32"/>
          <w:lang w:eastAsia="zh-CN"/>
        </w:rPr>
        <w:t>：本次项目绩效评价的评分标准以计划标准为组要依据，同时依据项目实际情况作为衡量本项目支出绩效目标完成情况的评价尺度。总分</w:t>
      </w:r>
      <w:r>
        <w:rPr>
          <w:rFonts w:hint="default" w:ascii="Times New Roman" w:hAnsi="Times New Roman" w:cs="Times New Roman"/>
          <w:szCs w:val="32"/>
          <w:lang w:val="en-US" w:eastAsia="zh-CN"/>
        </w:rPr>
        <w:t>100分，最终评价等级分为四级：90（含）-100分为优、80（含）-90分为良、60（含）-80分为中、60分以下为差。</w:t>
      </w:r>
    </w:p>
    <w:p w14:paraId="400FA502">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Times New Roman" w:hAnsi="Times New Roman" w:eastAsia="仿宋_GB2312" w:cs="Times New Roman"/>
          <w:szCs w:val="32"/>
          <w:lang w:eastAsia="zh-CN"/>
        </w:rPr>
      </w:pPr>
      <w:r>
        <w:rPr>
          <w:rFonts w:hint="default" w:ascii="Times New Roman" w:hAnsi="Times New Roman" w:cs="Times New Roman"/>
          <w:szCs w:val="32"/>
        </w:rPr>
        <w:t>（三）绩效评价工作过程。</w:t>
      </w:r>
      <w:r>
        <w:rPr>
          <w:rFonts w:hint="default" w:ascii="Times New Roman" w:hAnsi="Times New Roman" w:cs="Times New Roman"/>
          <w:szCs w:val="32"/>
          <w:lang w:eastAsia="zh-CN"/>
        </w:rPr>
        <w:t>本项目绩效评价分为四个阶段：方案设计、收集资料与调研、综合分析、撰写绩效评价报告。</w:t>
      </w:r>
    </w:p>
    <w:p w14:paraId="0D06D565">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三、综合评价情况及评价结论</w:t>
      </w:r>
    </w:p>
    <w:tbl>
      <w:tblPr>
        <w:tblStyle w:val="8"/>
        <w:tblW w:w="8145" w:type="dxa"/>
        <w:tblInd w:w="0" w:type="dxa"/>
        <w:shd w:val="clear" w:color="auto" w:fill="auto"/>
        <w:tblLayout w:type="autofit"/>
        <w:tblCellMar>
          <w:top w:w="0" w:type="dxa"/>
          <w:left w:w="0" w:type="dxa"/>
          <w:bottom w:w="0" w:type="dxa"/>
          <w:right w:w="0" w:type="dxa"/>
        </w:tblCellMar>
      </w:tblPr>
      <w:tblGrid>
        <w:gridCol w:w="1015"/>
        <w:gridCol w:w="2439"/>
        <w:gridCol w:w="1174"/>
        <w:gridCol w:w="1015"/>
        <w:gridCol w:w="1015"/>
        <w:gridCol w:w="1489"/>
      </w:tblGrid>
      <w:tr w14:paraId="5432BC6D">
        <w:tblPrEx>
          <w:shd w:val="clear" w:color="auto" w:fill="auto"/>
          <w:tblCellMar>
            <w:top w:w="0" w:type="dxa"/>
            <w:left w:w="0" w:type="dxa"/>
            <w:bottom w:w="0" w:type="dxa"/>
            <w:right w:w="0" w:type="dxa"/>
          </w:tblCellMar>
        </w:tblPrEx>
        <w:trPr>
          <w:trHeight w:val="780" w:hRule="atLeast"/>
        </w:trPr>
        <w:tc>
          <w:tcPr>
            <w:tcW w:w="8147" w:type="dxa"/>
            <w:gridSpan w:val="6"/>
            <w:tcBorders>
              <w:top w:val="nil"/>
              <w:left w:val="nil"/>
              <w:bottom w:val="nil"/>
              <w:right w:val="nil"/>
            </w:tcBorders>
            <w:shd w:val="clear" w:color="auto" w:fill="auto"/>
            <w:noWrap/>
            <w:tcMar>
              <w:top w:w="15" w:type="dxa"/>
              <w:left w:w="15" w:type="dxa"/>
              <w:right w:w="15" w:type="dxa"/>
            </w:tcMar>
            <w:vAlign w:val="center"/>
          </w:tcPr>
          <w:p w14:paraId="52B32ACD">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2023-2024年度增发国债补助资金项目绩效评价得分表</w:t>
            </w:r>
          </w:p>
        </w:tc>
      </w:tr>
      <w:tr w14:paraId="0CC994EA">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6761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9B7B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评价指标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CE9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E02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99F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5EB9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得分率</w:t>
            </w:r>
          </w:p>
        </w:tc>
      </w:tr>
      <w:tr w14:paraId="45D714D5">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3F2C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A3AE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D4F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CDC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D2B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5DE3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14:paraId="640331B2">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60E6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F5F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19D0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24C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119D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5DE1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14:paraId="047DED6E">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205A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34E0">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资金投入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DF17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0F3E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C3D4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BC6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14:paraId="7E3FA332">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2F4B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1FBB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资金管理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8AFE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BC12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0973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53FF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w:t>
            </w:r>
          </w:p>
        </w:tc>
      </w:tr>
      <w:tr w14:paraId="4352C188">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B46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205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组织实施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1E3E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974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E772">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69F4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r>
      <w:tr w14:paraId="7D1500FD">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99DA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3D3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产出数量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823F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4FA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B3C4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098D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r>
      <w:tr w14:paraId="273939AB">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FA8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B308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产出质量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49D4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B02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AC94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9B1F1">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r>
      <w:tr w14:paraId="5D411F23">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6F1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8A4D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产出时效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C5B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6B4C">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615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A0DF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14:paraId="15BBCF69">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A6E8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5883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 xml:space="preserve">产出成本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49A1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CF90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06F0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6BE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14:paraId="64EBBD63">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BFEC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EF4D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社会效益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0DF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9EC0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836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E0C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15%</w:t>
            </w:r>
          </w:p>
        </w:tc>
      </w:tr>
      <w:tr w14:paraId="4FA7EF0D">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2C1F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7041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可持续影响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DFD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65B17">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E23F">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A648">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14:paraId="7237039F">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23D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C686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5BEFA">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F9AD">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882C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CDB3">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w:t>
            </w:r>
          </w:p>
        </w:tc>
      </w:tr>
      <w:tr w14:paraId="1D9B8C8C">
        <w:tblPrEx>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E474">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2D66">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CA3DE">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AF39">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3C15B">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37E5">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98%</w:t>
            </w:r>
          </w:p>
        </w:tc>
      </w:tr>
    </w:tbl>
    <w:p w14:paraId="3B6BA4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绩效评价指标分析</w:t>
      </w:r>
    </w:p>
    <w:p w14:paraId="054D2AA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项目绩效指标评价情况见下表：</w:t>
      </w:r>
    </w:p>
    <w:p w14:paraId="2C95A3A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0"/>
          <w:sz w:val="22"/>
          <w:highlight w:val="none"/>
        </w:rPr>
      </w:pPr>
      <w:r>
        <w:rPr>
          <w:rFonts w:hint="default" w:ascii="Times New Roman" w:hAnsi="Times New Roman" w:eastAsia="方正小标宋简体" w:cs="Times New Roman"/>
          <w:b w:val="0"/>
          <w:bCs w:val="0"/>
          <w:color w:val="auto"/>
          <w:kern w:val="0"/>
          <w:sz w:val="36"/>
          <w:szCs w:val="36"/>
          <w:highlight w:val="none"/>
          <w:lang w:val="en-US" w:eastAsia="zh-CN"/>
        </w:rPr>
        <w:t xml:space="preserve"> </w:t>
      </w:r>
    </w:p>
    <w:tbl>
      <w:tblPr>
        <w:tblStyle w:val="8"/>
        <w:tblW w:w="5000" w:type="pct"/>
        <w:tblInd w:w="0" w:type="dxa"/>
        <w:shd w:val="clear" w:color="auto" w:fill="auto"/>
        <w:tblLayout w:type="fixed"/>
        <w:tblCellMar>
          <w:top w:w="0" w:type="dxa"/>
          <w:left w:w="0" w:type="dxa"/>
          <w:bottom w:w="0" w:type="dxa"/>
          <w:right w:w="0" w:type="dxa"/>
        </w:tblCellMar>
      </w:tblPr>
      <w:tblGrid>
        <w:gridCol w:w="564"/>
        <w:gridCol w:w="304"/>
        <w:gridCol w:w="855"/>
        <w:gridCol w:w="1188"/>
        <w:gridCol w:w="973"/>
        <w:gridCol w:w="1226"/>
        <w:gridCol w:w="1059"/>
        <w:gridCol w:w="454"/>
        <w:gridCol w:w="767"/>
        <w:gridCol w:w="946"/>
      </w:tblGrid>
      <w:tr w14:paraId="53B64832">
        <w:tblPrEx>
          <w:shd w:val="clear" w:color="auto" w:fill="auto"/>
          <w:tblCellMar>
            <w:top w:w="0" w:type="dxa"/>
            <w:left w:w="0" w:type="dxa"/>
            <w:bottom w:w="0" w:type="dxa"/>
            <w:right w:w="0" w:type="dxa"/>
          </w:tblCellMar>
        </w:tblPrEx>
        <w:trPr>
          <w:trHeight w:val="670" w:hRule="atLeast"/>
        </w:trPr>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30A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项目名称</w:t>
            </w:r>
          </w:p>
        </w:tc>
        <w:tc>
          <w:tcPr>
            <w:tcW w:w="3966"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D03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安徽省沿淮行蓄洪区等其他洼地治理工程(六安段)</w:t>
            </w:r>
          </w:p>
        </w:tc>
      </w:tr>
      <w:tr w14:paraId="279B65F8">
        <w:tblPrEx>
          <w:tblCellMar>
            <w:top w:w="0" w:type="dxa"/>
            <w:left w:w="0" w:type="dxa"/>
            <w:bottom w:w="0" w:type="dxa"/>
            <w:right w:w="0" w:type="dxa"/>
          </w:tblCellMar>
        </w:tblPrEx>
        <w:trPr>
          <w:trHeight w:val="670" w:hRule="atLeast"/>
        </w:trPr>
        <w:tc>
          <w:tcPr>
            <w:tcW w:w="103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1281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主管部门</w:t>
            </w:r>
          </w:p>
        </w:tc>
        <w:tc>
          <w:tcPr>
            <w:tcW w:w="2031"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025C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067-六安市水利局</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720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实施单位</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42E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067001-六安市水利局</w:t>
            </w:r>
          </w:p>
        </w:tc>
      </w:tr>
      <w:tr w14:paraId="1BCF1DAD">
        <w:tblPrEx>
          <w:tblCellMar>
            <w:top w:w="0" w:type="dxa"/>
            <w:left w:w="0" w:type="dxa"/>
            <w:bottom w:w="0" w:type="dxa"/>
            <w:right w:w="0" w:type="dxa"/>
          </w:tblCellMar>
        </w:tblPrEx>
        <w:trPr>
          <w:trHeight w:val="670" w:hRule="atLeast"/>
        </w:trPr>
        <w:tc>
          <w:tcPr>
            <w:tcW w:w="1033" w:type="pct"/>
            <w:gridSpan w:val="3"/>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156FEF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项目资金                    （万元）</w:t>
            </w: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F715">
            <w:pPr>
              <w:jc w:val="center"/>
              <w:rPr>
                <w:rFonts w:hint="default" w:ascii="Times New Roman" w:hAnsi="Times New Roman" w:eastAsia="宋体" w:cs="Times New Roman"/>
                <w:i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E3DF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年初预算数</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FFAD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全年预算数</w:t>
            </w: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8571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全年执行数</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952B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分值 </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957A5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执行率</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E4F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得分</w:t>
            </w:r>
          </w:p>
        </w:tc>
      </w:tr>
      <w:tr w14:paraId="168670B5">
        <w:tblPrEx>
          <w:tblCellMar>
            <w:top w:w="0" w:type="dxa"/>
            <w:left w:w="0" w:type="dxa"/>
            <w:bottom w:w="0" w:type="dxa"/>
            <w:right w:w="0" w:type="dxa"/>
          </w:tblCellMar>
        </w:tblPrEx>
        <w:trPr>
          <w:trHeight w:val="670" w:hRule="atLeast"/>
        </w:trPr>
        <w:tc>
          <w:tcPr>
            <w:tcW w:w="1033" w:type="pct"/>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87997E5">
            <w:pPr>
              <w:jc w:val="center"/>
              <w:rPr>
                <w:rFonts w:hint="default" w:ascii="Times New Roman" w:hAnsi="Times New Roman" w:eastAsia="宋体" w:cs="Times New Roman"/>
                <w:i w:val="0"/>
                <w:color w:val="000000"/>
                <w:sz w:val="24"/>
                <w:szCs w:val="24"/>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25E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年度资金总额：</w:t>
            </w:r>
          </w:p>
        </w:tc>
        <w:tc>
          <w:tcPr>
            <w:tcW w:w="58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0B1A70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3600.00</w:t>
            </w:r>
          </w:p>
        </w:tc>
        <w:tc>
          <w:tcPr>
            <w:tcW w:w="7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0CBD840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3600.00</w:t>
            </w:r>
          </w:p>
        </w:tc>
        <w:tc>
          <w:tcPr>
            <w:tcW w:w="6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97FF71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3600.00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09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D800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100.00%</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60D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w:t>
            </w:r>
          </w:p>
        </w:tc>
      </w:tr>
      <w:tr w14:paraId="0B67B742">
        <w:tblPrEx>
          <w:tblCellMar>
            <w:top w:w="0" w:type="dxa"/>
            <w:left w:w="0" w:type="dxa"/>
            <w:bottom w:w="0" w:type="dxa"/>
            <w:right w:w="0" w:type="dxa"/>
          </w:tblCellMar>
        </w:tblPrEx>
        <w:trPr>
          <w:trHeight w:val="670" w:hRule="atLeast"/>
        </w:trPr>
        <w:tc>
          <w:tcPr>
            <w:tcW w:w="1033" w:type="pct"/>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032D72">
            <w:pPr>
              <w:jc w:val="center"/>
              <w:rPr>
                <w:rFonts w:hint="default" w:ascii="Times New Roman" w:hAnsi="Times New Roman" w:eastAsia="宋体" w:cs="Times New Roman"/>
                <w:i w:val="0"/>
                <w:color w:val="000000"/>
                <w:sz w:val="24"/>
                <w:szCs w:val="24"/>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317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其中：本年财政拨款</w:t>
            </w:r>
          </w:p>
        </w:tc>
        <w:tc>
          <w:tcPr>
            <w:tcW w:w="58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93CE7A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1123.00</w:t>
            </w:r>
          </w:p>
        </w:tc>
        <w:tc>
          <w:tcPr>
            <w:tcW w:w="7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FECAED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1123.00</w:t>
            </w:r>
          </w:p>
        </w:tc>
        <w:tc>
          <w:tcPr>
            <w:tcW w:w="6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4F6ECF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1123.00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DF54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6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439B1D4">
            <w:pPr>
              <w:jc w:val="center"/>
              <w:rPr>
                <w:rFonts w:hint="default" w:ascii="Times New Roman" w:hAnsi="Times New Roman" w:eastAsia="宋体" w:cs="Times New Roman"/>
                <w:i w:val="0"/>
                <w:color w:val="000000"/>
                <w:sz w:val="24"/>
                <w:szCs w:val="24"/>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EB2C">
            <w:pPr>
              <w:jc w:val="center"/>
              <w:rPr>
                <w:rFonts w:hint="default" w:ascii="Times New Roman" w:hAnsi="Times New Roman" w:eastAsia="宋体" w:cs="Times New Roman"/>
                <w:i w:val="0"/>
                <w:color w:val="000000"/>
                <w:sz w:val="24"/>
                <w:szCs w:val="24"/>
                <w:u w:val="none"/>
              </w:rPr>
            </w:pPr>
          </w:p>
        </w:tc>
      </w:tr>
      <w:tr w14:paraId="32FCDDC2">
        <w:tblPrEx>
          <w:tblCellMar>
            <w:top w:w="0" w:type="dxa"/>
            <w:left w:w="0" w:type="dxa"/>
            <w:bottom w:w="0" w:type="dxa"/>
            <w:right w:w="0" w:type="dxa"/>
          </w:tblCellMar>
        </w:tblPrEx>
        <w:trPr>
          <w:trHeight w:val="670" w:hRule="atLeast"/>
        </w:trPr>
        <w:tc>
          <w:tcPr>
            <w:tcW w:w="1033" w:type="pct"/>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D86E5FD">
            <w:pPr>
              <w:jc w:val="center"/>
              <w:rPr>
                <w:rFonts w:hint="default" w:ascii="Times New Roman" w:hAnsi="Times New Roman" w:eastAsia="宋体" w:cs="Times New Roman"/>
                <w:i w:val="0"/>
                <w:color w:val="000000"/>
                <w:sz w:val="24"/>
                <w:szCs w:val="24"/>
                <w:u w:val="none"/>
              </w:rPr>
            </w:pPr>
          </w:p>
        </w:tc>
        <w:tc>
          <w:tcPr>
            <w:tcW w:w="7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F3E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上年结转资金</w:t>
            </w:r>
          </w:p>
        </w:tc>
        <w:tc>
          <w:tcPr>
            <w:tcW w:w="58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AD795E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2477.00</w:t>
            </w:r>
          </w:p>
        </w:tc>
        <w:tc>
          <w:tcPr>
            <w:tcW w:w="7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329772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2477.00</w:t>
            </w:r>
          </w:p>
        </w:tc>
        <w:tc>
          <w:tcPr>
            <w:tcW w:w="6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076D0A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2477.00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60A59">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6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67C84F7">
            <w:pPr>
              <w:jc w:val="center"/>
              <w:rPr>
                <w:rFonts w:hint="default" w:ascii="Times New Roman" w:hAnsi="Times New Roman" w:eastAsia="宋体" w:cs="Times New Roman"/>
                <w:i w:val="0"/>
                <w:color w:val="000000"/>
                <w:sz w:val="24"/>
                <w:szCs w:val="24"/>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89F6B">
            <w:pPr>
              <w:jc w:val="center"/>
              <w:rPr>
                <w:rFonts w:hint="default" w:ascii="Times New Roman" w:hAnsi="Times New Roman" w:eastAsia="宋体" w:cs="Times New Roman"/>
                <w:i w:val="0"/>
                <w:color w:val="000000"/>
                <w:sz w:val="24"/>
                <w:szCs w:val="24"/>
                <w:u w:val="none"/>
              </w:rPr>
            </w:pPr>
          </w:p>
        </w:tc>
      </w:tr>
      <w:tr w14:paraId="19D311EE">
        <w:tblPrEx>
          <w:tblCellMar>
            <w:top w:w="0" w:type="dxa"/>
            <w:left w:w="0" w:type="dxa"/>
            <w:bottom w:w="0" w:type="dxa"/>
            <w:right w:w="0" w:type="dxa"/>
          </w:tblCellMar>
        </w:tblPrEx>
        <w:trPr>
          <w:trHeight w:val="670" w:hRule="atLeast"/>
        </w:trPr>
        <w:tc>
          <w:tcPr>
            <w:tcW w:w="1033" w:type="pct"/>
            <w:gridSpan w:val="3"/>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BC1EE9">
            <w:pPr>
              <w:jc w:val="center"/>
              <w:rPr>
                <w:rFonts w:hint="default" w:ascii="Times New Roman" w:hAnsi="Times New Roman" w:eastAsia="宋体" w:cs="Times New Roman"/>
                <w:i w:val="0"/>
                <w:color w:val="000000"/>
                <w:sz w:val="24"/>
                <w:szCs w:val="24"/>
                <w:u w:val="none"/>
              </w:rPr>
            </w:pPr>
          </w:p>
        </w:tc>
        <w:tc>
          <w:tcPr>
            <w:tcW w:w="712"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4283725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          其他资金</w:t>
            </w:r>
          </w:p>
        </w:tc>
        <w:tc>
          <w:tcPr>
            <w:tcW w:w="583"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268FB9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7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D56A25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635"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0AF579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0.00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0479">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60" w:type="pc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2C90E5AB">
            <w:pPr>
              <w:jc w:val="center"/>
              <w:rPr>
                <w:rFonts w:hint="default" w:ascii="Times New Roman" w:hAnsi="Times New Roman" w:eastAsia="宋体" w:cs="Times New Roman"/>
                <w:i w:val="0"/>
                <w:color w:val="000000"/>
                <w:sz w:val="24"/>
                <w:szCs w:val="24"/>
                <w:u w:val="none"/>
              </w:rPr>
            </w:pP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780F">
            <w:pPr>
              <w:jc w:val="center"/>
              <w:rPr>
                <w:rFonts w:hint="default" w:ascii="Times New Roman" w:hAnsi="Times New Roman" w:eastAsia="宋体" w:cs="Times New Roman"/>
                <w:i w:val="0"/>
                <w:color w:val="000000"/>
                <w:sz w:val="24"/>
                <w:szCs w:val="24"/>
                <w:u w:val="none"/>
              </w:rPr>
            </w:pPr>
          </w:p>
        </w:tc>
      </w:tr>
      <w:tr w14:paraId="0BC728DD">
        <w:tblPrEx>
          <w:tblCellMar>
            <w:top w:w="0" w:type="dxa"/>
            <w:left w:w="0" w:type="dxa"/>
            <w:bottom w:w="0" w:type="dxa"/>
            <w:right w:w="0" w:type="dxa"/>
          </w:tblCellMar>
        </w:tblPrEx>
        <w:trPr>
          <w:trHeight w:val="67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04440B3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年度总体目标</w:t>
            </w:r>
          </w:p>
        </w:tc>
        <w:tc>
          <w:tcPr>
            <w:tcW w:w="272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5780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预期目标</w:t>
            </w:r>
          </w:p>
        </w:tc>
        <w:tc>
          <w:tcPr>
            <w:tcW w:w="1934"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5D5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实际完成情况</w:t>
            </w:r>
          </w:p>
        </w:tc>
      </w:tr>
      <w:tr w14:paraId="55B25436">
        <w:tblPrEx>
          <w:tblCellMar>
            <w:top w:w="0" w:type="dxa"/>
            <w:left w:w="0" w:type="dxa"/>
            <w:bottom w:w="0" w:type="dxa"/>
            <w:right w:w="0" w:type="dxa"/>
          </w:tblCellMar>
        </w:tblPrEx>
        <w:trPr>
          <w:trHeight w:val="193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64C1C7E3">
            <w:pPr>
              <w:jc w:val="center"/>
              <w:rPr>
                <w:rFonts w:hint="default" w:ascii="Times New Roman" w:hAnsi="Times New Roman" w:eastAsia="宋体" w:cs="Times New Roman"/>
                <w:i w:val="0"/>
                <w:color w:val="000000"/>
                <w:sz w:val="24"/>
                <w:szCs w:val="24"/>
                <w:u w:val="none"/>
              </w:rPr>
            </w:pPr>
          </w:p>
        </w:tc>
        <w:tc>
          <w:tcPr>
            <w:tcW w:w="272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C41C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通过项目实施，完成我市除舒城县之外的6个县区，包括城西湖、城东湖、姜塘湖三个行蓄洪区和临王段、淠河、史河三片洼地治理。</w:t>
            </w:r>
          </w:p>
        </w:tc>
        <w:tc>
          <w:tcPr>
            <w:tcW w:w="1934"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6993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2024年度，已实施城西湖、城东湖、淠河、史河片部分洼地治理工程内容。</w:t>
            </w:r>
          </w:p>
        </w:tc>
      </w:tr>
      <w:tr w14:paraId="2A6298BE">
        <w:tblPrEx>
          <w:tblCellMar>
            <w:top w:w="0" w:type="dxa"/>
            <w:left w:w="0" w:type="dxa"/>
            <w:bottom w:w="0" w:type="dxa"/>
            <w:right w:w="0" w:type="dxa"/>
          </w:tblCellMar>
        </w:tblPrEx>
        <w:trPr>
          <w:trHeight w:val="720" w:hRule="atLeast"/>
        </w:trPr>
        <w:tc>
          <w:tcPr>
            <w:tcW w:w="33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2AD081C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绩效指标</w:t>
            </w: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599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一级指标</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5DE9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二级指标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CC0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三级指标</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ECE8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年度指标值</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891F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实际完成值</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74FE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分值</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F329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得分</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9E24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偏差原因分析及改进措施</w:t>
            </w:r>
          </w:p>
        </w:tc>
      </w:tr>
      <w:tr w14:paraId="78ADA6D4">
        <w:tblPrEx>
          <w:tblCellMar>
            <w:top w:w="0" w:type="dxa"/>
            <w:left w:w="0" w:type="dxa"/>
            <w:bottom w:w="0" w:type="dxa"/>
            <w:right w:w="0" w:type="dxa"/>
          </w:tblCellMar>
        </w:tblPrEx>
        <w:trPr>
          <w:trHeight w:val="168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3D169E20">
            <w:pPr>
              <w:jc w:val="center"/>
              <w:rPr>
                <w:rFonts w:hint="default" w:ascii="Times New Roman" w:hAnsi="Times New Roman" w:eastAsia="宋体" w:cs="Times New Roman"/>
                <w:i w:val="0"/>
                <w:color w:val="000000"/>
                <w:sz w:val="24"/>
                <w:szCs w:val="24"/>
                <w:u w:val="none"/>
              </w:rPr>
            </w:pP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006C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产出指标(50分)</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8E4EB">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数量指标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9BB73">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治理面积</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6E01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≥1000平方公里</w:t>
            </w: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E702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约400平方公里</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C82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B944F">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AC8A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本工程为跨年度工程，总工期3年，项目合计治理面积约</w:t>
            </w:r>
            <w:r>
              <w:rPr>
                <w:rStyle w:val="11"/>
                <w:rFonts w:hint="default" w:ascii="Times New Roman" w:hAnsi="Times New Roman" w:eastAsia="宋体" w:cs="Times New Roman"/>
                <w:sz w:val="18"/>
                <w:szCs w:val="18"/>
                <w:lang w:val="en-US" w:eastAsia="zh-CN" w:bidi="ar"/>
              </w:rPr>
              <w:t>1000</w:t>
            </w:r>
            <w:r>
              <w:rPr>
                <w:rStyle w:val="12"/>
                <w:rFonts w:hint="default" w:ascii="Times New Roman" w:hAnsi="Times New Roman" w:cs="Times New Roman"/>
                <w:sz w:val="18"/>
                <w:szCs w:val="18"/>
                <w:lang w:val="en-US" w:eastAsia="zh-CN" w:bidi="ar"/>
              </w:rPr>
              <w:t>平方公里，第一年度治理超</w:t>
            </w:r>
            <w:r>
              <w:rPr>
                <w:rStyle w:val="11"/>
                <w:rFonts w:hint="default" w:ascii="Times New Roman" w:hAnsi="Times New Roman" w:eastAsia="宋体" w:cs="Times New Roman"/>
                <w:sz w:val="18"/>
                <w:szCs w:val="18"/>
                <w:lang w:val="en-US" w:eastAsia="zh-CN" w:bidi="ar"/>
              </w:rPr>
              <w:t>400</w:t>
            </w:r>
            <w:r>
              <w:rPr>
                <w:rStyle w:val="12"/>
                <w:rFonts w:hint="default" w:ascii="Times New Roman" w:hAnsi="Times New Roman" w:cs="Times New Roman"/>
                <w:sz w:val="18"/>
                <w:szCs w:val="18"/>
                <w:lang w:val="en-US" w:eastAsia="zh-CN" w:bidi="ar"/>
              </w:rPr>
              <w:t>平方公里</w:t>
            </w:r>
          </w:p>
        </w:tc>
      </w:tr>
      <w:tr w14:paraId="02C99CD4">
        <w:tblPrEx>
          <w:tblCellMar>
            <w:top w:w="0" w:type="dxa"/>
            <w:left w:w="0" w:type="dxa"/>
            <w:bottom w:w="0" w:type="dxa"/>
            <w:right w:w="0" w:type="dxa"/>
          </w:tblCellMar>
        </w:tblPrEx>
        <w:trPr>
          <w:trHeight w:val="60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491FEFC2">
            <w:pPr>
              <w:jc w:val="center"/>
              <w:rPr>
                <w:rFonts w:hint="default" w:ascii="Times New Roman" w:hAnsi="Times New Roman" w:eastAsia="宋体" w:cs="Times New Roman"/>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20305">
            <w:pPr>
              <w:jc w:val="center"/>
              <w:rPr>
                <w:rFonts w:hint="default" w:ascii="Times New Roman" w:hAnsi="Times New Roman" w:eastAsia="宋体" w:cs="Times New Roman"/>
                <w:i w:val="0"/>
                <w:color w:val="000000"/>
                <w:sz w:val="24"/>
                <w:szCs w:val="24"/>
                <w:u w:val="none"/>
              </w:rPr>
            </w:pPr>
          </w:p>
        </w:tc>
        <w:tc>
          <w:tcPr>
            <w:tcW w:w="51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54A18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质量指标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27D01">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质量指标合格</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E640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w:t>
            </w: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F7371">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完成</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7022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E414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97D5">
            <w:pPr>
              <w:jc w:val="center"/>
              <w:rPr>
                <w:rFonts w:hint="default" w:ascii="Times New Roman" w:hAnsi="Times New Roman" w:eastAsia="宋体" w:cs="Times New Roman"/>
                <w:i w:val="0"/>
                <w:color w:val="000000"/>
                <w:sz w:val="18"/>
                <w:szCs w:val="18"/>
                <w:u w:val="none"/>
              </w:rPr>
            </w:pPr>
          </w:p>
        </w:tc>
      </w:tr>
      <w:tr w14:paraId="0B67126C">
        <w:tblPrEx>
          <w:tblCellMar>
            <w:top w:w="0" w:type="dxa"/>
            <w:left w:w="0" w:type="dxa"/>
            <w:bottom w:w="0" w:type="dxa"/>
            <w:right w:w="0" w:type="dxa"/>
          </w:tblCellMar>
        </w:tblPrEx>
        <w:trPr>
          <w:trHeight w:val="855"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2C0CEB5F">
            <w:pPr>
              <w:jc w:val="center"/>
              <w:rPr>
                <w:rFonts w:hint="default" w:ascii="Times New Roman" w:hAnsi="Times New Roman" w:eastAsia="宋体" w:cs="Times New Roman"/>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AD3E25">
            <w:pPr>
              <w:jc w:val="center"/>
              <w:rPr>
                <w:rFonts w:hint="default" w:ascii="Times New Roman" w:hAnsi="Times New Roman" w:eastAsia="宋体" w:cs="Times New Roman"/>
                <w:i w:val="0"/>
                <w:color w:val="000000"/>
                <w:sz w:val="24"/>
                <w:szCs w:val="24"/>
                <w:u w:val="none"/>
              </w:rPr>
            </w:pPr>
          </w:p>
        </w:tc>
        <w:tc>
          <w:tcPr>
            <w:tcW w:w="51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60618E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时效指标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0ACD7">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工程建设周期</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8AEF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≤3年</w:t>
            </w: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84F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1年</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9B2B2">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233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1C6EA">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本工程为跨年度工程，总工期3年，2024年为建设第1年。</w:t>
            </w:r>
          </w:p>
        </w:tc>
      </w:tr>
      <w:tr w14:paraId="489FB3AA">
        <w:tblPrEx>
          <w:tblCellMar>
            <w:top w:w="0" w:type="dxa"/>
            <w:left w:w="0" w:type="dxa"/>
            <w:bottom w:w="0" w:type="dxa"/>
            <w:right w:w="0" w:type="dxa"/>
          </w:tblCellMar>
        </w:tblPrEx>
        <w:trPr>
          <w:trHeight w:val="114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1DD2D82C">
            <w:pPr>
              <w:jc w:val="center"/>
              <w:rPr>
                <w:rFonts w:hint="default" w:ascii="Times New Roman" w:hAnsi="Times New Roman" w:eastAsia="宋体" w:cs="Times New Roman"/>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F663D">
            <w:pPr>
              <w:jc w:val="center"/>
              <w:rPr>
                <w:rFonts w:hint="default" w:ascii="Times New Roman" w:hAnsi="Times New Roman" w:eastAsia="宋体" w:cs="Times New Roman"/>
                <w:i w:val="0"/>
                <w:color w:val="000000"/>
                <w:sz w:val="24"/>
                <w:szCs w:val="24"/>
                <w:u w:val="none"/>
              </w:rPr>
            </w:pPr>
          </w:p>
        </w:tc>
        <w:tc>
          <w:tcPr>
            <w:tcW w:w="51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A57C38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成本指标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BB8C">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项目总成本</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ABCF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≤39.73亿元</w:t>
            </w: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B7C98">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13.03亿元</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FAF2D">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D6E3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EE0E3">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本工程为跨年度工程，总工期3年，2024年为建设第1年，实际完成值13.0295亿元。</w:t>
            </w:r>
          </w:p>
        </w:tc>
      </w:tr>
      <w:tr w14:paraId="65E5E259">
        <w:tblPrEx>
          <w:tblCellMar>
            <w:top w:w="0" w:type="dxa"/>
            <w:left w:w="0" w:type="dxa"/>
            <w:bottom w:w="0" w:type="dxa"/>
            <w:right w:w="0" w:type="dxa"/>
          </w:tblCellMar>
        </w:tblPrEx>
        <w:trPr>
          <w:trHeight w:val="73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526D852B">
            <w:pPr>
              <w:jc w:val="center"/>
              <w:rPr>
                <w:rFonts w:hint="default" w:ascii="Times New Roman" w:hAnsi="Times New Roman" w:eastAsia="宋体" w:cs="Times New Roman"/>
                <w:i w:val="0"/>
                <w:color w:val="000000"/>
                <w:sz w:val="24"/>
                <w:szCs w:val="24"/>
                <w:u w:val="none"/>
              </w:rPr>
            </w:pPr>
          </w:p>
        </w:tc>
        <w:tc>
          <w:tcPr>
            <w:tcW w:w="1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A486E">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效益指标(30分)</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F84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经济效益指标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54E2E">
            <w:pPr>
              <w:jc w:val="left"/>
              <w:rPr>
                <w:rFonts w:hint="default" w:ascii="Times New Roman" w:hAnsi="Times New Roman" w:eastAsia="宋体" w:cs="Times New Roman"/>
                <w:i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9B653">
            <w:pPr>
              <w:jc w:val="center"/>
              <w:rPr>
                <w:rFonts w:hint="default" w:ascii="Times New Roman" w:hAnsi="Times New Roman" w:eastAsia="宋体" w:cs="Times New Roman"/>
                <w:i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F2085">
            <w:pPr>
              <w:jc w:val="center"/>
              <w:rPr>
                <w:rFonts w:hint="default" w:ascii="Times New Roman" w:hAnsi="Times New Roman" w:eastAsia="宋体" w:cs="Times New Roman"/>
                <w:i w:val="0"/>
                <w:color w:val="000000"/>
                <w:sz w:val="24"/>
                <w:szCs w:val="24"/>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9235C">
            <w:pPr>
              <w:jc w:val="center"/>
              <w:rPr>
                <w:rFonts w:hint="default" w:ascii="Times New Roman" w:hAnsi="Times New Roman" w:eastAsia="宋体" w:cs="Times New Roman"/>
                <w:i w:val="0"/>
                <w:color w:val="000000"/>
                <w:sz w:val="24"/>
                <w:szCs w:val="24"/>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2C7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71BA1">
            <w:pPr>
              <w:jc w:val="center"/>
              <w:rPr>
                <w:rFonts w:hint="default" w:ascii="Times New Roman" w:hAnsi="Times New Roman" w:eastAsia="宋体" w:cs="Times New Roman"/>
                <w:i w:val="0"/>
                <w:color w:val="000000"/>
                <w:sz w:val="24"/>
                <w:szCs w:val="24"/>
                <w:u w:val="none"/>
              </w:rPr>
            </w:pPr>
          </w:p>
        </w:tc>
      </w:tr>
      <w:tr w14:paraId="59C691D2">
        <w:tblPrEx>
          <w:tblCellMar>
            <w:top w:w="0" w:type="dxa"/>
            <w:left w:w="0" w:type="dxa"/>
            <w:bottom w:w="0" w:type="dxa"/>
            <w:right w:w="0" w:type="dxa"/>
          </w:tblCellMar>
        </w:tblPrEx>
        <w:trPr>
          <w:trHeight w:val="60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24E49CE7">
            <w:pPr>
              <w:jc w:val="center"/>
              <w:rPr>
                <w:rFonts w:hint="default" w:ascii="Times New Roman" w:hAnsi="Times New Roman" w:eastAsia="宋体" w:cs="Times New Roman"/>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9254F">
            <w:pPr>
              <w:jc w:val="center"/>
              <w:rPr>
                <w:rFonts w:hint="default" w:ascii="Times New Roman" w:hAnsi="Times New Roman" w:eastAsia="宋体" w:cs="Times New Roman"/>
                <w:i w:val="0"/>
                <w:color w:val="000000"/>
                <w:sz w:val="24"/>
                <w:szCs w:val="24"/>
                <w:u w:val="none"/>
              </w:rPr>
            </w:pPr>
          </w:p>
        </w:tc>
        <w:tc>
          <w:tcPr>
            <w:tcW w:w="51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90143A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社会效益指标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4DA6D">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工程实施可使实施地区排涝标准提升至5-10年一遇</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455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实现</w:t>
            </w: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37F1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实现</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B4DD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2A6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CFC1">
            <w:pPr>
              <w:jc w:val="center"/>
              <w:rPr>
                <w:rFonts w:hint="default" w:ascii="Times New Roman" w:hAnsi="Times New Roman" w:eastAsia="宋体" w:cs="Times New Roman"/>
                <w:i w:val="0"/>
                <w:color w:val="000000"/>
                <w:sz w:val="24"/>
                <w:szCs w:val="24"/>
                <w:u w:val="none"/>
              </w:rPr>
            </w:pPr>
          </w:p>
        </w:tc>
      </w:tr>
      <w:tr w14:paraId="562BCF41">
        <w:tblPrEx>
          <w:tblCellMar>
            <w:top w:w="0" w:type="dxa"/>
            <w:left w:w="0" w:type="dxa"/>
            <w:bottom w:w="0" w:type="dxa"/>
            <w:right w:w="0" w:type="dxa"/>
          </w:tblCellMar>
        </w:tblPrEx>
        <w:trPr>
          <w:trHeight w:val="60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50FFD634">
            <w:pPr>
              <w:jc w:val="center"/>
              <w:rPr>
                <w:rFonts w:hint="default" w:ascii="Times New Roman" w:hAnsi="Times New Roman" w:eastAsia="宋体" w:cs="Times New Roman"/>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A495E">
            <w:pPr>
              <w:jc w:val="center"/>
              <w:rPr>
                <w:rFonts w:hint="default" w:ascii="Times New Roman" w:hAnsi="Times New Roman" w:eastAsia="宋体" w:cs="Times New Roman"/>
                <w:i w:val="0"/>
                <w:color w:val="000000"/>
                <w:sz w:val="24"/>
                <w:szCs w:val="24"/>
                <w:u w:val="none"/>
              </w:rPr>
            </w:pPr>
          </w:p>
        </w:tc>
        <w:tc>
          <w:tcPr>
            <w:tcW w:w="51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1EA03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生态效益指标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F7B411">
            <w:pPr>
              <w:jc w:val="left"/>
              <w:rPr>
                <w:rFonts w:hint="default" w:ascii="Times New Roman" w:hAnsi="Times New Roman" w:eastAsia="宋体" w:cs="Times New Roman"/>
                <w:i w:val="0"/>
                <w:color w:val="000000"/>
                <w:sz w:val="22"/>
                <w:szCs w:val="22"/>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773F0">
            <w:pPr>
              <w:jc w:val="center"/>
              <w:rPr>
                <w:rFonts w:hint="default" w:ascii="Times New Roman" w:hAnsi="Times New Roman" w:eastAsia="宋体" w:cs="Times New Roman"/>
                <w:i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D46E">
            <w:pPr>
              <w:jc w:val="center"/>
              <w:rPr>
                <w:rFonts w:hint="default" w:ascii="Times New Roman" w:hAnsi="Times New Roman" w:eastAsia="宋体" w:cs="Times New Roman"/>
                <w:i w:val="0"/>
                <w:color w:val="000000"/>
                <w:sz w:val="24"/>
                <w:szCs w:val="24"/>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2F40B">
            <w:pPr>
              <w:jc w:val="center"/>
              <w:rPr>
                <w:rFonts w:hint="default" w:ascii="Times New Roman" w:hAnsi="Times New Roman" w:eastAsia="宋体" w:cs="Times New Roman"/>
                <w:i w:val="0"/>
                <w:color w:val="000000"/>
                <w:sz w:val="24"/>
                <w:szCs w:val="24"/>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0EF0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3629">
            <w:pPr>
              <w:jc w:val="center"/>
              <w:rPr>
                <w:rFonts w:hint="default" w:ascii="Times New Roman" w:hAnsi="Times New Roman" w:eastAsia="宋体" w:cs="Times New Roman"/>
                <w:i w:val="0"/>
                <w:color w:val="000000"/>
                <w:sz w:val="24"/>
                <w:szCs w:val="24"/>
                <w:u w:val="none"/>
              </w:rPr>
            </w:pPr>
          </w:p>
        </w:tc>
      </w:tr>
      <w:tr w14:paraId="310A60C1">
        <w:tblPrEx>
          <w:tblCellMar>
            <w:top w:w="0" w:type="dxa"/>
            <w:left w:w="0" w:type="dxa"/>
            <w:bottom w:w="0" w:type="dxa"/>
            <w:right w:w="0" w:type="dxa"/>
          </w:tblCellMar>
        </w:tblPrEx>
        <w:trPr>
          <w:trHeight w:val="60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49BA09E7">
            <w:pPr>
              <w:jc w:val="center"/>
              <w:rPr>
                <w:rFonts w:hint="default" w:ascii="Times New Roman" w:hAnsi="Times New Roman" w:eastAsia="宋体" w:cs="Times New Roman"/>
                <w:i w:val="0"/>
                <w:color w:val="000000"/>
                <w:sz w:val="24"/>
                <w:szCs w:val="24"/>
                <w:u w:val="none"/>
              </w:rPr>
            </w:pPr>
          </w:p>
        </w:tc>
        <w:tc>
          <w:tcPr>
            <w:tcW w:w="1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8878">
            <w:pPr>
              <w:jc w:val="center"/>
              <w:rPr>
                <w:rFonts w:hint="default" w:ascii="Times New Roman" w:hAnsi="Times New Roman" w:eastAsia="宋体" w:cs="Times New Roman"/>
                <w:i w:val="0"/>
                <w:color w:val="000000"/>
                <w:sz w:val="24"/>
                <w:szCs w:val="24"/>
                <w:u w:val="none"/>
              </w:rPr>
            </w:pPr>
          </w:p>
        </w:tc>
        <w:tc>
          <w:tcPr>
            <w:tcW w:w="51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10A7DAA">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可持续影响指标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731E0">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对地方防洪排涝能力持续提升</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583B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实现</w:t>
            </w: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7493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实现</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57C66">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8FF3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9044F">
            <w:pPr>
              <w:jc w:val="center"/>
              <w:rPr>
                <w:rFonts w:hint="default" w:ascii="Times New Roman" w:hAnsi="Times New Roman" w:eastAsia="宋体" w:cs="Times New Roman"/>
                <w:i w:val="0"/>
                <w:color w:val="000000"/>
                <w:sz w:val="24"/>
                <w:szCs w:val="24"/>
                <w:u w:val="none"/>
              </w:rPr>
            </w:pPr>
          </w:p>
        </w:tc>
      </w:tr>
      <w:tr w14:paraId="0A943EF9">
        <w:tblPrEx>
          <w:tblCellMar>
            <w:top w:w="0" w:type="dxa"/>
            <w:left w:w="0" w:type="dxa"/>
            <w:bottom w:w="0" w:type="dxa"/>
            <w:right w:w="0" w:type="dxa"/>
          </w:tblCellMar>
        </w:tblPrEx>
        <w:trPr>
          <w:trHeight w:val="730" w:hRule="atLeast"/>
        </w:trPr>
        <w:tc>
          <w:tcPr>
            <w:tcW w:w="33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textDirection w:val="tbRlV"/>
            <w:vAlign w:val="center"/>
          </w:tcPr>
          <w:p w14:paraId="706931AF">
            <w:pPr>
              <w:jc w:val="center"/>
              <w:rPr>
                <w:rFonts w:hint="default" w:ascii="Times New Roman" w:hAnsi="Times New Roman" w:eastAsia="宋体" w:cs="Times New Roman"/>
                <w:i w:val="0"/>
                <w:color w:val="000000"/>
                <w:sz w:val="24"/>
                <w:szCs w:val="24"/>
                <w:u w:val="none"/>
              </w:rPr>
            </w:pPr>
          </w:p>
        </w:tc>
        <w:tc>
          <w:tcPr>
            <w:tcW w:w="1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8E96A4">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满意度指标(10分)</w:t>
            </w:r>
          </w:p>
        </w:tc>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33659">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满意度指标</w:t>
            </w:r>
          </w:p>
        </w:tc>
        <w:tc>
          <w:tcPr>
            <w:tcW w:w="12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C9D0">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受益群众满意度</w:t>
            </w:r>
          </w:p>
        </w:tc>
        <w:tc>
          <w:tcPr>
            <w:tcW w:w="7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08225">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6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7D80C">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90%</w:t>
            </w:r>
          </w:p>
        </w:tc>
        <w:tc>
          <w:tcPr>
            <w:tcW w:w="2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6D0E0">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4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EEB7">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2512">
            <w:pPr>
              <w:jc w:val="center"/>
              <w:rPr>
                <w:rFonts w:hint="default" w:ascii="Times New Roman" w:hAnsi="Times New Roman" w:eastAsia="宋体" w:cs="Times New Roman"/>
                <w:i w:val="0"/>
                <w:color w:val="000000"/>
                <w:sz w:val="24"/>
                <w:szCs w:val="24"/>
                <w:u w:val="none"/>
              </w:rPr>
            </w:pPr>
          </w:p>
        </w:tc>
      </w:tr>
      <w:tr w14:paraId="1C44BD3E">
        <w:tblPrEx>
          <w:tblCellMar>
            <w:top w:w="0" w:type="dxa"/>
            <w:left w:w="0" w:type="dxa"/>
            <w:bottom w:w="0" w:type="dxa"/>
            <w:right w:w="0" w:type="dxa"/>
          </w:tblCellMar>
        </w:tblPrEx>
        <w:trPr>
          <w:trHeight w:val="750" w:hRule="atLeast"/>
        </w:trPr>
        <w:tc>
          <w:tcPr>
            <w:tcW w:w="3065"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0F0C">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总分</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6290">
            <w:pPr>
              <w:jc w:val="center"/>
              <w:rPr>
                <w:rFonts w:hint="default" w:ascii="Times New Roman" w:hAnsi="Times New Roman" w:eastAsia="宋体" w:cs="Times New Roman"/>
                <w:b/>
                <w:i w:val="0"/>
                <w:color w:val="000000"/>
                <w:sz w:val="24"/>
                <w:szCs w:val="24"/>
                <w:u w:val="none"/>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4B9AC">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77BDD">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98.00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E3967">
            <w:pPr>
              <w:jc w:val="center"/>
              <w:rPr>
                <w:rFonts w:hint="default" w:ascii="Times New Roman" w:hAnsi="Times New Roman" w:eastAsia="宋体" w:cs="Times New Roman"/>
                <w:i w:val="0"/>
                <w:color w:val="000000"/>
                <w:sz w:val="24"/>
                <w:szCs w:val="24"/>
                <w:u w:val="none"/>
              </w:rPr>
            </w:pPr>
          </w:p>
        </w:tc>
      </w:tr>
    </w:tbl>
    <w:p w14:paraId="13EE32FC">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Times New Roman" w:hAnsi="Times New Roman" w:cs="Times New Roman"/>
          <w:szCs w:val="32"/>
        </w:rPr>
      </w:pPr>
    </w:p>
    <w:p w14:paraId="5C6E0C6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主要经验及做法</w:t>
      </w:r>
    </w:p>
    <w:p w14:paraId="08113AF4">
      <w:pPr>
        <w:keepNext w:val="0"/>
        <w:keepLines w:val="0"/>
        <w:pageBreakBefore w:val="0"/>
        <w:widowControl w:val="0"/>
        <w:kinsoku/>
        <w:wordWrap/>
        <w:overflowPunct/>
        <w:topLinePunct w:val="0"/>
        <w:autoSpaceDE/>
        <w:autoSpaceDN/>
        <w:bidi w:val="0"/>
        <w:adjustRightInd/>
        <w:snapToGrid/>
        <w:spacing w:line="240" w:lineRule="auto"/>
        <w:ind w:firstLine="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lang w:val="en-US" w:eastAsia="zh-CN"/>
        </w:rPr>
        <w:t xml:space="preserve">  </w:t>
      </w:r>
      <w:r>
        <w:rPr>
          <w:rFonts w:hint="default" w:ascii="Times New Roman" w:hAnsi="Times New Roman" w:cs="Times New Roman"/>
          <w:sz w:val="32"/>
          <w:szCs w:val="32"/>
          <w:lang w:val="en-US" w:eastAsia="zh-CN"/>
        </w:rPr>
        <w:t xml:space="preserve">  加强</w:t>
      </w:r>
      <w:r>
        <w:rPr>
          <w:rFonts w:hint="eastAsia" w:cs="Times New Roman"/>
          <w:sz w:val="32"/>
          <w:szCs w:val="32"/>
          <w:lang w:val="en-US" w:eastAsia="zh-CN"/>
        </w:rPr>
        <w:t>统筹协调</w:t>
      </w:r>
      <w:r>
        <w:rPr>
          <w:rFonts w:hint="default" w:ascii="Times New Roman" w:hAnsi="Times New Roman" w:cs="Times New Roman"/>
          <w:sz w:val="32"/>
          <w:szCs w:val="32"/>
          <w:lang w:val="en-US" w:eastAsia="zh-CN"/>
        </w:rPr>
        <w:t>，</w:t>
      </w:r>
      <w:r>
        <w:rPr>
          <w:rFonts w:hint="eastAsia" w:cs="Times New Roman"/>
          <w:sz w:val="32"/>
          <w:szCs w:val="32"/>
          <w:lang w:val="en-US" w:eastAsia="zh-CN"/>
        </w:rPr>
        <w:t>推进项目前期工作进展</w:t>
      </w:r>
      <w:r>
        <w:rPr>
          <w:rFonts w:hint="default" w:ascii="Times New Roman" w:hAnsi="Times New Roman" w:cs="Times New Roman"/>
          <w:sz w:val="32"/>
          <w:szCs w:val="32"/>
          <w:lang w:val="en-US" w:eastAsia="zh-CN"/>
        </w:rPr>
        <w:t>，</w:t>
      </w:r>
      <w:r>
        <w:rPr>
          <w:rFonts w:hint="eastAsia" w:cs="Times New Roman"/>
          <w:sz w:val="32"/>
          <w:szCs w:val="32"/>
          <w:lang w:val="en-US" w:eastAsia="zh-CN"/>
        </w:rPr>
        <w:t>保障项目顺利推进；</w:t>
      </w:r>
      <w:r>
        <w:rPr>
          <w:rFonts w:hint="default" w:ascii="Times New Roman" w:hAnsi="Times New Roman" w:cs="Times New Roman"/>
          <w:sz w:val="32"/>
          <w:szCs w:val="32"/>
          <w:lang w:val="en-US" w:eastAsia="zh-CN"/>
        </w:rPr>
        <w:t>及时解决</w:t>
      </w:r>
      <w:r>
        <w:rPr>
          <w:rFonts w:hint="eastAsia" w:cs="Times New Roman"/>
          <w:sz w:val="32"/>
          <w:szCs w:val="32"/>
          <w:lang w:val="en-US" w:eastAsia="zh-CN"/>
        </w:rPr>
        <w:t>指导县区解决实施</w:t>
      </w:r>
      <w:r>
        <w:rPr>
          <w:rFonts w:hint="default" w:ascii="Times New Roman" w:hAnsi="Times New Roman" w:cs="Times New Roman"/>
          <w:sz w:val="32"/>
          <w:szCs w:val="32"/>
          <w:lang w:val="en-US" w:eastAsia="zh-CN"/>
        </w:rPr>
        <w:t>过程中出现的问题，同时协调</w:t>
      </w:r>
      <w:r>
        <w:rPr>
          <w:rFonts w:hint="eastAsia" w:cs="Times New Roman"/>
          <w:sz w:val="32"/>
          <w:szCs w:val="32"/>
          <w:lang w:val="en-US" w:eastAsia="zh-CN"/>
        </w:rPr>
        <w:t>财政等相关单位</w:t>
      </w:r>
      <w:r>
        <w:rPr>
          <w:rFonts w:hint="default" w:ascii="Times New Roman" w:hAnsi="Times New Roman" w:cs="Times New Roman"/>
          <w:sz w:val="32"/>
          <w:szCs w:val="32"/>
          <w:lang w:val="en-US" w:eastAsia="zh-CN"/>
        </w:rPr>
        <w:t>，及时安排建设资金，按序时进度拨付工程款。实现项目施工进度和资金拨付进度同步推进，最终高质高效完成项目任务。</w:t>
      </w:r>
    </w:p>
    <w:p w14:paraId="2B8DC01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0"/>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存在问题及原因分析</w:t>
      </w:r>
    </w:p>
    <w:p w14:paraId="5FEAE257">
      <w:pPr>
        <w:pStyle w:val="3"/>
        <w:numPr>
          <w:ilvl w:val="0"/>
          <w:numId w:val="0"/>
        </w:numPr>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无</w:t>
      </w:r>
      <w:r>
        <w:rPr>
          <w:rFonts w:hint="eastAsia" w:cs="Times New Roman"/>
          <w:lang w:val="en-US" w:eastAsia="zh-CN"/>
        </w:rPr>
        <w:t>。</w:t>
      </w:r>
    </w:p>
    <w:p w14:paraId="30D76D48">
      <w:pPr>
        <w:keepNext w:val="0"/>
        <w:keepLines w:val="0"/>
        <w:pageBreakBefore w:val="0"/>
        <w:widowControl w:val="0"/>
        <w:kinsoku/>
        <w:wordWrap/>
        <w:overflowPunct/>
        <w:topLinePunct w:val="0"/>
        <w:autoSpaceDE/>
        <w:autoSpaceDN/>
        <w:bidi w:val="0"/>
        <w:adjustRightInd/>
        <w:snapToGrid/>
        <w:spacing w:line="520" w:lineRule="exact"/>
        <w:ind w:firstLine="601"/>
        <w:textAlignment w:val="auto"/>
        <w:rPr>
          <w:rFonts w:hint="default" w:ascii="Times New Roman" w:hAnsi="Times New Roman" w:eastAsia="黑体" w:cs="Times New Roman"/>
          <w:szCs w:val="32"/>
        </w:rPr>
      </w:pPr>
      <w:r>
        <w:rPr>
          <w:rFonts w:hint="default" w:ascii="Times New Roman" w:hAnsi="Times New Roman" w:eastAsia="黑体" w:cs="Times New Roman"/>
          <w:szCs w:val="32"/>
        </w:rPr>
        <w:t>七、有关建议</w:t>
      </w:r>
    </w:p>
    <w:p w14:paraId="29D8EA2D">
      <w:pPr>
        <w:pStyle w:val="3"/>
        <w:numPr>
          <w:ilvl w:val="0"/>
          <w:numId w:val="0"/>
        </w:numPr>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无</w:t>
      </w:r>
      <w:r>
        <w:rPr>
          <w:rFonts w:hint="eastAsia" w:cs="Times New Roman"/>
          <w:lang w:val="en-US" w:eastAsia="zh-CN"/>
        </w:rPr>
        <w:t>。</w:t>
      </w:r>
    </w:p>
    <w:p w14:paraId="13D204EB">
      <w:pPr>
        <w:pStyle w:val="3"/>
        <w:rPr>
          <w:rFonts w:hint="default" w:ascii="Times New Roman" w:hAnsi="Times New Roman" w:eastAsia="仿宋_GB2312" w:cs="Times New Roman"/>
          <w:lang w:val="en-US" w:eastAsia="zh-CN"/>
        </w:rPr>
      </w:pPr>
    </w:p>
    <w:p w14:paraId="64CC95EB">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2025年3月28日</w:t>
      </w:r>
    </w:p>
    <w:p w14:paraId="173B95B3">
      <w:pPr>
        <w:pStyle w:val="2"/>
        <w:jc w:val="both"/>
        <w:rPr>
          <w:rFonts w:hint="default" w:ascii="Times New Roman" w:hAnsi="Times New Roman" w:eastAsia="宋体" w:cs="Times New Roman"/>
          <w:b/>
          <w:sz w:val="32"/>
        </w:rPr>
      </w:pPr>
    </w:p>
    <w:p w14:paraId="77488E16">
      <w:pPr>
        <w:pStyle w:val="2"/>
        <w:jc w:val="both"/>
        <w:rPr>
          <w:rFonts w:hint="default" w:ascii="Times New Roman" w:hAnsi="Times New Roman" w:eastAsia="宋体" w:cs="Times New Roman"/>
          <w:b/>
          <w:sz w:val="32"/>
        </w:rPr>
      </w:pPr>
    </w:p>
    <w:p w14:paraId="6C58DA2D">
      <w:pPr>
        <w:pStyle w:val="2"/>
        <w:jc w:val="both"/>
        <w:rPr>
          <w:rFonts w:hint="default" w:ascii="Times New Roman" w:hAnsi="Times New Roman" w:eastAsia="宋体" w:cs="Times New Roman"/>
          <w:b/>
          <w:sz w:val="32"/>
        </w:rPr>
      </w:pPr>
    </w:p>
    <w:p w14:paraId="0DFC433D">
      <w:pPr>
        <w:pStyle w:val="2"/>
        <w:jc w:val="both"/>
        <w:rPr>
          <w:rFonts w:hint="default" w:ascii="Times New Roman" w:hAnsi="Times New Roman" w:eastAsia="宋体" w:cs="Times New Roman"/>
          <w:b/>
          <w:sz w:val="32"/>
        </w:rPr>
      </w:pPr>
    </w:p>
    <w:p w14:paraId="1CAADCA0">
      <w:pPr>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AF3849-F3A9-41C3-9B5E-3BAF361F39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5E85A00-B40B-4DA3-854B-E0E8C3F4FAD3}"/>
  </w:font>
  <w:font w:name="方正小标宋_GBK">
    <w:panose1 w:val="02000000000000000000"/>
    <w:charset w:val="86"/>
    <w:family w:val="script"/>
    <w:pitch w:val="default"/>
    <w:sig w:usb0="A00002BF" w:usb1="38CF7CFA" w:usb2="00082016" w:usb3="00000000" w:csb0="00040001" w:csb1="00000000"/>
    <w:embedRegular r:id="rId3" w:fontKey="{A79DEBD4-7742-434D-A1B1-6AD88E984DE9}"/>
  </w:font>
  <w:font w:name="楷体">
    <w:panose1 w:val="02010609060101010101"/>
    <w:charset w:val="86"/>
    <w:family w:val="auto"/>
    <w:pitch w:val="default"/>
    <w:sig w:usb0="800002BF" w:usb1="38CF7CFA" w:usb2="00000016" w:usb3="00000000" w:csb0="00040001" w:csb1="00000000"/>
    <w:embedRegular r:id="rId4" w:fontKey="{7E938221-BA1B-47B3-B543-EAE5BF964347}"/>
  </w:font>
  <w:font w:name="方正小标宋简体">
    <w:panose1 w:val="03000509000000000000"/>
    <w:charset w:val="86"/>
    <w:family w:val="script"/>
    <w:pitch w:val="default"/>
    <w:sig w:usb0="00000001" w:usb1="080E0000" w:usb2="00000000" w:usb3="00000000" w:csb0="00040000" w:csb1="00000000"/>
    <w:embedRegular r:id="rId5" w:fontKey="{3D4B3D55-1B36-41CB-A1A6-67942AD0C2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5887F">
    <w:pPr>
      <w:pStyle w:val="4"/>
      <w:ind w:right="360"/>
      <w:rPr>
        <w:rFonts w:hint="eastAsia" w:ascii="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BC572">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5BC572">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CF7A17"/>
    <w:multiLevelType w:val="singleLevel"/>
    <w:tmpl w:val="67CF7A1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1YTk1NWFiNzIyZTUwYzMyOTVjZmQyYzc1M2E5Y2IifQ=="/>
  </w:docVars>
  <w:rsids>
    <w:rsidRoot w:val="75AF3544"/>
    <w:rsid w:val="01037E18"/>
    <w:rsid w:val="03667C72"/>
    <w:rsid w:val="05366FC8"/>
    <w:rsid w:val="071F365B"/>
    <w:rsid w:val="07475A9B"/>
    <w:rsid w:val="07A06ED6"/>
    <w:rsid w:val="0F5A0E4C"/>
    <w:rsid w:val="10183317"/>
    <w:rsid w:val="13040994"/>
    <w:rsid w:val="16141D33"/>
    <w:rsid w:val="17163A31"/>
    <w:rsid w:val="186D793F"/>
    <w:rsid w:val="19670556"/>
    <w:rsid w:val="1AB64BE3"/>
    <w:rsid w:val="1BCD0437"/>
    <w:rsid w:val="1BFF0F15"/>
    <w:rsid w:val="1EF939FF"/>
    <w:rsid w:val="20FC373B"/>
    <w:rsid w:val="21886FA6"/>
    <w:rsid w:val="239D3FBF"/>
    <w:rsid w:val="28146490"/>
    <w:rsid w:val="290D3920"/>
    <w:rsid w:val="2A0066C4"/>
    <w:rsid w:val="2D073E3E"/>
    <w:rsid w:val="2EE90362"/>
    <w:rsid w:val="34FF38FF"/>
    <w:rsid w:val="35E4646F"/>
    <w:rsid w:val="3C4D4C65"/>
    <w:rsid w:val="3D694451"/>
    <w:rsid w:val="3DA40EF9"/>
    <w:rsid w:val="3E8D066C"/>
    <w:rsid w:val="43C87670"/>
    <w:rsid w:val="43C97B85"/>
    <w:rsid w:val="45ED6CE4"/>
    <w:rsid w:val="47633879"/>
    <w:rsid w:val="47B16CDB"/>
    <w:rsid w:val="4BC45510"/>
    <w:rsid w:val="52893B84"/>
    <w:rsid w:val="54BC1D55"/>
    <w:rsid w:val="57101086"/>
    <w:rsid w:val="57C164B0"/>
    <w:rsid w:val="632A2D71"/>
    <w:rsid w:val="66D71736"/>
    <w:rsid w:val="688423F7"/>
    <w:rsid w:val="6A270730"/>
    <w:rsid w:val="6C192ADC"/>
    <w:rsid w:val="6EE437B2"/>
    <w:rsid w:val="71F45039"/>
    <w:rsid w:val="744877CF"/>
    <w:rsid w:val="75AF3544"/>
    <w:rsid w:val="782E29F2"/>
    <w:rsid w:val="788D2C8F"/>
    <w:rsid w:val="78BB3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Body Text Indent 2"/>
    <w:basedOn w:val="1"/>
    <w:next w:val="1"/>
    <w:unhideWhenUsed/>
    <w:qFormat/>
    <w:uiPriority w:val="99"/>
    <w:pPr>
      <w:spacing w:after="120" w:line="480" w:lineRule="auto"/>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after="60"/>
      <w:jc w:val="center"/>
      <w:outlineLvl w:val="0"/>
    </w:pPr>
    <w:rPr>
      <w:rFonts w:ascii="Arial" w:hAnsi="Arial" w:eastAsia="宋体" w:cs="Arial"/>
      <w:b/>
      <w:bCs/>
      <w:szCs w:val="32"/>
    </w:rPr>
  </w:style>
  <w:style w:type="paragraph" w:styleId="7">
    <w:name w:val="Body Text First Indent"/>
    <w:basedOn w:val="2"/>
    <w:qFormat/>
    <w:uiPriority w:val="0"/>
    <w:pPr>
      <w:ind w:firstLine="420" w:firstLineChars="100"/>
    </w:pPr>
  </w:style>
  <w:style w:type="paragraph" w:customStyle="1" w:styleId="10">
    <w:name w:val="办公自动化专用标题"/>
    <w:basedOn w:val="6"/>
    <w:qFormat/>
    <w:uiPriority w:val="0"/>
    <w:pPr>
      <w:widowControl/>
      <w:spacing w:line="560" w:lineRule="atLeast"/>
    </w:pPr>
    <w:rPr>
      <w:rFonts w:ascii="宋体" w:cs="Times New Roman"/>
      <w:bCs w:val="0"/>
      <w:kern w:val="0"/>
      <w:sz w:val="44"/>
      <w:szCs w:val="44"/>
    </w:rPr>
  </w:style>
  <w:style w:type="character" w:customStyle="1" w:styleId="11">
    <w:name w:val="font01"/>
    <w:basedOn w:val="9"/>
    <w:qFormat/>
    <w:uiPriority w:val="0"/>
    <w:rPr>
      <w:rFonts w:hint="default" w:ascii="Times New Roman" w:hAnsi="Times New Roman" w:cs="Times New Roman"/>
      <w:color w:val="000000"/>
      <w:sz w:val="24"/>
      <w:szCs w:val="24"/>
      <w:u w:val="none"/>
    </w:rPr>
  </w:style>
  <w:style w:type="character" w:customStyle="1" w:styleId="12">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2262</Words>
  <Characters>2527</Characters>
  <Lines>0</Lines>
  <Paragraphs>0</Paragraphs>
  <TotalTime>98</TotalTime>
  <ScaleCrop>false</ScaleCrop>
  <LinksUpToDate>false</LinksUpToDate>
  <CharactersWithSpaces>2529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2023-02-13T10:14:00Z</dcterms:created>
  <dc:creator>我是魏小妞。</dc:creator>
  <cp:lastModifiedBy>。</cp:lastModifiedBy>
  <cp:lastPrinted>2025-03-28T02:33:00Z</cp:lastPrinted>
  <dcterms:modified xsi:type="dcterms:W3CDTF">2025-04-01T08:22:26Z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82278AD920FB42D19B099C76A0C5D5CB_13</vt:lpwstr>
  </property>
  <property fmtid="{D5CDD505-2E9C-101B-9397-08002B2CF9AE}" pid="4" name="KSOTemplateDocerSaveRecord">
    <vt:lpwstr>eyJoZGlkIjoiYWU0ZjFhYzJhMTI1NmZhMmMxOGMwZGFlZGQ0OTg3ZWYiLCJ1c2VySWQiOiI2OTA0NDc1OTQifQ==</vt:lpwstr>
  </property>
</Properties>
</file>