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en-US" w:eastAsia="zh-CN"/>
        </w:rPr>
        <w:t>舒城县张母桥河仙人凼至小河口段防洪治理工程竣工决算审计服务采购</w:t>
      </w:r>
      <w:r>
        <w:rPr>
          <w:rFonts w:hint="eastAsia" w:ascii="方正小标宋简体" w:hAnsi="方正小标宋简体" w:eastAsia="方正小标宋简体" w:cs="方正小标宋简体"/>
          <w:b w:val="0"/>
          <w:bCs w:val="0"/>
          <w:sz w:val="44"/>
          <w:szCs w:val="44"/>
          <w:lang w:val="zh-CN"/>
        </w:rPr>
        <w:t>文件</w:t>
      </w:r>
    </w:p>
    <w:p/>
    <w:p>
      <w:pPr>
        <w:bidi w:val="0"/>
        <w:rPr>
          <w:rFonts w:eastAsia="宋体"/>
          <w:kern w:val="2"/>
          <w:sz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16"/>
      </w:pPr>
    </w:p>
    <w:p>
      <w:pPr>
        <w:bidi w:val="0"/>
      </w:pPr>
    </w:p>
    <w:p>
      <w:pPr>
        <w:bidi w:val="0"/>
      </w:pPr>
    </w:p>
    <w:p>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二〇二五年六月</w:t>
      </w:r>
    </w:p>
    <w:p>
      <w:pPr>
        <w:pStyle w:val="16"/>
        <w:rPr>
          <w:rFonts w:hint="eastAsia" w:ascii="宋体"/>
          <w:b/>
          <w:bCs/>
          <w:color w:val="000000"/>
          <w:sz w:val="32"/>
          <w:highlight w:val="none"/>
          <w:lang w:eastAsia="zh-CN"/>
        </w:rPr>
      </w:pPr>
    </w:p>
    <w:p>
      <w:pPr>
        <w:pStyle w:val="16"/>
        <w:rPr>
          <w:rFonts w:hint="eastAsia" w:ascii="宋体"/>
          <w:b/>
          <w:bCs/>
          <w:color w:val="000000"/>
          <w:sz w:val="32"/>
          <w:highlight w:val="none"/>
          <w:lang w:eastAsia="zh-CN"/>
        </w:rPr>
      </w:pPr>
    </w:p>
    <w:p>
      <w:pPr>
        <w:tabs>
          <w:tab w:val="left" w:pos="4620"/>
        </w:tabs>
        <w:spacing w:line="500" w:lineRule="exact"/>
        <w:jc w:val="center"/>
        <w:rPr>
          <w:rFonts w:hint="eastAsia" w:ascii="宋体" w:hAnsi="宋体"/>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pPr>
        <w:tabs>
          <w:tab w:val="left" w:pos="4620"/>
        </w:tabs>
        <w:spacing w:line="700" w:lineRule="exact"/>
        <w:jc w:val="center"/>
        <w:rPr>
          <w:rFonts w:hint="eastAsia" w:ascii="仿宋_GB2312" w:hAnsi="仿宋_GB2312" w:eastAsia="仿宋_GB2312" w:cs="仿宋_GB2312"/>
          <w:b/>
          <w:color w:val="000000"/>
          <w:sz w:val="44"/>
          <w:highlight w:val="none"/>
        </w:rPr>
      </w:pP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2"/>
        <w:spacing w:line="360" w:lineRule="auto"/>
        <w:jc w:val="both"/>
        <w:rPr>
          <w:rFonts w:hint="eastAsia" w:ascii="宋体" w:hAnsi="宋体"/>
          <w:b/>
          <w:color w:val="000000"/>
          <w:szCs w:val="32"/>
          <w:highlight w:val="none"/>
        </w:rPr>
      </w:pPr>
      <w:bookmarkStart w:id="0" w:name="_Toc13207"/>
      <w:bookmarkStart w:id="1" w:name="_Toc31299"/>
    </w:p>
    <w:p>
      <w:pPr>
        <w:rPr>
          <w:rFonts w:hint="eastAsia"/>
        </w:rPr>
      </w:pPr>
    </w:p>
    <w:p>
      <w:pPr>
        <w:rPr>
          <w:rFonts w:hint="eastAsia" w:ascii="宋体" w:hAnsi="宋体"/>
          <w:b/>
          <w:color w:val="000000"/>
          <w:szCs w:val="32"/>
          <w:highlight w:val="none"/>
        </w:rPr>
      </w:pPr>
      <w:r>
        <w:rPr>
          <w:rFonts w:hint="eastAsia" w:ascii="宋体" w:hAnsi="宋体"/>
          <w:b/>
          <w:color w:val="000000"/>
          <w:szCs w:val="32"/>
          <w:highlight w:val="none"/>
        </w:rPr>
        <w:br w:type="page"/>
      </w:r>
    </w:p>
    <w:p>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pPr>
        <w:tabs>
          <w:tab w:val="left" w:pos="315"/>
          <w:tab w:val="left" w:pos="8820"/>
        </w:tabs>
        <w:spacing w:line="600" w:lineRule="exact"/>
        <w:ind w:right="240" w:rightChars="127" w:firstLine="438" w:firstLineChars="200"/>
        <w:jc w:val="both"/>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w:t>
      </w:r>
      <w:r>
        <w:rPr>
          <w:rFonts w:hint="eastAsia" w:ascii="宋体" w:hAnsi="宋体"/>
          <w:color w:val="000000"/>
          <w:sz w:val="24"/>
          <w:highlight w:val="none"/>
          <w:lang w:val="zh-CN" w:eastAsia="zh-CN"/>
        </w:rPr>
        <w:t>对“</w:t>
      </w:r>
      <w:r>
        <w:rPr>
          <w:rFonts w:hint="eastAsia" w:ascii="宋体" w:hAnsi="宋体"/>
          <w:color w:val="000000"/>
          <w:sz w:val="24"/>
          <w:highlight w:val="none"/>
          <w:lang w:val="en-US" w:eastAsia="zh-CN"/>
        </w:rPr>
        <w:t>舒城县张母桥河仙人凼至小河口段防洪治理工程竣工决算审计服务”</w:t>
      </w:r>
      <w:r>
        <w:rPr>
          <w:rFonts w:hint="eastAsia" w:ascii="宋体" w:hAnsi="宋体"/>
          <w:color w:val="000000"/>
          <w:sz w:val="24"/>
          <w:highlight w:val="none"/>
          <w:lang w:val="zh-CN" w:eastAsia="zh-CN"/>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8599"/>
      <w:bookmarkStart w:id="3" w:name="_Toc18151"/>
      <w:bookmarkStart w:id="4" w:name="_Toc6022"/>
      <w:r>
        <w:rPr>
          <w:rFonts w:hint="eastAsia" w:ascii="宋体" w:hAnsi="宋体"/>
          <w:b/>
          <w:bCs/>
          <w:color w:val="000000"/>
          <w:sz w:val="24"/>
          <w:highlight w:val="none"/>
        </w:rPr>
        <w:t>（一）采购项目名称及内容</w:t>
      </w:r>
      <w:bookmarkEnd w:id="2"/>
      <w:bookmarkEnd w:id="3"/>
      <w:bookmarkEnd w:id="4"/>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default" w:ascii="宋体" w:hAnsi="宋体"/>
          <w:color w:val="000000"/>
          <w:sz w:val="24"/>
          <w:highlight w:val="none"/>
          <w:lang w:val="en" w:eastAsia="zh-CN"/>
        </w:rPr>
        <w:t>舒城县张母桥河仙人凼至小河口段防洪治理工程竣工决算审计服务</w:t>
      </w:r>
      <w:r>
        <w:rPr>
          <w:rFonts w:hint="eastAsia" w:ascii="宋体" w:hAnsi="宋体"/>
          <w:color w:val="000000"/>
          <w:sz w:val="24"/>
          <w:highlight w:val="none"/>
          <w:lang w:eastAsia="zh-CN"/>
        </w:rPr>
        <w:t>（包括工程价款审核和竣工财务决算）</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95200</w:t>
      </w:r>
      <w:r>
        <w:rPr>
          <w:rFonts w:hint="eastAsia" w:ascii="宋体" w:hAnsi="宋体"/>
          <w:color w:val="000000"/>
          <w:sz w:val="24"/>
          <w:highlight w:val="none"/>
        </w:rPr>
        <w:t>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13738"/>
      <w:bookmarkStart w:id="6" w:name="_Toc28728"/>
      <w:bookmarkStart w:id="7" w:name="_Toc21260"/>
      <w:r>
        <w:rPr>
          <w:rFonts w:hint="eastAsia" w:ascii="宋体" w:hAnsi="宋体"/>
          <w:b/>
          <w:bCs/>
          <w:color w:val="000000"/>
          <w:sz w:val="24"/>
          <w:highlight w:val="none"/>
        </w:rPr>
        <w:t>（二）供应商资格</w:t>
      </w:r>
      <w:bookmarkEnd w:id="5"/>
      <w:bookmarkEnd w:id="6"/>
      <w:bookmarkEnd w:id="7"/>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6138"/>
      <w:bookmarkStart w:id="10" w:name="_Toc21541"/>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7718"/>
      <w:bookmarkStart w:id="13" w:name="_Toc8192"/>
      <w:r>
        <w:rPr>
          <w:rFonts w:hint="eastAsia" w:ascii="宋体" w:hAnsi="宋体"/>
          <w:b/>
          <w:bCs/>
          <w:color w:val="000000"/>
          <w:sz w:val="24"/>
          <w:highlight w:val="none"/>
        </w:rPr>
        <w:t>（四）响应文件提交截止时间</w:t>
      </w:r>
      <w:bookmarkEnd w:id="11"/>
      <w:bookmarkEnd w:id="12"/>
      <w:bookmarkEnd w:id="13"/>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12620"/>
      <w:bookmarkStart w:id="15" w:name="_Toc20602"/>
      <w:bookmarkStart w:id="16" w:name="_Toc25545"/>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5</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6</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26</w:t>
      </w:r>
      <w:r>
        <w:rPr>
          <w:rFonts w:hint="eastAsia" w:ascii="宋体" w:hAnsi="宋体"/>
          <w:color w:val="000000"/>
          <w:sz w:val="24"/>
          <w:highlight w:val="none"/>
          <w:u w:val="single"/>
        </w:rPr>
        <w:t>日起。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021"/>
      <w:bookmarkStart w:id="18" w:name="_Toc17739"/>
      <w:bookmarkStart w:id="19" w:name="_Toc21805"/>
      <w:r>
        <w:rPr>
          <w:rFonts w:hint="eastAsia" w:ascii="宋体" w:hAnsi="宋体"/>
          <w:b/>
          <w:bCs/>
          <w:color w:val="000000"/>
          <w:sz w:val="24"/>
          <w:highlight w:val="none"/>
        </w:rPr>
        <w:t>（六）联系方法</w:t>
      </w:r>
      <w:bookmarkEnd w:id="17"/>
      <w:bookmarkEnd w:id="18"/>
      <w:bookmarkEnd w:id="19"/>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64-3332361</w:t>
      </w:r>
    </w:p>
    <w:p>
      <w:pPr>
        <w:pStyle w:val="2"/>
        <w:spacing w:line="360" w:lineRule="auto"/>
        <w:jc w:val="center"/>
        <w:rPr>
          <w:rFonts w:hint="eastAsia" w:ascii="宋体" w:hAnsi="宋体"/>
          <w:color w:val="000000"/>
          <w:highlight w:val="none"/>
        </w:rPr>
      </w:pPr>
      <w:bookmarkStart w:id="20" w:name="_Toc26224"/>
      <w:bookmarkStart w:id="21" w:name="_Toc9886"/>
      <w:bookmarkStart w:id="22" w:name="_Toc630"/>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default" w:ascii="宋体" w:hAnsi="宋体" w:eastAsia="宋体" w:cs="宋体"/>
                <w:b w:val="0"/>
                <w:bCs w:val="0"/>
                <w:color w:val="000000"/>
                <w:sz w:val="21"/>
                <w:szCs w:val="21"/>
                <w:highlight w:val="none"/>
                <w:lang w:val="en" w:eastAsia="zh-CN"/>
              </w:rPr>
            </w:pPr>
            <w:r>
              <w:rPr>
                <w:rFonts w:hint="default" w:cs="宋体"/>
                <w:b w:val="0"/>
                <w:bCs w:val="0"/>
                <w:color w:val="000000"/>
                <w:kern w:val="2"/>
                <w:sz w:val="21"/>
                <w:szCs w:val="21"/>
                <w:highlight w:val="none"/>
                <w:lang w:val="en" w:eastAsia="zh-CN"/>
              </w:rPr>
              <w:t>舒城县张母桥河仙人凼至小河口段防洪治理工程竣工决算审计服务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30天内完成</w:t>
            </w:r>
            <w:r>
              <w:rPr>
                <w:rFonts w:hint="eastAsia" w:ascii="宋体"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2025年7月3日</w:t>
            </w:r>
            <w:r>
              <w:rPr>
                <w:rFonts w:hint="eastAsia" w:ascii="宋体" w:hAnsi="宋体" w:cs="宋体"/>
                <w:sz w:val="21"/>
                <w:szCs w:val="21"/>
                <w:highlight w:val="none"/>
                <w:lang w:val="en-US" w:eastAsia="zh-CN"/>
              </w:rPr>
              <w:t>11:00</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w:t>
            </w:r>
            <w:r>
              <w:rPr>
                <w:rFonts w:hint="eastAsia" w:ascii="宋体" w:hAnsi="宋体"/>
                <w:sz w:val="24"/>
                <w:highlight w:val="none"/>
                <w:lang w:val="en-US" w:eastAsia="zh-CN"/>
              </w:rPr>
              <w:t>3332361</w:t>
            </w:r>
          </w:p>
          <w:p>
            <w:pPr>
              <w:pStyle w:val="16"/>
              <w:rPr>
                <w:rFonts w:hint="default"/>
                <w:highlight w:val="none"/>
                <w:lang w:val="en-US" w:eastAsia="zh-CN"/>
              </w:rPr>
            </w:pPr>
            <w:r>
              <w:rPr>
                <w:rFonts w:hint="eastAsia" w:ascii="宋体" w:hAnsi="宋体" w:cs="宋体"/>
                <w:color w:val="000000"/>
                <w:sz w:val="21"/>
                <w:szCs w:val="21"/>
                <w:highlight w:val="none"/>
                <w:lang w:val="en-US" w:eastAsia="zh-CN"/>
              </w:rPr>
              <w:t>联 系 人：胡月</w:t>
            </w:r>
          </w:p>
          <w:p>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pPr>
        <w:rPr>
          <w:rFonts w:hint="eastAsia"/>
          <w:color w:val="000000"/>
          <w:highlight w:val="none"/>
        </w:rPr>
      </w:pPr>
      <w:bookmarkStart w:id="23" w:name="_Toc214693597"/>
    </w:p>
    <w:p>
      <w:pPr>
        <w:rPr>
          <w:rFonts w:hint="eastAsia"/>
          <w:color w:val="000000"/>
          <w:highlight w:val="none"/>
        </w:rPr>
      </w:pPr>
    </w:p>
    <w:bookmarkEnd w:id="23"/>
    <w:p>
      <w:pPr>
        <w:pStyle w:val="2"/>
        <w:spacing w:line="360" w:lineRule="auto"/>
        <w:jc w:val="center"/>
        <w:rPr>
          <w:rFonts w:hint="eastAsia" w:ascii="宋体" w:hAnsi="宋体"/>
          <w:b/>
          <w:szCs w:val="32"/>
          <w:highlight w:val="none"/>
        </w:rPr>
      </w:pPr>
      <w:bookmarkStart w:id="24" w:name="_Toc31499"/>
      <w:bookmarkStart w:id="25" w:name="_Toc422669753"/>
      <w:bookmarkStart w:id="26" w:name="_Toc9846"/>
      <w:bookmarkStart w:id="27" w:name="_Toc7168"/>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16765"/>
      <w:bookmarkStart w:id="29" w:name="_Toc21841"/>
      <w:bookmarkStart w:id="30" w:name="_Toc23528"/>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pPr>
        <w:spacing w:line="480" w:lineRule="exact"/>
        <w:ind w:firstLine="438" w:firstLineChars="200"/>
        <w:rPr>
          <w:rFonts w:hint="eastAsia"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 w:eastAsia="zh-CN"/>
        </w:rPr>
        <w:t>舒城县张母桥河仙人凼至小河口段防洪治理工程</w:t>
      </w:r>
      <w:r>
        <w:rPr>
          <w:rFonts w:hint="eastAsia" w:ascii="宋体" w:hAnsi="宋体" w:eastAsia="宋体" w:cs="Times New Roman"/>
          <w:color w:val="000000"/>
          <w:sz w:val="24"/>
          <w:szCs w:val="24"/>
          <w:highlight w:val="none"/>
        </w:rPr>
        <w:t>批复总投资</w:t>
      </w:r>
      <w:r>
        <w:rPr>
          <w:rFonts w:hint="eastAsia" w:ascii="宋体" w:hAnsi="宋体" w:cs="Times New Roman"/>
          <w:color w:val="000000"/>
          <w:sz w:val="24"/>
          <w:szCs w:val="24"/>
          <w:highlight w:val="none"/>
          <w:lang w:val="en-US" w:eastAsia="zh-CN"/>
        </w:rPr>
        <w:t>5950</w:t>
      </w:r>
      <w:r>
        <w:rPr>
          <w:rFonts w:hint="eastAsia" w:ascii="宋体" w:hAnsi="宋体" w:eastAsia="宋体" w:cs="Times New Roman"/>
          <w:color w:val="000000"/>
          <w:sz w:val="24"/>
          <w:szCs w:val="24"/>
          <w:highlight w:val="none"/>
        </w:rPr>
        <w:t>万元。主要建设内容为：堤防工程</w:t>
      </w:r>
      <w:r>
        <w:rPr>
          <w:rFonts w:hint="eastAsia" w:ascii="宋体" w:hAnsi="宋体" w:cs="Times New Roman"/>
          <w:color w:val="000000"/>
          <w:sz w:val="24"/>
          <w:szCs w:val="24"/>
          <w:highlight w:val="none"/>
          <w:lang w:eastAsia="zh-CN"/>
        </w:rPr>
        <w:t>、护坡护岸工程、河道疏浚工程、填塘固基、附属建筑物、修建防汛道路</w:t>
      </w:r>
      <w:r>
        <w:rPr>
          <w:rFonts w:hint="eastAsia" w:ascii="宋体" w:hAnsi="宋体" w:eastAsia="宋体" w:cs="Times New Roman"/>
          <w:color w:val="000000"/>
          <w:sz w:val="24"/>
          <w:szCs w:val="24"/>
          <w:highlight w:val="none"/>
        </w:rPr>
        <w:t>等</w:t>
      </w:r>
      <w:r>
        <w:rPr>
          <w:rFonts w:hint="eastAsia" w:ascii="宋体" w:hAnsi="宋体" w:cs="Times New Roman"/>
          <w:color w:val="00000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5583"/>
      <w:bookmarkStart w:id="34" w:name="_Toc25716"/>
      <w:bookmarkStart w:id="35" w:name="_Toc1401"/>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pPr>
        <w:spacing w:line="360" w:lineRule="auto"/>
        <w:ind w:firstLine="478" w:firstLineChars="218"/>
        <w:rPr>
          <w:rFonts w:hint="eastAsia" w:ascii="宋体" w:hAnsi="宋体"/>
          <w:sz w:val="24"/>
          <w:highlight w:val="none"/>
        </w:rPr>
      </w:pPr>
    </w:p>
    <w:p>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4452"/>
      <w:bookmarkStart w:id="39" w:name="_Toc14523"/>
      <w:bookmarkStart w:id="40" w:name="_Toc12468"/>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pPr>
        <w:pStyle w:val="5"/>
        <w:rPr>
          <w:rFonts w:hint="eastAsia"/>
          <w:highlight w:val="none"/>
        </w:rPr>
      </w:pPr>
    </w:p>
    <w:p>
      <w:pPr>
        <w:pStyle w:val="2"/>
        <w:spacing w:line="360" w:lineRule="auto"/>
        <w:jc w:val="center"/>
        <w:rPr>
          <w:rFonts w:hint="eastAsia" w:ascii="宋体" w:hAnsi="宋体"/>
          <w:b/>
          <w:color w:val="000000"/>
          <w:sz w:val="24"/>
          <w:highlight w:val="none"/>
          <w:lang w:eastAsia="zh-CN"/>
        </w:rPr>
      </w:pPr>
      <w:bookmarkStart w:id="41" w:name="_Toc14989"/>
      <w:bookmarkStart w:id="42" w:name="_Toc24086"/>
      <w:bookmarkStart w:id="43" w:name="_Toc29235"/>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pPr>
        <w:ind w:firstLine="438" w:firstLineChars="200"/>
        <w:rPr>
          <w:rFonts w:hint="eastAsia"/>
          <w:sz w:val="24"/>
          <w:szCs w:val="24"/>
          <w:highlight w:val="none"/>
        </w:rPr>
      </w:pPr>
      <w:r>
        <w:rPr>
          <w:rFonts w:hint="eastAsia"/>
          <w:sz w:val="24"/>
          <w:szCs w:val="24"/>
          <w:highlight w:val="none"/>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pPr>
              <w:adjustRightInd w:val="0"/>
              <w:snapToGrid w:val="0"/>
              <w:spacing w:line="360" w:lineRule="auto"/>
              <w:ind w:right="-1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pPr>
        <w:spacing w:line="360" w:lineRule="auto"/>
        <w:ind w:firstLine="438" w:firstLineChars="200"/>
        <w:rPr>
          <w:rFonts w:hint="eastAsia" w:ascii="宋体" w:hAnsi="宋体" w:cs="宋体-18030"/>
          <w:b/>
          <w:color w:val="000000"/>
          <w:sz w:val="24"/>
          <w:highlight w:val="none"/>
        </w:rPr>
      </w:pPr>
    </w:p>
    <w:p>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pPr>
        <w:pStyle w:val="6"/>
        <w:numPr>
          <w:ilvl w:val="0"/>
          <w:numId w:val="0"/>
        </w:numPr>
        <w:ind w:left="1680" w:leftChars="0"/>
        <w:rPr>
          <w:rFonts w:hint="eastAsia"/>
          <w:highlight w:val="none"/>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宋体"/>
                <w:sz w:val="21"/>
                <w:szCs w:val="21"/>
                <w:highlight w:val="none"/>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p>
        </w:tc>
      </w:tr>
    </w:tbl>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b/>
          <w:bCs/>
          <w:color w:val="000000"/>
          <w:sz w:val="24"/>
          <w:highlight w:val="none"/>
        </w:rPr>
        <w:t>三）排序。</w:t>
      </w:r>
      <w:r>
        <w:rPr>
          <w:rFonts w:hint="eastAsia" w:ascii="宋体" w:hAnsi="宋体"/>
          <w:color w:val="000000"/>
          <w:sz w:val="24"/>
          <w:highlight w:val="none"/>
        </w:rPr>
        <w:t>评审小组按照最终评审得分由高到低排出成交候选顺序。</w:t>
      </w:r>
    </w:p>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评审小组不公布得分，对供应商得分情况不做任何解释。</w:t>
      </w:r>
    </w:p>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sz w:val="24"/>
          <w:highlight w:val="none"/>
        </w:rPr>
        <w:t>评审得分</w:t>
      </w:r>
      <w:r>
        <w:rPr>
          <w:rFonts w:hint="eastAsia" w:ascii="宋体" w:hAnsi="宋体"/>
          <w:color w:val="000000"/>
          <w:sz w:val="24"/>
          <w:highlight w:val="none"/>
        </w:rPr>
        <w:t>出现两家或两家以上相同者，按</w:t>
      </w:r>
      <w:r>
        <w:rPr>
          <w:rFonts w:hint="eastAsia" w:ascii="宋体" w:hAnsi="宋体"/>
          <w:sz w:val="24"/>
          <w:highlight w:val="none"/>
        </w:rPr>
        <w:t>报</w:t>
      </w:r>
      <w:r>
        <w:rPr>
          <w:rFonts w:hint="eastAsia" w:ascii="宋体" w:hAnsi="宋体"/>
          <w:color w:val="000000"/>
          <w:sz w:val="24"/>
          <w:highlight w:val="none"/>
        </w:rPr>
        <w:t>价由低到高排序</w:t>
      </w:r>
      <w:r>
        <w:rPr>
          <w:rFonts w:hint="eastAsia" w:ascii="宋体" w:hAnsi="宋体"/>
          <w:sz w:val="24"/>
          <w:highlight w:val="none"/>
        </w:rPr>
        <w:t>确定成交候选供应商</w:t>
      </w:r>
      <w:r>
        <w:rPr>
          <w:rFonts w:hint="eastAsia" w:ascii="宋体" w:hAnsi="宋体"/>
          <w:color w:val="000000"/>
          <w:sz w:val="24"/>
          <w:highlight w:val="none"/>
        </w:rPr>
        <w:t>；评审总得分且报价相同的，按照供应商业绩得分由高到低排出成交候选顺序。</w:t>
      </w:r>
    </w:p>
    <w:p>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016286"/>
      <w:bookmarkStart w:id="48" w:name="_Toc427106475"/>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7580"/>
      <w:bookmarkStart w:id="50" w:name="_Toc17843"/>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22557"/>
      <w:bookmarkStart w:id="53" w:name="_Toc3463"/>
      <w:bookmarkStart w:id="54" w:name="_Toc11158"/>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1040"/>
      <w:bookmarkStart w:id="56" w:name="_Toc14661"/>
      <w:bookmarkStart w:id="57" w:name="_Toc10651"/>
      <w:r>
        <w:rPr>
          <w:rFonts w:hint="eastAsia" w:ascii="宋体" w:hAnsi="宋体"/>
          <w:b/>
          <w:color w:val="000000"/>
          <w:sz w:val="24"/>
          <w:highlight w:val="none"/>
          <w:lang w:val="en-US" w:eastAsia="zh-CN"/>
        </w:rPr>
        <w:t>（三）投诉</w:t>
      </w:r>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p>
    <w:p>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32046"/>
      <w:bookmarkStart w:id="59" w:name="_Toc7698"/>
      <w:bookmarkStart w:id="60" w:name="_Toc21881"/>
      <w:r>
        <w:rPr>
          <w:rFonts w:hint="eastAsia" w:ascii="宋体" w:hAnsi="宋体" w:eastAsia="宋体" w:cs="Times New Roman"/>
          <w:b/>
          <w:color w:val="000000"/>
          <w:szCs w:val="32"/>
          <w:highlight w:val="none"/>
        </w:rPr>
        <w:t>响应文件格式</w:t>
      </w:r>
      <w:bookmarkEnd w:id="58"/>
      <w:bookmarkEnd w:id="59"/>
      <w:bookmarkEnd w:id="60"/>
    </w:p>
    <w:p>
      <w:pPr>
        <w:widowControl w:val="0"/>
        <w:numPr>
          <w:ilvl w:val="0"/>
          <w:numId w:val="0"/>
        </w:numPr>
        <w:jc w:val="both"/>
        <w:rPr>
          <w:rFonts w:hint="eastAsia"/>
          <w:highlight w:val="none"/>
        </w:rPr>
      </w:pPr>
    </w:p>
    <w:p>
      <w:pPr>
        <w:pStyle w:val="5"/>
        <w:rPr>
          <w:rFonts w:hint="eastAsia"/>
          <w:highlight w:val="none"/>
        </w:rPr>
      </w:pPr>
      <w:bookmarkStart w:id="88" w:name="_GoBack"/>
      <w:bookmarkEnd w:id="88"/>
    </w:p>
    <w:p>
      <w:pPr>
        <w:pStyle w:val="6"/>
        <w:widowControl w:val="0"/>
        <w:numPr>
          <w:ilvl w:val="0"/>
          <w:numId w:val="0"/>
        </w:numPr>
        <w:jc w:val="both"/>
        <w:rPr>
          <w:rFonts w:hint="eastAsia"/>
          <w:highlight w:val="none"/>
        </w:rPr>
      </w:pPr>
    </w:p>
    <w:p>
      <w:pPr>
        <w:pStyle w:val="6"/>
        <w:widowControl w:val="0"/>
        <w:numPr>
          <w:ilvl w:val="0"/>
          <w:numId w:val="0"/>
        </w:numPr>
        <w:jc w:val="both"/>
        <w:rPr>
          <w:rFonts w:hint="eastAsia"/>
          <w:highlight w:val="none"/>
        </w:rPr>
      </w:pPr>
    </w:p>
    <w:p>
      <w:pPr>
        <w:pStyle w:val="6"/>
        <w:widowControl w:val="0"/>
        <w:numPr>
          <w:ilvl w:val="0"/>
          <w:numId w:val="0"/>
        </w:numPr>
        <w:jc w:val="both"/>
        <w:rPr>
          <w:rFonts w:hint="eastAsia"/>
          <w:highlight w:val="none"/>
        </w:rPr>
      </w:pPr>
    </w:p>
    <w:p>
      <w:pPr>
        <w:spacing w:line="500" w:lineRule="exact"/>
        <w:jc w:val="center"/>
        <w:outlineLvl w:val="9"/>
        <w:rPr>
          <w:rFonts w:hint="eastAsia" w:ascii="宋体" w:hAnsi="宋体" w:eastAsia="宋体" w:cs="Times New Roman"/>
          <w:b/>
          <w:sz w:val="32"/>
          <w:highlight w:val="none"/>
          <w:lang w:eastAsia="zh-CN"/>
        </w:rPr>
      </w:pPr>
      <w:r>
        <w:rPr>
          <w:rFonts w:hint="default" w:ascii="宋体" w:hAnsi="宋体" w:cs="Times New Roman"/>
          <w:b/>
          <w:bCs w:val="0"/>
          <w:color w:val="000000"/>
          <w:kern w:val="2"/>
          <w:sz w:val="32"/>
          <w:szCs w:val="24"/>
          <w:highlight w:val="none"/>
          <w:lang w:val="en" w:eastAsia="zh-CN"/>
        </w:rPr>
        <w:t>舒城县张母桥河仙人凼至小河口段防洪治理工程竣工决算审计服务</w:t>
      </w:r>
    </w:p>
    <w:p>
      <w:pPr>
        <w:pStyle w:val="5"/>
        <w:rPr>
          <w:rFonts w:hint="eastAsia" w:ascii="宋体" w:hAnsi="宋体"/>
          <w:b/>
          <w:sz w:val="72"/>
          <w:highlight w:val="none"/>
        </w:rPr>
      </w:pPr>
    </w:p>
    <w:p>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pPr>
        <w:jc w:val="center"/>
        <w:outlineLvl w:val="9"/>
        <w:rPr>
          <w:rFonts w:hint="eastAsia" w:ascii="宋体" w:hAnsi="宋体"/>
          <w:b/>
          <w:sz w:val="72"/>
          <w:highlight w:val="none"/>
        </w:rPr>
      </w:pPr>
      <w:r>
        <w:rPr>
          <w:rFonts w:hint="eastAsia" w:ascii="宋体" w:hAnsi="宋体"/>
          <w:b/>
          <w:sz w:val="72"/>
          <w:highlight w:val="none"/>
        </w:rPr>
        <w:t>件</w:t>
      </w:r>
    </w:p>
    <w:p>
      <w:pPr>
        <w:spacing w:after="156" w:afterLines="50" w:line="500" w:lineRule="exact"/>
        <w:jc w:val="center"/>
        <w:rPr>
          <w:rFonts w:hint="eastAsia" w:ascii="宋体" w:hAnsi="宋体"/>
          <w:b/>
          <w:sz w:val="72"/>
          <w:highlight w:val="none"/>
        </w:rPr>
      </w:pPr>
    </w:p>
    <w:p>
      <w:pPr>
        <w:spacing w:after="156" w:afterLines="50" w:line="500" w:lineRule="exact"/>
        <w:jc w:val="center"/>
        <w:rPr>
          <w:rFonts w:hint="eastAsia" w:ascii="宋体" w:hAnsi="宋体"/>
          <w:b/>
          <w:sz w:val="72"/>
          <w:highlight w:val="none"/>
        </w:rPr>
      </w:pPr>
    </w:p>
    <w:p>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pPr>
        <w:spacing w:line="360" w:lineRule="auto"/>
        <w:jc w:val="center"/>
        <w:outlineLvl w:val="9"/>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1" w:name="_Toc16135"/>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2" w:name="_Toc11120"/>
      <w:bookmarkStart w:id="63" w:name="_Toc17281"/>
      <w:bookmarkStart w:id="64" w:name="_Toc16974"/>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pPr>
              <w:autoSpaceDE w:val="0"/>
              <w:autoSpaceDN w:val="0"/>
              <w:adjustRightInd w:val="0"/>
              <w:spacing w:line="360" w:lineRule="auto"/>
              <w:rPr>
                <w:rFonts w:hint="eastAsia" w:ascii="宋体" w:hAnsi="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bl>
    <w:p>
      <w:pPr>
        <w:spacing w:after="156" w:afterLines="50" w:line="500" w:lineRule="exact"/>
        <w:jc w:val="center"/>
        <w:rPr>
          <w:rFonts w:hint="eastAsia" w:ascii="宋体" w:hAnsi="宋体"/>
          <w:b/>
          <w:sz w:val="32"/>
          <w:highlight w:val="none"/>
        </w:rPr>
      </w:pPr>
    </w:p>
    <w:p>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3390"/>
      <w:bookmarkStart w:id="68" w:name="_Toc20277"/>
      <w:bookmarkStart w:id="69" w:name="_Toc28565"/>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default" w:ascii="宋体" w:hAnsi="宋体" w:cs="Times New Roman"/>
          <w:sz w:val="24"/>
          <w:highlight w:val="none"/>
          <w:lang w:val="en" w:eastAsia="zh-CN"/>
        </w:rPr>
        <w:t>舒城县张母桥河仙人凼至小河口段防洪治理工程竣工决算审计服务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500" w:lineRule="exact"/>
        <w:jc w:val="center"/>
        <w:rPr>
          <w:rFonts w:hint="eastAsia" w:ascii="宋体" w:hAnsi="宋体"/>
          <w:color w:val="000000"/>
          <w:sz w:val="24"/>
          <w:highlight w:val="none"/>
        </w:rPr>
      </w:pPr>
    </w:p>
    <w:p>
      <w:pPr>
        <w:spacing w:line="360" w:lineRule="auto"/>
        <w:outlineLvl w:val="9"/>
        <w:rPr>
          <w:rFonts w:hint="eastAsia" w:ascii="宋体" w:hAnsi="宋体" w:eastAsia="宋体"/>
          <w:bCs/>
          <w:sz w:val="24"/>
          <w:szCs w:val="24"/>
          <w:highlight w:val="none"/>
        </w:rPr>
      </w:pPr>
      <w:bookmarkStart w:id="71" w:name="_Toc427106480"/>
    </w:p>
    <w:p>
      <w:pPr>
        <w:outlineLvl w:val="9"/>
        <w:rPr>
          <w:rFonts w:hint="eastAsia"/>
          <w:highlight w:val="none"/>
        </w:rPr>
      </w:pPr>
    </w:p>
    <w:p>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26523"/>
      <w:bookmarkStart w:id="74" w:name="_Toc17871"/>
      <w:bookmarkStart w:id="75" w:name="_Toc17620"/>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pPr>
        <w:spacing w:line="360" w:lineRule="auto"/>
        <w:ind w:firstLine="435"/>
        <w:rPr>
          <w:rFonts w:ascii="宋体" w:hAnsi="宋体"/>
          <w:b/>
          <w:sz w:val="24"/>
          <w:highlight w:val="none"/>
        </w:rPr>
      </w:pPr>
    </w:p>
    <w:p>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p>
    <w:p>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pPr>
        <w:bidi w:val="0"/>
        <w:rPr>
          <w:rFonts w:hint="eastAsia"/>
          <w:kern w:val="2"/>
          <w:sz w:val="21"/>
          <w:szCs w:val="24"/>
          <w:highlight w:val="none"/>
          <w:lang w:val="en-US" w:eastAsia="zh-CN" w:bidi="ar-SA"/>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tabs>
          <w:tab w:val="left" w:pos="3590"/>
        </w:tabs>
        <w:bidi w:val="0"/>
        <w:jc w:val="left"/>
        <w:rPr>
          <w:rFonts w:hint="eastAsia"/>
          <w:highlight w:val="none"/>
          <w:lang w:val="en-US" w:eastAsia="zh-CN"/>
        </w:rPr>
      </w:pPr>
      <w:r>
        <w:rPr>
          <w:rFonts w:hint="eastAsia"/>
          <w:highlight w:val="none"/>
          <w:lang w:val="en-US" w:eastAsia="zh-CN"/>
        </w:rPr>
        <w:tab/>
      </w:r>
    </w:p>
    <w:p>
      <w:pPr>
        <w:pStyle w:val="3"/>
        <w:spacing w:line="360" w:lineRule="auto"/>
        <w:outlineLvl w:val="0"/>
        <w:rPr>
          <w:rFonts w:hint="eastAsia" w:ascii="宋体" w:hAnsi="宋体" w:eastAsia="宋体"/>
          <w:bCs w:val="0"/>
          <w:sz w:val="24"/>
          <w:szCs w:val="24"/>
          <w:highlight w:val="none"/>
          <w:lang w:eastAsia="zh-CN"/>
        </w:rPr>
      </w:pPr>
      <w:bookmarkStart w:id="78" w:name="_Toc2914"/>
      <w:bookmarkStart w:id="79" w:name="_Toc24183"/>
      <w:bookmarkStart w:id="80" w:name="_Toc20681"/>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pPr>
        <w:tabs>
          <w:tab w:val="left" w:pos="315"/>
          <w:tab w:val="left" w:pos="8820"/>
        </w:tabs>
        <w:spacing w:line="500" w:lineRule="exact"/>
        <w:ind w:left="1089" w:right="267" w:rightChars="127" w:hanging="1192"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default" w:ascii="宋体" w:hAnsi="宋体" w:cs="宋体"/>
          <w:b w:val="0"/>
          <w:bCs w:val="0"/>
          <w:color w:val="000000"/>
          <w:kern w:val="2"/>
          <w:sz w:val="24"/>
          <w:szCs w:val="24"/>
          <w:highlight w:val="none"/>
          <w:lang w:val="en" w:eastAsia="zh-CN"/>
        </w:rPr>
        <w:t>舒城县张母桥河仙人凼至小河口段防洪治理工程竣工决算审计服务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pPr>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pPr>
              <w:snapToGrid w:val="0"/>
              <w:spacing w:line="360" w:lineRule="auto"/>
              <w:rPr>
                <w:rFonts w:hint="eastAsia" w:ascii="宋体" w:hAnsi="宋体"/>
                <w:color w:val="000000"/>
                <w:sz w:val="24"/>
                <w:szCs w:val="28"/>
                <w:highlight w:val="none"/>
              </w:rPr>
            </w:pPr>
          </w:p>
          <w:p>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pPr>
              <w:snapToGrid w:val="0"/>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pPr>
              <w:spacing w:line="360" w:lineRule="auto"/>
              <w:rPr>
                <w:rFonts w:hint="eastAsia" w:ascii="宋体" w:hAnsi="宋体"/>
                <w:b/>
                <w:color w:val="000000"/>
                <w:sz w:val="24"/>
                <w:highlight w:val="none"/>
              </w:rPr>
            </w:pPr>
          </w:p>
        </w:tc>
      </w:tr>
    </w:tbl>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pPr>
        <w:adjustRightInd w:val="0"/>
        <w:snapToGrid w:val="0"/>
        <w:spacing w:line="360" w:lineRule="auto"/>
        <w:ind w:firstLine="481"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pPr>
        <w:adjustRightInd w:val="0"/>
        <w:snapToGrid w:val="0"/>
        <w:spacing w:line="360" w:lineRule="auto"/>
        <w:ind w:firstLine="481"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pPr>
        <w:rPr>
          <w:rFonts w:hint="eastAsia"/>
          <w:highlight w:val="none"/>
        </w:rPr>
      </w:pP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427016294"/>
      <w:bookmarkStart w:id="83" w:name="_Toc427106483"/>
      <w:bookmarkStart w:id="84" w:name="_Toc13933"/>
      <w:bookmarkStart w:id="85" w:name="_Toc23654"/>
      <w:bookmarkStart w:id="86" w:name="_Toc1189"/>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pPr>
        <w:pStyle w:val="5"/>
        <w:rPr>
          <w:highlight w:val="none"/>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pPr>
        <w:spacing w:line="360" w:lineRule="auto"/>
        <w:jc w:val="center"/>
        <w:outlineLvl w:val="9"/>
        <w:rPr>
          <w:rFonts w:hint="eastAsia" w:ascii="宋体" w:hAnsi="宋体"/>
          <w:b/>
          <w:bCs/>
          <w:color w:val="000000"/>
          <w:sz w:val="32"/>
          <w:szCs w:val="32"/>
          <w:highlight w:val="none"/>
        </w:rPr>
      </w:pPr>
    </w:p>
    <w:p>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77B78D4"/>
    <w:rsid w:val="089A1F2A"/>
    <w:rsid w:val="08FB0CC8"/>
    <w:rsid w:val="0A4709F8"/>
    <w:rsid w:val="0D0E115E"/>
    <w:rsid w:val="116210C7"/>
    <w:rsid w:val="11E86B02"/>
    <w:rsid w:val="124326DF"/>
    <w:rsid w:val="12CE13AE"/>
    <w:rsid w:val="12DC654B"/>
    <w:rsid w:val="12E83F08"/>
    <w:rsid w:val="139B27BF"/>
    <w:rsid w:val="14186D67"/>
    <w:rsid w:val="14681D67"/>
    <w:rsid w:val="15200B35"/>
    <w:rsid w:val="15E46F00"/>
    <w:rsid w:val="18EC6A5D"/>
    <w:rsid w:val="1A3E1BC6"/>
    <w:rsid w:val="1B91236E"/>
    <w:rsid w:val="1D79C9F0"/>
    <w:rsid w:val="22A27A9B"/>
    <w:rsid w:val="236F25AE"/>
    <w:rsid w:val="26CE6076"/>
    <w:rsid w:val="27565A86"/>
    <w:rsid w:val="275D6B12"/>
    <w:rsid w:val="28C12115"/>
    <w:rsid w:val="296F017E"/>
    <w:rsid w:val="2B3221C2"/>
    <w:rsid w:val="2BDC09F1"/>
    <w:rsid w:val="2CA451E4"/>
    <w:rsid w:val="2DDB4098"/>
    <w:rsid w:val="2E7454FD"/>
    <w:rsid w:val="2EFC3882"/>
    <w:rsid w:val="31436D79"/>
    <w:rsid w:val="328D3FAF"/>
    <w:rsid w:val="339E26D7"/>
    <w:rsid w:val="356D2033"/>
    <w:rsid w:val="3BA63594"/>
    <w:rsid w:val="3EE97F9B"/>
    <w:rsid w:val="41783C87"/>
    <w:rsid w:val="42283485"/>
    <w:rsid w:val="43237648"/>
    <w:rsid w:val="435706BA"/>
    <w:rsid w:val="43C1075E"/>
    <w:rsid w:val="46B20D88"/>
    <w:rsid w:val="47084895"/>
    <w:rsid w:val="47273305"/>
    <w:rsid w:val="475F73CA"/>
    <w:rsid w:val="478D3149"/>
    <w:rsid w:val="47D60A36"/>
    <w:rsid w:val="4A2C61E9"/>
    <w:rsid w:val="4AC32211"/>
    <w:rsid w:val="4F095309"/>
    <w:rsid w:val="5238436D"/>
    <w:rsid w:val="52C322C5"/>
    <w:rsid w:val="5349426B"/>
    <w:rsid w:val="55CE28D5"/>
    <w:rsid w:val="5E0D2339"/>
    <w:rsid w:val="5E6F4FBC"/>
    <w:rsid w:val="5EBB4238"/>
    <w:rsid w:val="5EFF3FC4"/>
    <w:rsid w:val="5FCC6C5E"/>
    <w:rsid w:val="60046DA4"/>
    <w:rsid w:val="61F621C6"/>
    <w:rsid w:val="63263496"/>
    <w:rsid w:val="634F601E"/>
    <w:rsid w:val="63B43D18"/>
    <w:rsid w:val="63DE27AE"/>
    <w:rsid w:val="64414AEB"/>
    <w:rsid w:val="69210ABD"/>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E54630"/>
    <w:rsid w:val="783F4E51"/>
    <w:rsid w:val="7C7B51D9"/>
    <w:rsid w:val="7CAD7255"/>
    <w:rsid w:val="7CBD4306"/>
    <w:rsid w:val="7CCF0A8E"/>
    <w:rsid w:val="7E3D65EC"/>
    <w:rsid w:val="7FB500E5"/>
    <w:rsid w:val="7FE65640"/>
    <w:rsid w:val="97DB232D"/>
    <w:rsid w:val="BFEF1FD4"/>
    <w:rsid w:val="BFFDBB4F"/>
    <w:rsid w:val="BFFF276F"/>
    <w:rsid w:val="DA9256E0"/>
    <w:rsid w:val="DE3F1372"/>
    <w:rsid w:val="EFFFDE6B"/>
    <w:rsid w:val="F3FB70CA"/>
    <w:rsid w:val="FFFF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qFormat/>
    <w:uiPriority w:val="0"/>
    <w:pPr>
      <w:numPr>
        <w:ilvl w:val="0"/>
        <w:numId w:val="1"/>
      </w:numPr>
    </w:p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4901</Words>
  <Characters>5077</Characters>
  <Lines>0</Lines>
  <Paragraphs>0</Paragraphs>
  <TotalTime>20</TotalTime>
  <ScaleCrop>false</ScaleCrop>
  <LinksUpToDate>false</LinksUpToDate>
  <CharactersWithSpaces>5420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2022-10-09T03:01:00Z</dcterms:created>
  <dc:creator>心想事辰</dc:creator>
  <cp:lastModifiedBy>administrator</cp:lastModifiedBy>
  <cp:lastPrinted>2025-04-08T07:03:00Z</cp:lastPrinted>
  <dcterms:modified xsi:type="dcterms:W3CDTF">2025-06-26T10:55:52Z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57C7646DFCE44BE499471DC4D137AEA4_13</vt:lpwstr>
  </property>
  <property fmtid="{D5CDD505-2E9C-101B-9397-08002B2CF9AE}" pid="4" name="KSOTemplateDocerSaveRecord">
    <vt:lpwstr>eyJoZGlkIjoiNzllNTRiZmZjNGM3MGNjZTMzNzllZjE2MTA5MmNiZDAiLCJ1c2VySWQiOiI0NjMxMDQyMDEifQ==</vt:lpwstr>
  </property>
</Properties>
</file>