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D145C">
      <w:pPr>
        <w:tabs>
          <w:tab w:val="left" w:pos="1630"/>
        </w:tabs>
        <w:spacing w:line="360" w:lineRule="auto"/>
        <w:jc w:val="center"/>
        <w:rPr>
          <w:rFonts w:ascii="宋体" w:hAnsi="宋体" w:eastAsia="宋体" w:cs="Times New Roman"/>
          <w:b/>
          <w:sz w:val="28"/>
          <w:szCs w:val="28"/>
          <w:u w:val="single"/>
        </w:rPr>
      </w:pPr>
    </w:p>
    <w:p w14:paraId="02B8AD80">
      <w:pPr>
        <w:tabs>
          <w:tab w:val="left" w:pos="1630"/>
        </w:tabs>
        <w:spacing w:line="360" w:lineRule="auto"/>
        <w:jc w:val="center"/>
        <w:rPr>
          <w:rFonts w:ascii="宋体" w:hAnsi="宋体" w:eastAsia="宋体" w:cs="Times New Roman"/>
          <w:b/>
          <w:sz w:val="28"/>
          <w:szCs w:val="28"/>
          <w:u w:val="single"/>
        </w:rPr>
      </w:pPr>
    </w:p>
    <w:p w14:paraId="22E4AB2F">
      <w:pPr>
        <w:tabs>
          <w:tab w:val="left" w:pos="1630"/>
        </w:tabs>
        <w:spacing w:line="360" w:lineRule="auto"/>
        <w:jc w:val="center"/>
        <w:rPr>
          <w:rFonts w:ascii="宋体" w:hAnsi="宋体" w:eastAsia="宋体" w:cs="Times New Roman"/>
          <w:b/>
          <w:sz w:val="36"/>
          <w:szCs w:val="36"/>
        </w:rPr>
      </w:pPr>
      <w:r>
        <w:rPr>
          <w:rFonts w:hint="eastAsia" w:ascii="宋体" w:hAnsi="宋体" w:eastAsia="宋体" w:cs="Times New Roman"/>
          <w:b/>
          <w:sz w:val="36"/>
          <w:szCs w:val="36"/>
          <w:u w:val="single"/>
          <w:lang w:eastAsia="zh-CN"/>
        </w:rPr>
        <w:t>淠史杭水利文化展示中心项目第三方检测（二次）</w:t>
      </w:r>
    </w:p>
    <w:p w14:paraId="0A02E480">
      <w:pPr>
        <w:tabs>
          <w:tab w:val="left" w:pos="1630"/>
        </w:tabs>
        <w:spacing w:line="360" w:lineRule="auto"/>
        <w:ind w:firstLine="480" w:firstLineChars="200"/>
        <w:rPr>
          <w:rFonts w:ascii="宋体" w:hAnsi="宋体" w:eastAsia="宋体" w:cs="Times New Roman"/>
          <w:sz w:val="24"/>
          <w:szCs w:val="28"/>
        </w:rPr>
      </w:pPr>
    </w:p>
    <w:p w14:paraId="6E5FE7C7">
      <w:pPr>
        <w:tabs>
          <w:tab w:val="left" w:pos="1630"/>
        </w:tabs>
        <w:spacing w:line="360" w:lineRule="auto"/>
        <w:ind w:firstLine="480" w:firstLineChars="200"/>
        <w:rPr>
          <w:rFonts w:ascii="宋体" w:hAnsi="宋体" w:eastAsia="宋体" w:cs="Times New Roman"/>
          <w:sz w:val="24"/>
          <w:szCs w:val="28"/>
        </w:rPr>
      </w:pPr>
    </w:p>
    <w:p w14:paraId="139BF02E">
      <w:pPr>
        <w:tabs>
          <w:tab w:val="left" w:pos="1630"/>
        </w:tabs>
        <w:spacing w:line="360" w:lineRule="auto"/>
        <w:ind w:firstLine="482" w:firstLineChars="200"/>
        <w:jc w:val="center"/>
        <w:rPr>
          <w:rFonts w:ascii="宋体" w:hAnsi="宋体" w:eastAsia="宋体" w:cs="Times New Roman"/>
          <w:b/>
          <w:sz w:val="24"/>
          <w:szCs w:val="44"/>
        </w:rPr>
      </w:pPr>
    </w:p>
    <w:p w14:paraId="1696FE46">
      <w:pPr>
        <w:tabs>
          <w:tab w:val="left" w:pos="1630"/>
        </w:tabs>
        <w:spacing w:line="360" w:lineRule="auto"/>
        <w:ind w:firstLine="482" w:firstLineChars="200"/>
        <w:jc w:val="center"/>
        <w:rPr>
          <w:rFonts w:ascii="宋体" w:hAnsi="宋体" w:eastAsia="宋体" w:cs="Times New Roman"/>
          <w:b/>
          <w:sz w:val="24"/>
          <w:szCs w:val="44"/>
        </w:rPr>
      </w:pPr>
    </w:p>
    <w:p w14:paraId="2DF35F19">
      <w:pPr>
        <w:tabs>
          <w:tab w:val="left" w:pos="1630"/>
        </w:tabs>
        <w:spacing w:line="360" w:lineRule="auto"/>
        <w:jc w:val="center"/>
        <w:rPr>
          <w:rFonts w:ascii="宋体" w:hAnsi="宋体" w:eastAsia="宋体" w:cs="Times New Roman"/>
          <w:b/>
          <w:sz w:val="52"/>
          <w:szCs w:val="44"/>
        </w:rPr>
      </w:pPr>
      <w:r>
        <w:rPr>
          <w:rFonts w:hint="eastAsia" w:ascii="宋体" w:hAnsi="宋体" w:eastAsia="宋体" w:cs="Times New Roman"/>
          <w:b/>
          <w:sz w:val="52"/>
          <w:szCs w:val="44"/>
        </w:rPr>
        <w:t>竞争性磋商文件</w:t>
      </w:r>
    </w:p>
    <w:p w14:paraId="326D80FA">
      <w:pPr>
        <w:tabs>
          <w:tab w:val="left" w:pos="1630"/>
        </w:tabs>
        <w:spacing w:line="360" w:lineRule="auto"/>
        <w:ind w:firstLine="480" w:firstLineChars="200"/>
        <w:rPr>
          <w:rFonts w:ascii="宋体" w:hAnsi="宋体" w:eastAsia="宋体" w:cs="Times New Roman"/>
          <w:sz w:val="24"/>
          <w:szCs w:val="28"/>
        </w:rPr>
      </w:pPr>
    </w:p>
    <w:p w14:paraId="04684E29">
      <w:pPr>
        <w:tabs>
          <w:tab w:val="left" w:pos="1630"/>
        </w:tabs>
        <w:spacing w:line="360" w:lineRule="auto"/>
        <w:ind w:firstLine="480" w:firstLineChars="200"/>
        <w:rPr>
          <w:rFonts w:ascii="宋体" w:hAnsi="宋体" w:eastAsia="宋体" w:cs="Times New Roman"/>
          <w:sz w:val="24"/>
          <w:szCs w:val="28"/>
        </w:rPr>
      </w:pPr>
    </w:p>
    <w:p w14:paraId="0A8991C4">
      <w:pPr>
        <w:tabs>
          <w:tab w:val="left" w:pos="1630"/>
        </w:tabs>
        <w:spacing w:line="360" w:lineRule="auto"/>
        <w:ind w:firstLine="480" w:firstLineChars="200"/>
        <w:rPr>
          <w:rFonts w:ascii="宋体" w:hAnsi="宋体" w:eastAsia="宋体" w:cs="Times New Roman"/>
          <w:sz w:val="24"/>
          <w:szCs w:val="28"/>
        </w:rPr>
      </w:pPr>
    </w:p>
    <w:p w14:paraId="02FA7823">
      <w:pPr>
        <w:tabs>
          <w:tab w:val="left" w:pos="1630"/>
        </w:tabs>
        <w:spacing w:line="360" w:lineRule="auto"/>
        <w:ind w:firstLine="480" w:firstLineChars="200"/>
        <w:rPr>
          <w:rFonts w:ascii="宋体" w:hAnsi="宋体" w:eastAsia="宋体" w:cs="Times New Roman"/>
          <w:sz w:val="24"/>
          <w:szCs w:val="28"/>
        </w:rPr>
      </w:pPr>
    </w:p>
    <w:p w14:paraId="7ECEB09A">
      <w:pPr>
        <w:tabs>
          <w:tab w:val="left" w:pos="1630"/>
        </w:tabs>
        <w:spacing w:line="360" w:lineRule="auto"/>
        <w:ind w:firstLine="480" w:firstLineChars="200"/>
        <w:rPr>
          <w:rFonts w:ascii="宋体" w:hAnsi="宋体" w:eastAsia="宋体" w:cs="Times New Roman"/>
          <w:sz w:val="24"/>
          <w:szCs w:val="28"/>
        </w:rPr>
      </w:pPr>
    </w:p>
    <w:p w14:paraId="1B03F3D0">
      <w:pPr>
        <w:tabs>
          <w:tab w:val="left" w:pos="1630"/>
        </w:tabs>
        <w:spacing w:line="360" w:lineRule="auto"/>
        <w:jc w:val="center"/>
        <w:rPr>
          <w:rFonts w:ascii="宋体" w:hAnsi="宋体" w:eastAsia="宋体" w:cs="Times New Roman"/>
          <w:sz w:val="24"/>
          <w:szCs w:val="28"/>
        </w:rPr>
      </w:pPr>
    </w:p>
    <w:p w14:paraId="12FE01FC">
      <w:pPr>
        <w:pStyle w:val="6"/>
        <w:rPr>
          <w:rFonts w:hAnsi="宋体"/>
          <w:szCs w:val="28"/>
        </w:rPr>
      </w:pPr>
    </w:p>
    <w:p w14:paraId="706FC63D">
      <w:pPr>
        <w:pStyle w:val="6"/>
        <w:rPr>
          <w:rFonts w:hAnsi="宋体"/>
          <w:szCs w:val="28"/>
        </w:rPr>
      </w:pPr>
    </w:p>
    <w:p w14:paraId="33B82619">
      <w:pPr>
        <w:tabs>
          <w:tab w:val="left" w:pos="1630"/>
        </w:tabs>
        <w:spacing w:line="360" w:lineRule="auto"/>
        <w:jc w:val="center"/>
        <w:rPr>
          <w:rFonts w:ascii="宋体" w:hAnsi="宋体" w:eastAsia="宋体" w:cs="Times New Roman"/>
          <w:sz w:val="24"/>
          <w:szCs w:val="28"/>
        </w:rPr>
      </w:pPr>
    </w:p>
    <w:tbl>
      <w:tblPr>
        <w:tblStyle w:val="26"/>
        <w:tblW w:w="6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4834"/>
      </w:tblGrid>
      <w:tr w14:paraId="75672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865" w:type="dxa"/>
            <w:tcBorders>
              <w:top w:val="nil"/>
              <w:left w:val="nil"/>
              <w:bottom w:val="nil"/>
              <w:right w:val="nil"/>
            </w:tcBorders>
          </w:tcPr>
          <w:p w14:paraId="35FA9CFF">
            <w:pPr>
              <w:adjustRightInd w:val="0"/>
              <w:snapToGrid w:val="0"/>
              <w:spacing w:line="360" w:lineRule="auto"/>
              <w:jc w:val="distribute"/>
              <w:rPr>
                <w:rFonts w:ascii="Times New Roman" w:hAnsi="Times New Roman" w:eastAsia="宋体" w:cs="Times New Roman"/>
                <w:sz w:val="24"/>
                <w:szCs w:val="24"/>
              </w:rPr>
            </w:pPr>
            <w:r>
              <w:rPr>
                <w:rFonts w:hint="eastAsia" w:ascii="Times New Roman" w:hAnsi="Times New Roman" w:eastAsia="宋体" w:cs="Times New Roman"/>
                <w:spacing w:val="17"/>
                <w:kern w:val="0"/>
                <w:sz w:val="24"/>
                <w:szCs w:val="24"/>
                <w:fitText w:val="1680" w:id="1744437698"/>
              </w:rPr>
              <w:t>采</w:t>
            </w:r>
            <w:r>
              <w:rPr>
                <w:rFonts w:hint="eastAsia" w:ascii="Times New Roman" w:hAnsi="Times New Roman" w:eastAsia="宋体" w:cs="Times New Roman"/>
                <w:spacing w:val="17"/>
                <w:kern w:val="0"/>
                <w:sz w:val="24"/>
                <w:szCs w:val="24"/>
                <w:fitText w:val="1680" w:id="1744437698"/>
                <w:lang w:val="en-US" w:eastAsia="zh-CN"/>
              </w:rPr>
              <w:t xml:space="preserve">  </w:t>
            </w:r>
            <w:r>
              <w:rPr>
                <w:rFonts w:hint="eastAsia" w:ascii="Times New Roman" w:hAnsi="Times New Roman" w:eastAsia="宋体" w:cs="Times New Roman"/>
                <w:spacing w:val="17"/>
                <w:kern w:val="0"/>
                <w:sz w:val="24"/>
                <w:szCs w:val="24"/>
                <w:fitText w:val="1680" w:id="1744437698"/>
              </w:rPr>
              <w:t>购</w:t>
            </w:r>
            <w:r>
              <w:rPr>
                <w:rFonts w:hint="eastAsia" w:ascii="Times New Roman" w:hAnsi="Times New Roman" w:eastAsia="宋体" w:cs="Times New Roman"/>
                <w:spacing w:val="17"/>
                <w:kern w:val="0"/>
                <w:sz w:val="24"/>
                <w:szCs w:val="24"/>
                <w:fitText w:val="1680" w:id="1744437698"/>
                <w:lang w:val="en-US" w:eastAsia="zh-CN"/>
              </w:rPr>
              <w:t xml:space="preserve">  </w:t>
            </w:r>
            <w:r>
              <w:rPr>
                <w:rFonts w:hint="eastAsia" w:ascii="Times New Roman" w:hAnsi="Times New Roman" w:eastAsia="宋体" w:cs="Times New Roman"/>
                <w:spacing w:val="17"/>
                <w:kern w:val="0"/>
                <w:sz w:val="24"/>
                <w:szCs w:val="24"/>
                <w:fitText w:val="1680" w:id="1744437698"/>
              </w:rPr>
              <w:t>人</w:t>
            </w:r>
            <w:r>
              <w:rPr>
                <w:rFonts w:ascii="Times New Roman" w:hAnsi="Times New Roman" w:eastAsia="宋体" w:cs="Times New Roman"/>
                <w:spacing w:val="1"/>
                <w:kern w:val="0"/>
                <w:sz w:val="24"/>
                <w:szCs w:val="24"/>
                <w:fitText w:val="1680" w:id="1744437698"/>
              </w:rPr>
              <w:t>：</w:t>
            </w:r>
          </w:p>
        </w:tc>
        <w:tc>
          <w:tcPr>
            <w:tcW w:w="4834" w:type="dxa"/>
            <w:tcBorders>
              <w:top w:val="nil"/>
              <w:left w:val="nil"/>
              <w:bottom w:val="nil"/>
              <w:right w:val="nil"/>
            </w:tcBorders>
          </w:tcPr>
          <w:p w14:paraId="063F3323">
            <w:pPr>
              <w:adjustRightInd w:val="0"/>
              <w:snapToGrid w:val="0"/>
              <w:spacing w:line="360" w:lineRule="auto"/>
              <w:jc w:val="distribute"/>
              <w:rPr>
                <w:rFonts w:ascii="Times New Roman" w:hAnsi="Times New Roman" w:eastAsia="宋体" w:cs="Times New Roman"/>
                <w:spacing w:val="25"/>
                <w:sz w:val="24"/>
                <w:szCs w:val="24"/>
              </w:rPr>
            </w:pPr>
            <w:r>
              <w:rPr>
                <w:rFonts w:hint="eastAsia" w:ascii="Times New Roman" w:hAnsi="Times New Roman" w:eastAsia="宋体" w:cs="Times New Roman"/>
                <w:spacing w:val="25"/>
                <w:sz w:val="24"/>
                <w:szCs w:val="24"/>
              </w:rPr>
              <w:t>六安市水利局</w:t>
            </w:r>
          </w:p>
        </w:tc>
      </w:tr>
      <w:tr w14:paraId="7F9F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865" w:type="dxa"/>
            <w:tcBorders>
              <w:top w:val="nil"/>
              <w:left w:val="nil"/>
              <w:bottom w:val="nil"/>
              <w:right w:val="nil"/>
            </w:tcBorders>
          </w:tcPr>
          <w:p w14:paraId="28D7CE86">
            <w:pPr>
              <w:adjustRightInd w:val="0"/>
              <w:snapToGrid w:val="0"/>
              <w:spacing w:line="360" w:lineRule="auto"/>
              <w:jc w:val="distribute"/>
              <w:rPr>
                <w:rFonts w:ascii="Times New Roman" w:hAnsi="Times New Roman" w:eastAsia="宋体" w:cs="Times New Roman"/>
                <w:sz w:val="24"/>
                <w:szCs w:val="24"/>
              </w:rPr>
            </w:pPr>
            <w:r>
              <w:rPr>
                <w:rFonts w:hint="eastAsia" w:ascii="Times New Roman" w:hAnsi="Times New Roman" w:eastAsia="宋体" w:cs="Times New Roman"/>
                <w:sz w:val="24"/>
                <w:szCs w:val="24"/>
              </w:rPr>
              <w:t>采购代理机构</w:t>
            </w:r>
            <w:r>
              <w:rPr>
                <w:rFonts w:ascii="Times New Roman" w:hAnsi="Times New Roman" w:eastAsia="宋体" w:cs="Times New Roman"/>
                <w:sz w:val="24"/>
                <w:szCs w:val="24"/>
              </w:rPr>
              <w:t>：</w:t>
            </w:r>
          </w:p>
        </w:tc>
        <w:tc>
          <w:tcPr>
            <w:tcW w:w="4834" w:type="dxa"/>
            <w:tcBorders>
              <w:top w:val="nil"/>
              <w:left w:val="nil"/>
              <w:bottom w:val="nil"/>
              <w:right w:val="nil"/>
            </w:tcBorders>
          </w:tcPr>
          <w:p w14:paraId="2D0BEC47">
            <w:pPr>
              <w:adjustRightInd w:val="0"/>
              <w:snapToGrid w:val="0"/>
              <w:spacing w:line="360" w:lineRule="auto"/>
              <w:jc w:val="distribute"/>
              <w:rPr>
                <w:rFonts w:ascii="Times New Roman" w:hAnsi="Times New Roman" w:eastAsia="宋体" w:cs="Times New Roman"/>
                <w:sz w:val="24"/>
                <w:szCs w:val="24"/>
              </w:rPr>
            </w:pPr>
            <w:r>
              <w:rPr>
                <w:rFonts w:ascii="Times New Roman" w:hAnsi="Times New Roman" w:eastAsia="宋体" w:cs="Times New Roman"/>
                <w:spacing w:val="25"/>
                <w:sz w:val="24"/>
                <w:szCs w:val="24"/>
              </w:rPr>
              <w:t>安徽安兆工程技术咨询服务有限公</w:t>
            </w:r>
            <w:r>
              <w:rPr>
                <w:rFonts w:ascii="Times New Roman" w:hAnsi="Times New Roman" w:eastAsia="宋体" w:cs="Times New Roman"/>
                <w:sz w:val="24"/>
                <w:szCs w:val="24"/>
              </w:rPr>
              <w:t>司</w:t>
            </w:r>
          </w:p>
        </w:tc>
      </w:tr>
    </w:tbl>
    <w:p w14:paraId="617E8246">
      <w:pPr>
        <w:tabs>
          <w:tab w:val="left" w:pos="1630"/>
        </w:tabs>
        <w:spacing w:line="360" w:lineRule="auto"/>
        <w:jc w:val="center"/>
        <w:rPr>
          <w:rFonts w:ascii="宋体" w:hAnsi="宋体" w:eastAsia="宋体" w:cs="Times New Roman"/>
          <w:sz w:val="24"/>
          <w:szCs w:val="28"/>
          <w:u w:val="single"/>
        </w:rPr>
      </w:pPr>
    </w:p>
    <w:p w14:paraId="5D8939A0">
      <w:pPr>
        <w:tabs>
          <w:tab w:val="left" w:pos="1630"/>
        </w:tabs>
        <w:spacing w:line="360" w:lineRule="auto"/>
        <w:jc w:val="center"/>
        <w:rPr>
          <w:rFonts w:ascii="宋体" w:hAnsi="宋体" w:eastAsia="宋体" w:cs="Times New Roman"/>
          <w:sz w:val="24"/>
          <w:szCs w:val="28"/>
        </w:rPr>
      </w:pPr>
      <w:r>
        <w:rPr>
          <w:rFonts w:hint="eastAsia" w:ascii="宋体" w:hAnsi="宋体" w:eastAsia="宋体" w:cs="Times New Roman"/>
          <w:sz w:val="24"/>
          <w:szCs w:val="28"/>
          <w:u w:val="single"/>
        </w:rPr>
        <w:t xml:space="preserve">  202</w:t>
      </w:r>
      <w:r>
        <w:rPr>
          <w:rFonts w:hint="eastAsia" w:ascii="宋体" w:hAnsi="宋体" w:eastAsia="宋体" w:cs="Times New Roman"/>
          <w:sz w:val="24"/>
          <w:szCs w:val="28"/>
          <w:u w:val="single"/>
          <w:lang w:val="en-US" w:eastAsia="zh-CN"/>
        </w:rPr>
        <w:t>5</w:t>
      </w:r>
      <w:r>
        <w:rPr>
          <w:rFonts w:hint="eastAsia" w:ascii="宋体" w:hAnsi="宋体" w:eastAsia="宋体" w:cs="Times New Roman"/>
          <w:sz w:val="24"/>
          <w:szCs w:val="28"/>
          <w:u w:val="single"/>
        </w:rPr>
        <w:t xml:space="preserve"> </w:t>
      </w:r>
      <w:r>
        <w:rPr>
          <w:rFonts w:hint="eastAsia" w:ascii="宋体" w:hAnsi="宋体" w:eastAsia="宋体" w:cs="Times New Roman"/>
          <w:sz w:val="24"/>
          <w:szCs w:val="28"/>
        </w:rPr>
        <w:t>年</w:t>
      </w:r>
      <w:r>
        <w:rPr>
          <w:rFonts w:hint="eastAsia" w:ascii="宋体" w:hAnsi="宋体" w:eastAsia="宋体" w:cs="Times New Roman"/>
          <w:sz w:val="24"/>
          <w:szCs w:val="28"/>
          <w:u w:val="single"/>
        </w:rPr>
        <w:t xml:space="preserve"> </w:t>
      </w:r>
      <w:r>
        <w:rPr>
          <w:rFonts w:hint="eastAsia" w:ascii="宋体" w:hAnsi="宋体" w:eastAsia="宋体" w:cs="Times New Roman"/>
          <w:sz w:val="24"/>
          <w:szCs w:val="28"/>
          <w:u w:val="single"/>
          <w:lang w:val="en-US" w:eastAsia="zh-CN"/>
        </w:rPr>
        <w:t>6</w:t>
      </w:r>
      <w:r>
        <w:rPr>
          <w:rFonts w:hint="eastAsia" w:ascii="宋体" w:hAnsi="宋体" w:eastAsia="宋体" w:cs="Times New Roman"/>
          <w:sz w:val="24"/>
          <w:szCs w:val="28"/>
          <w:u w:val="single"/>
        </w:rPr>
        <w:t xml:space="preserve"> </w:t>
      </w:r>
      <w:r>
        <w:rPr>
          <w:rFonts w:hint="eastAsia" w:ascii="宋体" w:hAnsi="宋体" w:eastAsia="宋体" w:cs="Times New Roman"/>
          <w:sz w:val="24"/>
          <w:szCs w:val="28"/>
        </w:rPr>
        <w:t>月</w:t>
      </w:r>
    </w:p>
    <w:p w14:paraId="7D9A4952"/>
    <w:p w14:paraId="715B6D8B">
      <w:pPr>
        <w:spacing w:line="500" w:lineRule="exact"/>
        <w:ind w:firstLine="420" w:firstLineChars="200"/>
        <w:rPr>
          <w:rFonts w:eastAsiaTheme="minorEastAsia"/>
        </w:rPr>
      </w:pPr>
    </w:p>
    <w:p w14:paraId="78FB66F0">
      <w:pPr>
        <w:tabs>
          <w:tab w:val="left" w:pos="2410"/>
        </w:tabs>
        <w:autoSpaceDE w:val="0"/>
        <w:autoSpaceDN w:val="0"/>
        <w:adjustRightInd w:val="0"/>
        <w:snapToGrid w:val="0"/>
        <w:spacing w:line="360" w:lineRule="auto"/>
        <w:jc w:val="center"/>
        <w:rPr>
          <w:rFonts w:ascii="宋体" w:hAnsi="宋体" w:eastAsia="宋体"/>
          <w:b/>
          <w:sz w:val="36"/>
        </w:rPr>
      </w:pPr>
      <w:r>
        <w:rPr>
          <w:rFonts w:ascii="宋体" w:hAnsi="宋体" w:eastAsia="宋体"/>
          <w:b/>
          <w:sz w:val="36"/>
        </w:rPr>
        <w:br w:type="page"/>
      </w:r>
    </w:p>
    <w:p w14:paraId="02D9F0D5">
      <w:pPr>
        <w:tabs>
          <w:tab w:val="left" w:pos="2410"/>
        </w:tabs>
        <w:autoSpaceDE w:val="0"/>
        <w:autoSpaceDN w:val="0"/>
        <w:adjustRightInd w:val="0"/>
        <w:snapToGrid w:val="0"/>
        <w:spacing w:line="360" w:lineRule="auto"/>
        <w:jc w:val="center"/>
        <w:rPr>
          <w:rFonts w:ascii="宋体" w:hAnsi="宋体" w:eastAsia="宋体"/>
          <w:b/>
          <w:sz w:val="32"/>
          <w:szCs w:val="32"/>
        </w:rPr>
      </w:pPr>
    </w:p>
    <w:p w14:paraId="6C7A7966">
      <w:pPr>
        <w:tabs>
          <w:tab w:val="left" w:pos="2410"/>
        </w:tabs>
        <w:autoSpaceDE w:val="0"/>
        <w:autoSpaceDN w:val="0"/>
        <w:adjustRightInd w:val="0"/>
        <w:snapToGrid w:val="0"/>
        <w:spacing w:line="360" w:lineRule="auto"/>
        <w:jc w:val="center"/>
        <w:rPr>
          <w:rFonts w:ascii="宋体" w:hAnsi="宋体" w:eastAsia="宋体"/>
          <w:b/>
          <w:sz w:val="32"/>
          <w:szCs w:val="32"/>
        </w:rPr>
      </w:pPr>
      <w:r>
        <w:rPr>
          <w:rFonts w:hint="eastAsia" w:ascii="宋体" w:hAnsi="宋体" w:eastAsia="宋体"/>
          <w:b/>
          <w:sz w:val="32"/>
          <w:szCs w:val="32"/>
        </w:rPr>
        <w:t>目  录</w:t>
      </w:r>
    </w:p>
    <w:p w14:paraId="03184790">
      <w:pPr>
        <w:pStyle w:val="19"/>
        <w:tabs>
          <w:tab w:val="right" w:leader="dot" w:pos="8279"/>
        </w:tabs>
      </w:pPr>
      <w:r>
        <w:rPr>
          <w:rFonts w:asciiTheme="minorEastAsia" w:hAnsiTheme="minorEastAsia"/>
          <w:b/>
          <w:sz w:val="24"/>
          <w:szCs w:val="24"/>
        </w:rPr>
        <w:fldChar w:fldCharType="begin"/>
      </w:r>
      <w:r>
        <w:rPr>
          <w:rFonts w:asciiTheme="minorEastAsia" w:hAnsiTheme="minorEastAsia"/>
          <w:b/>
          <w:sz w:val="24"/>
          <w:szCs w:val="24"/>
        </w:rPr>
        <w:instrText xml:space="preserve"> </w:instrText>
      </w:r>
      <w:r>
        <w:rPr>
          <w:rFonts w:hint="eastAsia" w:asciiTheme="minorEastAsia" w:hAnsiTheme="minorEastAsia"/>
          <w:b/>
          <w:sz w:val="24"/>
          <w:szCs w:val="24"/>
        </w:rPr>
        <w:instrText xml:space="preserve">TOC \o "1-2" \h \z \u</w:instrText>
      </w:r>
      <w:r>
        <w:rPr>
          <w:rFonts w:asciiTheme="minorEastAsia" w:hAnsiTheme="minorEastAsia"/>
          <w:b/>
          <w:sz w:val="24"/>
          <w:szCs w:val="24"/>
        </w:rPr>
        <w:instrText xml:space="preserve"> </w:instrText>
      </w:r>
      <w:r>
        <w:rPr>
          <w:rFonts w:asciiTheme="minorEastAsia" w:hAnsiTheme="minorEastAsia"/>
          <w:b/>
          <w:sz w:val="24"/>
          <w:szCs w:val="24"/>
        </w:rPr>
        <w:fldChar w:fldCharType="separate"/>
      </w:r>
      <w:r>
        <w:fldChar w:fldCharType="begin"/>
      </w:r>
      <w:r>
        <w:instrText xml:space="preserve"> HYPERLINK \l "_Toc21678" </w:instrText>
      </w:r>
      <w:r>
        <w:fldChar w:fldCharType="separate"/>
      </w:r>
      <w:r>
        <w:rPr>
          <w:rFonts w:hint="eastAsia" w:asciiTheme="minorEastAsia" w:hAnsiTheme="minorEastAsia"/>
        </w:rPr>
        <w:t xml:space="preserve">第一章 </w:t>
      </w:r>
      <w:r>
        <w:rPr>
          <w:rFonts w:asciiTheme="minorEastAsia" w:hAnsiTheme="minorEastAsia"/>
        </w:rPr>
        <w:t xml:space="preserve"> </w:t>
      </w:r>
      <w:r>
        <w:rPr>
          <w:rFonts w:hint="eastAsia" w:asciiTheme="minorEastAsia" w:hAnsiTheme="minorEastAsia"/>
        </w:rPr>
        <w:t>竞争性磋商公告</w:t>
      </w:r>
      <w:r>
        <w:tab/>
      </w:r>
      <w:r>
        <w:fldChar w:fldCharType="begin"/>
      </w:r>
      <w:r>
        <w:instrText xml:space="preserve"> PAGEREF _Toc21678 \h </w:instrText>
      </w:r>
      <w:r>
        <w:fldChar w:fldCharType="separate"/>
      </w:r>
      <w:r>
        <w:t>1</w:t>
      </w:r>
      <w:r>
        <w:fldChar w:fldCharType="end"/>
      </w:r>
      <w:r>
        <w:fldChar w:fldCharType="end"/>
      </w:r>
    </w:p>
    <w:p w14:paraId="13CBA23E">
      <w:pPr>
        <w:pStyle w:val="19"/>
        <w:tabs>
          <w:tab w:val="right" w:leader="dot" w:pos="8279"/>
        </w:tabs>
      </w:pPr>
      <w:r>
        <w:fldChar w:fldCharType="begin"/>
      </w:r>
      <w:r>
        <w:instrText xml:space="preserve"> HYPERLINK \l "_Toc6494" </w:instrText>
      </w:r>
      <w:r>
        <w:fldChar w:fldCharType="separate"/>
      </w:r>
      <w:r>
        <w:rPr>
          <w:rFonts w:hint="eastAsia" w:asciiTheme="minorEastAsia" w:hAnsiTheme="minorEastAsia"/>
        </w:rPr>
        <w:t>第二章</w:t>
      </w:r>
      <w:r>
        <w:rPr>
          <w:rFonts w:asciiTheme="minorEastAsia" w:hAnsiTheme="minorEastAsia"/>
        </w:rPr>
        <w:t xml:space="preserve"> </w:t>
      </w:r>
      <w:r>
        <w:rPr>
          <w:rFonts w:hint="eastAsia" w:asciiTheme="minorEastAsia" w:hAnsiTheme="minorEastAsia"/>
        </w:rPr>
        <w:t xml:space="preserve"> 供应商</w:t>
      </w:r>
      <w:r>
        <w:rPr>
          <w:rFonts w:asciiTheme="minorEastAsia" w:hAnsiTheme="minorEastAsia"/>
        </w:rPr>
        <w:t>须知</w:t>
      </w:r>
      <w:r>
        <w:tab/>
      </w:r>
      <w:r>
        <w:fldChar w:fldCharType="begin"/>
      </w:r>
      <w:r>
        <w:instrText xml:space="preserve"> PAGEREF _Toc6494 \h </w:instrText>
      </w:r>
      <w:r>
        <w:fldChar w:fldCharType="separate"/>
      </w:r>
      <w:r>
        <w:t>3</w:t>
      </w:r>
      <w:r>
        <w:fldChar w:fldCharType="end"/>
      </w:r>
      <w:r>
        <w:fldChar w:fldCharType="end"/>
      </w:r>
    </w:p>
    <w:p w14:paraId="6A247D82">
      <w:pPr>
        <w:pStyle w:val="19"/>
        <w:tabs>
          <w:tab w:val="right" w:leader="dot" w:pos="8279"/>
        </w:tabs>
      </w:pPr>
      <w:r>
        <w:fldChar w:fldCharType="begin"/>
      </w:r>
      <w:r>
        <w:instrText xml:space="preserve"> HYPERLINK \l "_Toc16022" </w:instrText>
      </w:r>
      <w:r>
        <w:fldChar w:fldCharType="separate"/>
      </w:r>
      <w:r>
        <w:rPr>
          <w:rFonts w:hint="eastAsia" w:asciiTheme="minorEastAsia" w:hAnsiTheme="minorEastAsia"/>
        </w:rPr>
        <w:t>第三章  采购需求</w:t>
      </w:r>
      <w:r>
        <w:tab/>
      </w:r>
      <w:r>
        <w:fldChar w:fldCharType="begin"/>
      </w:r>
      <w:r>
        <w:instrText xml:space="preserve"> PAGEREF _Toc16022 \h </w:instrText>
      </w:r>
      <w:r>
        <w:fldChar w:fldCharType="separate"/>
      </w:r>
      <w:r>
        <w:t>20</w:t>
      </w:r>
      <w:r>
        <w:fldChar w:fldCharType="end"/>
      </w:r>
      <w:r>
        <w:fldChar w:fldCharType="end"/>
      </w:r>
    </w:p>
    <w:p w14:paraId="24F90B76">
      <w:pPr>
        <w:pStyle w:val="19"/>
        <w:tabs>
          <w:tab w:val="right" w:leader="dot" w:pos="8279"/>
        </w:tabs>
      </w:pPr>
      <w:r>
        <w:fldChar w:fldCharType="begin"/>
      </w:r>
      <w:r>
        <w:instrText xml:space="preserve"> HYPERLINK \l "_Toc6085" </w:instrText>
      </w:r>
      <w:r>
        <w:fldChar w:fldCharType="separate"/>
      </w:r>
      <w:r>
        <w:rPr>
          <w:rFonts w:hint="eastAsia" w:asciiTheme="minorEastAsia" w:hAnsiTheme="minorEastAsia"/>
        </w:rPr>
        <w:t>第四章  评审方法和标准</w:t>
      </w:r>
      <w:r>
        <w:tab/>
      </w:r>
      <w:r>
        <w:fldChar w:fldCharType="begin"/>
      </w:r>
      <w:r>
        <w:instrText xml:space="preserve"> PAGEREF _Toc6085 \h </w:instrText>
      </w:r>
      <w:r>
        <w:fldChar w:fldCharType="separate"/>
      </w:r>
      <w:r>
        <w:t>2</w:t>
      </w:r>
      <w:r>
        <w:rPr>
          <w:rFonts w:hint="eastAsia"/>
          <w:lang w:val="en-US" w:eastAsia="zh-CN"/>
        </w:rPr>
        <w:t>6</w:t>
      </w:r>
      <w:r>
        <w:fldChar w:fldCharType="end"/>
      </w:r>
      <w:r>
        <w:fldChar w:fldCharType="end"/>
      </w:r>
    </w:p>
    <w:p w14:paraId="6BFFDF9E">
      <w:pPr>
        <w:pStyle w:val="19"/>
        <w:tabs>
          <w:tab w:val="right" w:leader="dot" w:pos="8279"/>
        </w:tabs>
      </w:pPr>
      <w:r>
        <w:fldChar w:fldCharType="begin"/>
      </w:r>
      <w:r>
        <w:instrText xml:space="preserve"> HYPERLINK \l "_Toc2472" </w:instrText>
      </w:r>
      <w:r>
        <w:fldChar w:fldCharType="separate"/>
      </w:r>
      <w:r>
        <w:rPr>
          <w:rFonts w:hint="eastAsia" w:asciiTheme="minorEastAsia" w:hAnsiTheme="minorEastAsia"/>
        </w:rPr>
        <w:t xml:space="preserve">第五章  </w:t>
      </w:r>
      <w:r>
        <w:rPr>
          <w:rFonts w:asciiTheme="minorEastAsia" w:hAnsiTheme="minorEastAsia"/>
        </w:rPr>
        <w:t>采购合同</w:t>
      </w:r>
      <w:r>
        <w:tab/>
      </w:r>
      <w:r>
        <w:fldChar w:fldCharType="begin"/>
      </w:r>
      <w:r>
        <w:instrText xml:space="preserve"> PAGEREF _Toc2472 \h </w:instrText>
      </w:r>
      <w:r>
        <w:fldChar w:fldCharType="separate"/>
      </w:r>
      <w:r>
        <w:t>31</w:t>
      </w:r>
      <w:r>
        <w:fldChar w:fldCharType="end"/>
      </w:r>
      <w:r>
        <w:fldChar w:fldCharType="end"/>
      </w:r>
    </w:p>
    <w:p w14:paraId="660B87EA">
      <w:pPr>
        <w:pStyle w:val="19"/>
        <w:tabs>
          <w:tab w:val="right" w:leader="dot" w:pos="8279"/>
        </w:tabs>
        <w:rPr>
          <w:rFonts w:hint="eastAsia" w:eastAsiaTheme="minorEastAsia"/>
          <w:lang w:val="en-US" w:eastAsia="zh-CN"/>
        </w:rPr>
      </w:pPr>
      <w:r>
        <w:fldChar w:fldCharType="begin"/>
      </w:r>
      <w:r>
        <w:instrText xml:space="preserve"> HYPERLINK \l "_Toc29662" </w:instrText>
      </w:r>
      <w:r>
        <w:fldChar w:fldCharType="separate"/>
      </w:r>
      <w:r>
        <w:rPr>
          <w:rFonts w:hint="eastAsia" w:asciiTheme="minorEastAsia" w:hAnsiTheme="minorEastAsia"/>
        </w:rPr>
        <w:t>第六章  响应文件格式</w:t>
      </w:r>
      <w:r>
        <w:tab/>
      </w:r>
      <w:r>
        <w:rPr>
          <w:rFonts w:hint="eastAsia"/>
          <w:lang w:val="en-US" w:eastAsia="zh-CN"/>
        </w:rPr>
        <w:t>3</w:t>
      </w:r>
      <w:r>
        <w:fldChar w:fldCharType="end"/>
      </w:r>
      <w:r>
        <w:rPr>
          <w:rFonts w:hint="eastAsia"/>
          <w:lang w:val="en-US" w:eastAsia="zh-CN"/>
        </w:rPr>
        <w:t>6</w:t>
      </w:r>
    </w:p>
    <w:p w14:paraId="0CCE4769">
      <w:pPr>
        <w:pStyle w:val="19"/>
        <w:tabs>
          <w:tab w:val="right" w:leader="dot" w:pos="8279"/>
        </w:tabs>
        <w:rPr>
          <w:rFonts w:hint="eastAsia" w:eastAsiaTheme="minorEastAsia"/>
          <w:lang w:val="en-US" w:eastAsia="zh-CN"/>
        </w:rPr>
      </w:pPr>
      <w:r>
        <w:fldChar w:fldCharType="begin"/>
      </w:r>
      <w:r>
        <w:instrText xml:space="preserve"> HYPERLINK \l "_Toc3341" </w:instrText>
      </w:r>
      <w:r>
        <w:fldChar w:fldCharType="separate"/>
      </w:r>
      <w:r>
        <w:rPr>
          <w:rFonts w:hint="eastAsia" w:asciiTheme="minorEastAsia" w:hAnsiTheme="minorEastAsia"/>
        </w:rPr>
        <w:t>第七章  最后承诺报价表格式</w:t>
      </w:r>
      <w:r>
        <w:tab/>
      </w:r>
      <w:r>
        <w:rPr>
          <w:rFonts w:hint="eastAsia"/>
          <w:lang w:val="en-US" w:eastAsia="zh-CN"/>
        </w:rPr>
        <w:t>4</w:t>
      </w:r>
      <w:r>
        <w:fldChar w:fldCharType="end"/>
      </w:r>
      <w:r>
        <w:rPr>
          <w:rFonts w:hint="eastAsia"/>
          <w:lang w:val="en-US" w:eastAsia="zh-CN"/>
        </w:rPr>
        <w:t>7</w:t>
      </w:r>
    </w:p>
    <w:p w14:paraId="7FDC0A98">
      <w:pPr>
        <w:pStyle w:val="19"/>
        <w:tabs>
          <w:tab w:val="right" w:leader="dot" w:pos="8296"/>
        </w:tabs>
        <w:ind w:left="0"/>
        <w:rPr>
          <w:rFonts w:asciiTheme="minorEastAsia" w:hAnsiTheme="minorEastAsia"/>
          <w:b/>
          <w:sz w:val="32"/>
        </w:rPr>
      </w:pPr>
      <w:r>
        <w:rPr>
          <w:rFonts w:asciiTheme="minorEastAsia" w:hAnsiTheme="minorEastAsia"/>
          <w:szCs w:val="24"/>
        </w:rPr>
        <w:fldChar w:fldCharType="end"/>
      </w:r>
    </w:p>
    <w:p w14:paraId="0CFEE6D8"/>
    <w:p w14:paraId="07115214">
      <w:pPr>
        <w:spacing w:line="360" w:lineRule="auto"/>
        <w:jc w:val="center"/>
        <w:outlineLvl w:val="1"/>
        <w:rPr>
          <w:rFonts w:asciiTheme="minorEastAsia" w:hAnsiTheme="minorEastAsia" w:eastAsiaTheme="minorEastAsia"/>
          <w:b/>
          <w:sz w:val="28"/>
        </w:rPr>
        <w:sectPr>
          <w:footerReference r:id="rId3" w:type="default"/>
          <w:pgSz w:w="11907" w:h="16840"/>
          <w:pgMar w:top="1474" w:right="1814" w:bottom="1474" w:left="1814" w:header="851" w:footer="992" w:gutter="0"/>
          <w:cols w:space="720" w:num="1"/>
          <w:docGrid w:linePitch="462" w:charSpace="0"/>
        </w:sectPr>
      </w:pPr>
    </w:p>
    <w:p w14:paraId="41A7037E">
      <w:pPr>
        <w:spacing w:line="360" w:lineRule="auto"/>
        <w:jc w:val="center"/>
        <w:outlineLvl w:val="1"/>
        <w:rPr>
          <w:rFonts w:asciiTheme="minorEastAsia" w:hAnsiTheme="minorEastAsia" w:eastAsiaTheme="minorEastAsia"/>
          <w:b/>
          <w:sz w:val="28"/>
        </w:rPr>
      </w:pPr>
      <w:bookmarkStart w:id="0" w:name="_Toc21678"/>
      <w:r>
        <w:rPr>
          <w:rFonts w:hint="eastAsia" w:asciiTheme="minorEastAsia" w:hAnsiTheme="minorEastAsia" w:eastAsiaTheme="minorEastAsia"/>
          <w:b/>
          <w:sz w:val="28"/>
        </w:rPr>
        <w:t xml:space="preserve">第一章 </w:t>
      </w:r>
      <w:r>
        <w:rPr>
          <w:rFonts w:asciiTheme="minorEastAsia" w:hAnsiTheme="minorEastAsia" w:eastAsiaTheme="minorEastAsia"/>
          <w:b/>
          <w:sz w:val="28"/>
        </w:rPr>
        <w:t xml:space="preserve"> </w:t>
      </w:r>
      <w:r>
        <w:rPr>
          <w:rFonts w:hint="eastAsia" w:asciiTheme="minorEastAsia" w:hAnsiTheme="minorEastAsia" w:eastAsiaTheme="minorEastAsia"/>
          <w:b/>
          <w:sz w:val="28"/>
        </w:rPr>
        <w:t>竞争性磋商公告</w:t>
      </w:r>
      <w:bookmarkEnd w:id="0"/>
    </w:p>
    <w:p w14:paraId="4905D60B">
      <w:pPr>
        <w:spacing w:line="360" w:lineRule="auto"/>
        <w:jc w:val="center"/>
        <w:rPr>
          <w:rFonts w:ascii="宋体" w:hAnsi="宋体" w:eastAsia="宋体" w:cs="宋体"/>
          <w:b/>
          <w:sz w:val="24"/>
          <w:szCs w:val="24"/>
        </w:rPr>
      </w:pPr>
      <w:r>
        <w:rPr>
          <w:rFonts w:hint="eastAsia" w:ascii="宋体" w:hAnsi="宋体" w:eastAsia="宋体" w:cs="宋体"/>
          <w:b/>
          <w:sz w:val="44"/>
          <w:szCs w:val="44"/>
          <w:lang w:eastAsia="zh-CN"/>
        </w:rPr>
        <w:t>淠史杭水利文化展示中心项目第三方检测（</w:t>
      </w:r>
      <w:r>
        <w:rPr>
          <w:rFonts w:hint="eastAsia" w:ascii="宋体" w:hAnsi="宋体" w:eastAsia="宋体" w:cs="宋体"/>
          <w:b/>
          <w:sz w:val="44"/>
          <w:szCs w:val="44"/>
          <w:lang w:val="en-US" w:eastAsia="zh-CN"/>
        </w:rPr>
        <w:t>二次</w:t>
      </w:r>
      <w:r>
        <w:rPr>
          <w:rFonts w:hint="eastAsia" w:ascii="宋体" w:hAnsi="宋体" w:eastAsia="宋体" w:cs="宋体"/>
          <w:b/>
          <w:sz w:val="44"/>
          <w:szCs w:val="44"/>
          <w:lang w:eastAsia="zh-CN"/>
        </w:rPr>
        <w:t>）</w:t>
      </w:r>
      <w:r>
        <w:rPr>
          <w:rFonts w:hint="eastAsia" w:ascii="宋体" w:hAnsi="宋体" w:eastAsia="宋体" w:cs="宋体"/>
          <w:b/>
          <w:sz w:val="44"/>
          <w:szCs w:val="44"/>
        </w:rPr>
        <w:t>竞争性磋商公告</w:t>
      </w:r>
    </w:p>
    <w:p w14:paraId="75F4C503">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一、项目基本情况</w:t>
      </w:r>
    </w:p>
    <w:p w14:paraId="5B748754">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项目名称：</w:t>
      </w:r>
      <w:r>
        <w:rPr>
          <w:rFonts w:hint="eastAsia" w:ascii="仿宋" w:hAnsi="仿宋" w:eastAsia="仿宋" w:cs="仿宋"/>
          <w:sz w:val="28"/>
          <w:szCs w:val="28"/>
          <w:lang w:eastAsia="zh-CN"/>
        </w:rPr>
        <w:t>淠史杭水利文化展示中心项目第三方检测（二次）</w:t>
      </w:r>
    </w:p>
    <w:p w14:paraId="087611ED">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采购方式：竞争性磋商</w:t>
      </w:r>
    </w:p>
    <w:p w14:paraId="32ED1C15">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预算金额：</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万元</w:t>
      </w:r>
    </w:p>
    <w:p w14:paraId="12A389FA">
      <w:pPr>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采购需求：项目位于六安市金安区，地块东至水利局办公大楼，西至天河东路，南至公共绿地，北至皖西大道，占地面积约2.2公顷，总建筑面积4530平方米，总立面改造面积6515平方米。</w:t>
      </w:r>
      <w:r>
        <w:rPr>
          <w:rFonts w:hint="eastAsia" w:ascii="仿宋" w:hAnsi="仿宋" w:eastAsia="仿宋" w:cs="仿宋"/>
          <w:sz w:val="28"/>
          <w:szCs w:val="28"/>
          <w:lang w:val="en-US" w:eastAsia="zh-CN"/>
        </w:rPr>
        <w:t>本项目为淠史杭水利文化展示中心项目第三方检测，具体详见采购文件。</w:t>
      </w:r>
    </w:p>
    <w:p w14:paraId="251A998F">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合同履行期限：施工工期120天。检测服务期自检测合同签订之日起至全部工程竣工验收合格、移交完成止。</w:t>
      </w:r>
    </w:p>
    <w:p w14:paraId="2796D571">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本项目不接受联合体。</w:t>
      </w:r>
    </w:p>
    <w:p w14:paraId="0873B8B3">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二、申请人的资格要求：</w:t>
      </w:r>
    </w:p>
    <w:p w14:paraId="4BC7C24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14:paraId="18A18EA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2.本项目的特定资格要求：</w:t>
      </w:r>
    </w:p>
    <w:p w14:paraId="4DBE80A4">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（1）具有建设主管部门颁发的下列资质之一：</w:t>
      </w:r>
    </w:p>
    <w:p w14:paraId="1C8D8108">
      <w:pPr>
        <w:spacing w:line="360" w:lineRule="auto"/>
        <w:ind w:firstLine="560" w:firstLineChars="200"/>
        <w:rPr>
          <w:rFonts w:hint="eastAsia" w:ascii="仿宋" w:hAnsi="仿宋" w:eastAsia="仿宋" w:cs="仿宋"/>
          <w:sz w:val="28"/>
          <w:szCs w:val="28"/>
          <w:lang w:val="en-US" w:eastAsia="zh-CN"/>
        </w:rPr>
      </w:pPr>
      <w:r>
        <w:rPr>
          <w:rFonts w:ascii="仿宋" w:hAnsi="仿宋" w:eastAsia="仿宋" w:cs="仿宋"/>
          <w:i w:val="0"/>
          <w:iCs w:val="0"/>
          <w:caps w:val="0"/>
          <w:color w:val="333333"/>
          <w:spacing w:val="0"/>
          <w:sz w:val="28"/>
          <w:szCs w:val="28"/>
          <w:shd w:val="clear" w:fill="FFFFFF"/>
        </w:rPr>
        <w:t>①</w:t>
      </w:r>
      <w:r>
        <w:rPr>
          <w:rFonts w:hint="eastAsia" w:ascii="仿宋" w:hAnsi="仿宋" w:eastAsia="仿宋" w:cs="仿宋"/>
          <w:sz w:val="28"/>
          <w:szCs w:val="28"/>
          <w:lang w:val="en-US" w:eastAsia="zh-CN"/>
        </w:rPr>
        <w:t>建设工程质量检测机构综合资质证书；</w:t>
      </w:r>
    </w:p>
    <w:p w14:paraId="501EA6F3">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②建设工程质量检测机构专项资质证书（专项资质须同时包括：建筑材料及构配件、主体结构及装饰装修、道路工程）。若供应商具有建设工程质量检测机构专项资质证书，证书能体现建筑材料及构配件、主体结构及装饰装修,但体现不了“道路工程”专项资质，供应商可同时提供有效的检验检测机构资质认定证书和检验检测机构资质认定证书附表，且该附表批准检验检测的能力范围中含有与道路工程相关的厚度、压实度、弯沉内容的，予以认可。</w:t>
      </w:r>
    </w:p>
    <w:p w14:paraId="502F138D">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（2）具有有效的检验检测机构资质认定证书。</w:t>
      </w:r>
    </w:p>
    <w:p w14:paraId="2ED21B2E">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（3）项目负责人要求：须具备试验检测师证书或检测人员岗位资格证书。</w:t>
      </w:r>
    </w:p>
    <w:p w14:paraId="1D2ABFA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.供应商不得存在下列情形之一：</w:t>
      </w:r>
    </w:p>
    <w:p w14:paraId="46E6909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（1）供应商被人民法院列入失信被执行人的；</w:t>
      </w:r>
    </w:p>
    <w:p w14:paraId="74EBDF1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（2）供应商被市场监督管理部门列入严重违法失信企业名单的；</w:t>
      </w:r>
    </w:p>
    <w:p w14:paraId="7DE9DA1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（3）供应商被税务部门列入重大税收违法案件当事人名单；</w:t>
      </w:r>
    </w:p>
    <w:p w14:paraId="5CC619E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（4）供应商被政府采购监管部门列入政府采购严重违法失信行为记录名单。</w:t>
      </w:r>
    </w:p>
    <w:p w14:paraId="77146F39">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三、获取采购文件</w:t>
      </w:r>
    </w:p>
    <w:p w14:paraId="05BDFD0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1.时间：202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12</w:t>
      </w:r>
      <w:bookmarkStart w:id="32" w:name="_GoBack"/>
      <w:bookmarkEnd w:id="32"/>
      <w:r>
        <w:rPr>
          <w:rFonts w:hint="eastAsia" w:ascii="仿宋" w:hAnsi="仿宋" w:eastAsia="仿宋" w:cs="仿宋"/>
          <w:sz w:val="28"/>
          <w:szCs w:val="28"/>
          <w:highlight w:val="none"/>
        </w:rPr>
        <w:t>日至202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23</w:t>
      </w:r>
      <w:r>
        <w:rPr>
          <w:rFonts w:hint="eastAsia" w:ascii="仿宋" w:hAnsi="仿宋" w:eastAsia="仿宋" w:cs="仿宋"/>
          <w:sz w:val="28"/>
          <w:szCs w:val="28"/>
          <w:highlight w:val="none"/>
        </w:rPr>
        <w:t>日</w:t>
      </w:r>
    </w:p>
    <w:p w14:paraId="6EDD4A8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2.地点：六安市水利局门户网站。</w:t>
      </w:r>
    </w:p>
    <w:p w14:paraId="78A6B65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3.方式：供应商须</w:t>
      </w:r>
      <w:r>
        <w:rPr>
          <w:rFonts w:hint="eastAsia" w:ascii="仿宋" w:hAnsi="仿宋" w:eastAsia="仿宋" w:cs="仿宋"/>
          <w:sz w:val="28"/>
          <w:szCs w:val="28"/>
          <w:lang w:val="en-US" w:eastAsia="zh-CN"/>
        </w:rPr>
        <w:t>从</w:t>
      </w:r>
      <w:r>
        <w:rPr>
          <w:rFonts w:hint="eastAsia" w:ascii="仿宋" w:hAnsi="仿宋" w:eastAsia="仿宋" w:cs="仿宋"/>
          <w:sz w:val="28"/>
          <w:szCs w:val="28"/>
        </w:rPr>
        <w:t>六安市水利局门户网站</w:t>
      </w:r>
      <w:r>
        <w:rPr>
          <w:rFonts w:hint="eastAsia" w:ascii="仿宋" w:hAnsi="仿宋" w:eastAsia="仿宋" w:cs="仿宋"/>
          <w:sz w:val="28"/>
          <w:szCs w:val="28"/>
          <w:lang w:eastAsia="zh-CN"/>
        </w:rPr>
        <w:t>（</w:t>
      </w:r>
      <w:r>
        <w:rPr>
          <w:rFonts w:hint="eastAsia" w:ascii="仿宋" w:hAnsi="仿宋" w:eastAsia="仿宋" w:cs="仿宋"/>
          <w:sz w:val="28"/>
          <w:szCs w:val="28"/>
        </w:rPr>
        <w:t>网址：http://slj.luan.gov.cn/</w:t>
      </w:r>
      <w:r>
        <w:rPr>
          <w:rFonts w:hint="eastAsia" w:ascii="仿宋" w:hAnsi="仿宋" w:eastAsia="仿宋" w:cs="仿宋"/>
          <w:sz w:val="28"/>
          <w:szCs w:val="28"/>
          <w:lang w:eastAsia="zh-CN"/>
        </w:rPr>
        <w:t>）</w:t>
      </w:r>
      <w:r>
        <w:rPr>
          <w:rFonts w:hint="eastAsia" w:ascii="仿宋" w:hAnsi="仿宋" w:eastAsia="仿宋" w:cs="仿宋"/>
          <w:sz w:val="28"/>
          <w:szCs w:val="28"/>
        </w:rPr>
        <w:t>查阅竞争性磋商文件。</w:t>
      </w:r>
    </w:p>
    <w:p w14:paraId="3322890A">
      <w:pPr>
        <w:spacing w:line="360" w:lineRule="auto"/>
        <w:ind w:firstLine="560" w:firstLineChars="200"/>
        <w:rPr>
          <w:rFonts w:ascii="仿宋" w:hAnsi="仿宋" w:eastAsia="仿宋" w:cs="仿宋"/>
          <w:b/>
          <w:i/>
          <w:sz w:val="28"/>
          <w:szCs w:val="28"/>
        </w:rPr>
      </w:pPr>
      <w:r>
        <w:rPr>
          <w:rFonts w:hint="eastAsia" w:ascii="仿宋" w:hAnsi="仿宋" w:eastAsia="仿宋" w:cs="仿宋"/>
          <w:sz w:val="28"/>
          <w:szCs w:val="28"/>
        </w:rPr>
        <w:t>4.售价：竞争性磋商文件费用</w:t>
      </w:r>
      <w:r>
        <w:rPr>
          <w:rFonts w:hint="eastAsia" w:ascii="仿宋" w:hAnsi="仿宋" w:eastAsia="仿宋" w:cs="仿宋"/>
          <w:sz w:val="28"/>
          <w:szCs w:val="28"/>
          <w:lang w:val="en-US" w:eastAsia="zh-CN"/>
        </w:rPr>
        <w:t>0</w:t>
      </w:r>
      <w:r>
        <w:rPr>
          <w:rFonts w:hint="eastAsia" w:ascii="仿宋" w:hAnsi="仿宋" w:eastAsia="仿宋" w:cs="仿宋"/>
          <w:sz w:val="28"/>
          <w:szCs w:val="28"/>
        </w:rPr>
        <w:t>元。</w:t>
      </w:r>
    </w:p>
    <w:p w14:paraId="31CFC864">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四、响应文件提交</w:t>
      </w:r>
    </w:p>
    <w:p w14:paraId="1355523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1.截止时间：202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23</w:t>
      </w:r>
      <w:r>
        <w:rPr>
          <w:rFonts w:hint="eastAsia" w:ascii="仿宋" w:hAnsi="仿宋" w:eastAsia="仿宋" w:cs="仿宋"/>
          <w:sz w:val="28"/>
          <w:szCs w:val="28"/>
          <w:highlight w:val="none"/>
        </w:rPr>
        <w:t>日10</w:t>
      </w:r>
      <w:r>
        <w:rPr>
          <w:rFonts w:hint="eastAsia" w:ascii="仿宋" w:hAnsi="仿宋" w:eastAsia="仿宋" w:cs="仿宋"/>
          <w:sz w:val="28"/>
          <w:szCs w:val="28"/>
        </w:rPr>
        <w:t>点00分（北京时间）</w:t>
      </w:r>
    </w:p>
    <w:p w14:paraId="1060D98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2.地点：六安市水利局7楼会议室（六安市金安区皖西大道1513号）。</w:t>
      </w:r>
    </w:p>
    <w:p w14:paraId="3FFA7C18">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五、响应文件开启</w:t>
      </w:r>
    </w:p>
    <w:p w14:paraId="2E7A6A9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1.时间：202</w:t>
      </w:r>
      <w:r>
        <w:rPr>
          <w:rFonts w:hint="eastAsia" w:ascii="仿宋" w:hAnsi="仿宋" w:eastAsia="仿宋" w:cs="仿宋"/>
          <w:sz w:val="28"/>
          <w:szCs w:val="28"/>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23</w:t>
      </w:r>
      <w:r>
        <w:rPr>
          <w:rFonts w:hint="eastAsia" w:ascii="仿宋" w:hAnsi="仿宋" w:eastAsia="仿宋" w:cs="仿宋"/>
          <w:sz w:val="28"/>
          <w:szCs w:val="28"/>
          <w:highlight w:val="none"/>
        </w:rPr>
        <w:t>日10</w:t>
      </w:r>
      <w:r>
        <w:rPr>
          <w:rFonts w:hint="eastAsia" w:ascii="仿宋" w:hAnsi="仿宋" w:eastAsia="仿宋" w:cs="仿宋"/>
          <w:sz w:val="28"/>
          <w:szCs w:val="28"/>
        </w:rPr>
        <w:t>点00分（北京时间）</w:t>
      </w:r>
    </w:p>
    <w:p w14:paraId="16C486D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2.地点：六安市水利局7楼会议室（六安市金安区皖西大道1513号）。</w:t>
      </w:r>
    </w:p>
    <w:p w14:paraId="3F2B0E3E">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六、公告期限</w:t>
      </w:r>
    </w:p>
    <w:p w14:paraId="5F91743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自本公告发布之日起3个工作日。</w:t>
      </w:r>
    </w:p>
    <w:p w14:paraId="673D4D52">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七、其他补充事宜</w:t>
      </w:r>
    </w:p>
    <w:p w14:paraId="31412E4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本次竞争性磋商公告在六安市水利局门户网站发布。</w:t>
      </w:r>
    </w:p>
    <w:p w14:paraId="15DB86F5">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八、凡对本次采购提出询问，请按以下方式联系。</w:t>
      </w:r>
    </w:p>
    <w:p w14:paraId="547C0519">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1.采购人信息</w:t>
      </w:r>
    </w:p>
    <w:p w14:paraId="558F06CC">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名 称：六安市水利局　　　</w:t>
      </w:r>
    </w:p>
    <w:p w14:paraId="5A955FA7">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地址：六安市金安区皖西大道1513号　　　</w:t>
      </w:r>
    </w:p>
    <w:p w14:paraId="68C74B01">
      <w:pPr>
        <w:spacing w:line="360" w:lineRule="auto"/>
        <w:ind w:firstLine="560" w:firstLineChars="200"/>
        <w:jc w:val="left"/>
        <w:rPr>
          <w:rFonts w:ascii="仿宋" w:hAnsi="仿宋" w:eastAsia="仿宋" w:cs="仿宋"/>
          <w:color w:val="auto"/>
          <w:sz w:val="28"/>
          <w:szCs w:val="28"/>
          <w:u w:val="single"/>
        </w:rPr>
      </w:pPr>
      <w:r>
        <w:rPr>
          <w:rFonts w:hint="eastAsia" w:ascii="仿宋" w:hAnsi="仿宋" w:eastAsia="仿宋" w:cs="仿宋"/>
          <w:sz w:val="28"/>
          <w:szCs w:val="28"/>
        </w:rPr>
        <w:t>联系方式：</w:t>
      </w:r>
      <w:bookmarkStart w:id="1" w:name="_Toc28359086"/>
      <w:bookmarkStart w:id="2" w:name="_Toc28359009"/>
      <w:r>
        <w:rPr>
          <w:rFonts w:hint="eastAsia" w:ascii="仿宋" w:hAnsi="仿宋" w:eastAsia="仿宋" w:cs="仿宋"/>
          <w:sz w:val="28"/>
          <w:szCs w:val="28"/>
        </w:rPr>
        <w:t>0564-3339117</w:t>
      </w:r>
    </w:p>
    <w:p w14:paraId="2ED4001A">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2.采购代理机构信息</w:t>
      </w:r>
      <w:bookmarkEnd w:id="1"/>
      <w:bookmarkEnd w:id="2"/>
      <w:r>
        <w:rPr>
          <w:rFonts w:hint="eastAsia" w:ascii="仿宋" w:hAnsi="仿宋" w:eastAsia="仿宋" w:cs="仿宋"/>
          <w:sz w:val="28"/>
          <w:szCs w:val="28"/>
        </w:rPr>
        <w:t xml:space="preserve"> </w:t>
      </w:r>
    </w:p>
    <w:p w14:paraId="53F7CBD2">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名 称：安徽安兆工程技术咨询服务有限公司</w:t>
      </w:r>
    </w:p>
    <w:p w14:paraId="724E7A8F">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地　址：蚌埠市凤阳西路41号</w:t>
      </w:r>
    </w:p>
    <w:p w14:paraId="630301C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联系方式：</w:t>
      </w:r>
      <w:bookmarkStart w:id="3" w:name="_Toc28359087"/>
      <w:bookmarkStart w:id="4" w:name="_Toc28359010"/>
      <w:r>
        <w:rPr>
          <w:rFonts w:hint="eastAsia" w:ascii="仿宋" w:hAnsi="仿宋" w:eastAsia="仿宋" w:cs="仿宋"/>
          <w:sz w:val="28"/>
          <w:szCs w:val="28"/>
        </w:rPr>
        <w:t>0552-3092287</w:t>
      </w:r>
    </w:p>
    <w:p w14:paraId="183E31E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3.项目联系方式</w:t>
      </w:r>
      <w:bookmarkEnd w:id="3"/>
      <w:bookmarkEnd w:id="4"/>
    </w:p>
    <w:p w14:paraId="14A313A8">
      <w:pPr>
        <w:spacing w:line="360" w:lineRule="auto"/>
        <w:ind w:firstLine="560" w:firstLineChars="200"/>
        <w:rPr>
          <w:rFonts w:hint="default" w:ascii="仿宋" w:hAnsi="仿宋" w:eastAsia="仿宋" w:cs="仿宋"/>
          <w:sz w:val="28"/>
          <w:szCs w:val="28"/>
          <w:lang w:val="en-US" w:eastAsia="zh-CN"/>
        </w:rPr>
      </w:pPr>
      <w:bookmarkStart w:id="5" w:name="_Toc6494"/>
      <w:r>
        <w:rPr>
          <w:rFonts w:hint="eastAsia" w:ascii="仿宋" w:hAnsi="仿宋" w:eastAsia="仿宋" w:cs="仿宋"/>
          <w:sz w:val="28"/>
          <w:szCs w:val="28"/>
        </w:rPr>
        <w:t>项目联系人：郝</w:t>
      </w:r>
      <w:r>
        <w:rPr>
          <w:rFonts w:hint="eastAsia" w:ascii="仿宋" w:hAnsi="仿宋" w:eastAsia="仿宋" w:cs="仿宋"/>
          <w:sz w:val="28"/>
          <w:szCs w:val="28"/>
          <w:lang w:val="en-US" w:eastAsia="zh-CN"/>
        </w:rPr>
        <w:t>工、查工</w:t>
      </w:r>
    </w:p>
    <w:p w14:paraId="3FB190AD">
      <w:pPr>
        <w:spacing w:line="360" w:lineRule="auto"/>
        <w:ind w:firstLine="560" w:firstLineChars="200"/>
        <w:rPr>
          <w:rFonts w:ascii="仿宋" w:hAnsi="仿宋" w:eastAsia="仿宋" w:cs="仿宋"/>
          <w:sz w:val="28"/>
          <w:szCs w:val="28"/>
          <w:u w:val="single"/>
        </w:rPr>
        <w:sectPr>
          <w:footerReference r:id="rId5" w:type="first"/>
          <w:footerReference r:id="rId4" w:type="default"/>
          <w:pgSz w:w="11905" w:h="16838"/>
          <w:pgMar w:top="1417" w:right="1417" w:bottom="1417" w:left="1417" w:header="850" w:footer="992" w:gutter="0"/>
          <w:pgNumType w:fmt="decimal" w:start="1"/>
          <w:cols w:space="720" w:num="1"/>
          <w:titlePg/>
          <w:docGrid w:linePitch="312" w:charSpace="0"/>
        </w:sectPr>
      </w:pPr>
      <w:r>
        <w:rPr>
          <w:rFonts w:hint="eastAsia" w:ascii="仿宋" w:hAnsi="仿宋" w:eastAsia="仿宋" w:cs="仿宋"/>
          <w:sz w:val="28"/>
          <w:szCs w:val="28"/>
        </w:rPr>
        <w:t>电　话：0552-3092287</w:t>
      </w:r>
    </w:p>
    <w:p w14:paraId="69626F55">
      <w:pPr>
        <w:spacing w:line="360" w:lineRule="auto"/>
        <w:jc w:val="center"/>
        <w:outlineLvl w:val="1"/>
        <w:rPr>
          <w:rFonts w:asciiTheme="minorEastAsia" w:hAnsiTheme="minorEastAsia" w:eastAsiaTheme="minorEastAsia"/>
          <w:b/>
          <w:sz w:val="28"/>
        </w:rPr>
      </w:pPr>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供应商</w:t>
      </w:r>
      <w:r>
        <w:rPr>
          <w:rFonts w:asciiTheme="minorEastAsia" w:hAnsiTheme="minorEastAsia" w:eastAsiaTheme="minorEastAsia"/>
          <w:b/>
          <w:sz w:val="28"/>
        </w:rPr>
        <w:t>须知</w:t>
      </w:r>
      <w:bookmarkEnd w:id="5"/>
    </w:p>
    <w:p w14:paraId="345E31BD">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一、供应商</w:t>
      </w:r>
      <w:r>
        <w:rPr>
          <w:rFonts w:asciiTheme="minorEastAsia" w:hAnsiTheme="minorEastAsia" w:eastAsiaTheme="minorEastAsia"/>
          <w:b/>
          <w:sz w:val="24"/>
        </w:rPr>
        <w:t>须知前附表</w:t>
      </w:r>
    </w:p>
    <w:tbl>
      <w:tblPr>
        <w:tblStyle w:val="26"/>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143"/>
        <w:gridCol w:w="6126"/>
      </w:tblGrid>
      <w:tr w14:paraId="23C4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21728D4B">
            <w:pPr>
              <w:pStyle w:val="46"/>
              <w:widowControl w:val="0"/>
              <w:spacing w:before="0" w:beforeAutospacing="0" w:after="0" w:afterAutospacing="0" w:line="360" w:lineRule="auto"/>
              <w:rPr>
                <w:rFonts w:ascii="宋体" w:hAnsi="宋体" w:eastAsia="宋体"/>
                <w:bCs w:val="0"/>
                <w:kern w:val="2"/>
                <w:sz w:val="24"/>
                <w:szCs w:val="20"/>
              </w:rPr>
            </w:pPr>
            <w:r>
              <w:rPr>
                <w:rFonts w:hint="eastAsia" w:ascii="宋体" w:hAnsi="宋体" w:eastAsia="宋体"/>
                <w:bCs w:val="0"/>
                <w:kern w:val="2"/>
                <w:sz w:val="24"/>
                <w:szCs w:val="20"/>
              </w:rPr>
              <w:t>条款号</w:t>
            </w:r>
          </w:p>
        </w:tc>
        <w:tc>
          <w:tcPr>
            <w:tcW w:w="2143" w:type="dxa"/>
            <w:vAlign w:val="center"/>
          </w:tcPr>
          <w:p w14:paraId="12AEB495">
            <w:pPr>
              <w:pStyle w:val="46"/>
              <w:widowControl w:val="0"/>
              <w:spacing w:before="0" w:beforeAutospacing="0" w:after="0" w:afterAutospacing="0" w:line="360" w:lineRule="auto"/>
              <w:rPr>
                <w:rFonts w:ascii="宋体" w:hAnsi="宋体" w:eastAsia="宋体"/>
                <w:bCs w:val="0"/>
                <w:kern w:val="2"/>
                <w:sz w:val="24"/>
                <w:szCs w:val="20"/>
              </w:rPr>
            </w:pPr>
            <w:r>
              <w:rPr>
                <w:rFonts w:hint="eastAsia" w:ascii="宋体" w:hAnsi="宋体" w:eastAsia="宋体"/>
                <w:bCs w:val="0"/>
                <w:kern w:val="2"/>
                <w:sz w:val="24"/>
                <w:szCs w:val="20"/>
              </w:rPr>
              <w:t>条款名称</w:t>
            </w:r>
          </w:p>
        </w:tc>
        <w:tc>
          <w:tcPr>
            <w:tcW w:w="6126" w:type="dxa"/>
            <w:vAlign w:val="center"/>
          </w:tcPr>
          <w:p w14:paraId="47C6CAB1">
            <w:pPr>
              <w:pStyle w:val="46"/>
              <w:widowControl w:val="0"/>
              <w:spacing w:before="0" w:beforeAutospacing="0" w:after="0" w:afterAutospacing="0" w:line="360" w:lineRule="auto"/>
              <w:rPr>
                <w:rFonts w:ascii="宋体" w:hAnsi="宋体" w:eastAsia="宋体"/>
                <w:bCs w:val="0"/>
                <w:kern w:val="2"/>
                <w:sz w:val="24"/>
                <w:szCs w:val="20"/>
              </w:rPr>
            </w:pPr>
            <w:r>
              <w:rPr>
                <w:rFonts w:hint="eastAsia" w:ascii="宋体" w:hAnsi="宋体" w:eastAsia="宋体"/>
                <w:bCs w:val="0"/>
                <w:kern w:val="2"/>
                <w:sz w:val="24"/>
                <w:szCs w:val="20"/>
              </w:rPr>
              <w:t>内容、说明与要求</w:t>
            </w:r>
          </w:p>
        </w:tc>
      </w:tr>
      <w:tr w14:paraId="75FB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6715742F">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3</w:t>
            </w:r>
            <w:r>
              <w:rPr>
                <w:rFonts w:ascii="宋体" w:hAnsi="宋体" w:eastAsia="宋体"/>
                <w:bCs/>
                <w:kern w:val="2"/>
              </w:rPr>
              <w:t>.1</w:t>
            </w:r>
          </w:p>
        </w:tc>
        <w:tc>
          <w:tcPr>
            <w:tcW w:w="2143" w:type="dxa"/>
            <w:vAlign w:val="center"/>
          </w:tcPr>
          <w:p w14:paraId="43D5422F">
            <w:pPr>
              <w:pStyle w:val="46"/>
              <w:widowControl w:val="0"/>
              <w:spacing w:before="0" w:beforeAutospacing="0" w:after="0" w:afterAutospacing="0" w:line="360" w:lineRule="auto"/>
              <w:jc w:val="left"/>
              <w:rPr>
                <w:rFonts w:ascii="宋体" w:hAnsi="宋体" w:eastAsia="宋体"/>
                <w:b w:val="0"/>
                <w:bCs w:val="0"/>
                <w:sz w:val="24"/>
              </w:rPr>
            </w:pPr>
            <w:r>
              <w:rPr>
                <w:rFonts w:hint="eastAsia" w:ascii="宋体" w:hAnsi="宋体" w:eastAsia="宋体"/>
                <w:b w:val="0"/>
                <w:bCs w:val="0"/>
                <w:sz w:val="24"/>
              </w:rPr>
              <w:t>采购人</w:t>
            </w:r>
          </w:p>
        </w:tc>
        <w:tc>
          <w:tcPr>
            <w:tcW w:w="6126" w:type="dxa"/>
            <w:vAlign w:val="center"/>
          </w:tcPr>
          <w:p w14:paraId="0E03AE92">
            <w:pPr>
              <w:pStyle w:val="46"/>
              <w:widowControl w:val="0"/>
              <w:spacing w:before="0" w:beforeAutospacing="0" w:after="0" w:afterAutospacing="0" w:line="360" w:lineRule="auto"/>
              <w:jc w:val="both"/>
              <w:rPr>
                <w:rFonts w:hint="eastAsia" w:ascii="宋体" w:hAnsi="宋体" w:eastAsia="宋体"/>
                <w:b w:val="0"/>
                <w:bCs w:val="0"/>
                <w:kern w:val="2"/>
                <w:sz w:val="24"/>
                <w:szCs w:val="20"/>
                <w:lang w:eastAsia="zh-CN"/>
              </w:rPr>
            </w:pPr>
            <w:r>
              <w:rPr>
                <w:rFonts w:hint="eastAsia" w:ascii="宋体" w:hAnsi="宋体" w:eastAsia="宋体"/>
                <w:b w:val="0"/>
                <w:bCs w:val="0"/>
                <w:kern w:val="2"/>
                <w:sz w:val="24"/>
                <w:szCs w:val="20"/>
                <w:lang w:eastAsia="zh-CN"/>
              </w:rPr>
              <w:t>六安市水利局</w:t>
            </w:r>
          </w:p>
        </w:tc>
      </w:tr>
      <w:tr w14:paraId="5753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7919BFAB">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3</w:t>
            </w:r>
            <w:r>
              <w:rPr>
                <w:rFonts w:ascii="宋体" w:hAnsi="宋体" w:eastAsia="宋体"/>
                <w:bCs/>
                <w:kern w:val="2"/>
              </w:rPr>
              <w:t>.2</w:t>
            </w:r>
          </w:p>
        </w:tc>
        <w:tc>
          <w:tcPr>
            <w:tcW w:w="2143" w:type="dxa"/>
            <w:vAlign w:val="center"/>
          </w:tcPr>
          <w:p w14:paraId="7766FEAB">
            <w:pPr>
              <w:pStyle w:val="46"/>
              <w:widowControl w:val="0"/>
              <w:spacing w:before="0" w:beforeAutospacing="0" w:after="0" w:afterAutospacing="0" w:line="360" w:lineRule="auto"/>
              <w:jc w:val="left"/>
              <w:rPr>
                <w:rFonts w:ascii="宋体" w:hAnsi="宋体" w:eastAsia="宋体"/>
                <w:b w:val="0"/>
                <w:bCs w:val="0"/>
                <w:sz w:val="24"/>
              </w:rPr>
            </w:pPr>
            <w:r>
              <w:rPr>
                <w:rFonts w:hint="eastAsia" w:ascii="宋体" w:hAnsi="宋体" w:eastAsia="宋体"/>
                <w:b w:val="0"/>
                <w:bCs w:val="0"/>
                <w:sz w:val="24"/>
              </w:rPr>
              <w:t>采购代理机构</w:t>
            </w:r>
          </w:p>
        </w:tc>
        <w:tc>
          <w:tcPr>
            <w:tcW w:w="6126" w:type="dxa"/>
            <w:vAlign w:val="center"/>
          </w:tcPr>
          <w:p w14:paraId="2C74B85D">
            <w:pPr>
              <w:pStyle w:val="46"/>
              <w:widowControl w:val="0"/>
              <w:spacing w:before="0" w:beforeAutospacing="0" w:after="0" w:afterAutospacing="0" w:line="360" w:lineRule="auto"/>
              <w:jc w:val="both"/>
              <w:rPr>
                <w:rFonts w:ascii="宋体" w:hAnsi="宋体" w:eastAsia="宋体"/>
                <w:b w:val="0"/>
                <w:bCs w:val="0"/>
                <w:sz w:val="24"/>
                <w:szCs w:val="18"/>
              </w:rPr>
            </w:pPr>
            <w:r>
              <w:rPr>
                <w:rFonts w:ascii="宋体" w:hAnsi="宋体" w:eastAsia="宋体"/>
                <w:b w:val="0"/>
                <w:bCs w:val="0"/>
                <w:sz w:val="24"/>
                <w:szCs w:val="18"/>
              </w:rPr>
              <w:t>安徽安兆工程技术咨询服务有限公司</w:t>
            </w:r>
          </w:p>
        </w:tc>
      </w:tr>
      <w:tr w14:paraId="576E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1E45C343">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3</w:t>
            </w:r>
            <w:r>
              <w:rPr>
                <w:rFonts w:ascii="宋体" w:hAnsi="宋体" w:eastAsia="宋体"/>
                <w:bCs/>
                <w:kern w:val="2"/>
              </w:rPr>
              <w:t>.3</w:t>
            </w:r>
          </w:p>
        </w:tc>
        <w:tc>
          <w:tcPr>
            <w:tcW w:w="2143" w:type="dxa"/>
            <w:vAlign w:val="center"/>
          </w:tcPr>
          <w:p w14:paraId="0E122765">
            <w:pPr>
              <w:pStyle w:val="46"/>
              <w:widowControl w:val="0"/>
              <w:spacing w:before="0" w:beforeAutospacing="0" w:after="0" w:afterAutospacing="0" w:line="360" w:lineRule="auto"/>
              <w:jc w:val="left"/>
              <w:rPr>
                <w:rFonts w:ascii="宋体" w:hAnsi="宋体" w:eastAsia="宋体"/>
                <w:b w:val="0"/>
                <w:bCs w:val="0"/>
                <w:sz w:val="24"/>
              </w:rPr>
            </w:pPr>
            <w:r>
              <w:rPr>
                <w:rFonts w:hint="eastAsia" w:ascii="宋体" w:hAnsi="宋体" w:eastAsia="宋体"/>
                <w:b w:val="0"/>
                <w:bCs w:val="0"/>
                <w:sz w:val="24"/>
              </w:rPr>
              <w:t>采购监督管理部门</w:t>
            </w:r>
          </w:p>
        </w:tc>
        <w:tc>
          <w:tcPr>
            <w:tcW w:w="6126" w:type="dxa"/>
            <w:vAlign w:val="center"/>
          </w:tcPr>
          <w:p w14:paraId="43DCD280">
            <w:pPr>
              <w:pStyle w:val="46"/>
              <w:widowControl w:val="0"/>
              <w:spacing w:before="0" w:beforeAutospacing="0" w:after="0" w:afterAutospacing="0" w:line="360" w:lineRule="auto"/>
              <w:jc w:val="both"/>
              <w:rPr>
                <w:rFonts w:hint="eastAsia" w:ascii="宋体" w:hAnsi="宋体" w:eastAsia="宋体"/>
                <w:b w:val="0"/>
                <w:bCs w:val="0"/>
                <w:sz w:val="24"/>
                <w:u w:val="single"/>
                <w:lang w:eastAsia="zh-CN"/>
              </w:rPr>
            </w:pPr>
            <w:r>
              <w:rPr>
                <w:rFonts w:hint="eastAsia" w:ascii="宋体" w:hAnsi="宋体" w:eastAsia="宋体"/>
                <w:b w:val="0"/>
                <w:bCs w:val="0"/>
                <w:kern w:val="2"/>
                <w:sz w:val="24"/>
                <w:szCs w:val="20"/>
                <w:lang w:eastAsia="zh-CN"/>
              </w:rPr>
              <w:t>六安市水利局</w:t>
            </w:r>
          </w:p>
        </w:tc>
      </w:tr>
      <w:tr w14:paraId="4BEE2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4A9BBDFA">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7</w:t>
            </w:r>
            <w:r>
              <w:rPr>
                <w:rFonts w:ascii="宋体" w:hAnsi="宋体" w:eastAsia="宋体"/>
                <w:bCs/>
                <w:kern w:val="2"/>
              </w:rPr>
              <w:t>.3</w:t>
            </w:r>
          </w:p>
        </w:tc>
        <w:tc>
          <w:tcPr>
            <w:tcW w:w="2143" w:type="dxa"/>
            <w:vAlign w:val="center"/>
          </w:tcPr>
          <w:p w14:paraId="1B9E5B79">
            <w:pPr>
              <w:pStyle w:val="46"/>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现场考察</w:t>
            </w:r>
          </w:p>
        </w:tc>
        <w:tc>
          <w:tcPr>
            <w:tcW w:w="6126" w:type="dxa"/>
            <w:vAlign w:val="center"/>
          </w:tcPr>
          <w:p w14:paraId="0103F5BA">
            <w:pPr>
              <w:spacing w:line="360" w:lineRule="auto"/>
              <w:rPr>
                <w:rFonts w:ascii="宋体" w:hAnsi="宋体" w:eastAsia="宋体"/>
                <w:sz w:val="24"/>
              </w:rPr>
            </w:pPr>
            <w:r>
              <w:rPr>
                <w:rFonts w:hint="eastAsia" w:ascii="宋体" w:hAnsi="宋体" w:eastAsia="宋体"/>
                <w:sz w:val="24"/>
              </w:rPr>
              <w:t>不组织，供应商</w:t>
            </w:r>
            <w:r>
              <w:rPr>
                <w:rFonts w:hint="eastAsia" w:ascii="宋体" w:hAnsi="宋体" w:eastAsia="宋体"/>
                <w:bCs/>
                <w:sz w:val="24"/>
              </w:rPr>
              <w:t>自行考察</w:t>
            </w:r>
          </w:p>
        </w:tc>
      </w:tr>
      <w:tr w14:paraId="1C97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4B27537F">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8</w:t>
            </w:r>
            <w:r>
              <w:rPr>
                <w:rFonts w:ascii="宋体" w:hAnsi="宋体" w:eastAsia="宋体"/>
                <w:bCs/>
                <w:kern w:val="2"/>
              </w:rPr>
              <w:t>.1</w:t>
            </w:r>
          </w:p>
        </w:tc>
        <w:tc>
          <w:tcPr>
            <w:tcW w:w="2143" w:type="dxa"/>
            <w:vAlign w:val="center"/>
          </w:tcPr>
          <w:p w14:paraId="6BF288C1">
            <w:pPr>
              <w:pStyle w:val="46"/>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网上询问截止时间</w:t>
            </w:r>
          </w:p>
        </w:tc>
        <w:tc>
          <w:tcPr>
            <w:tcW w:w="6126" w:type="dxa"/>
            <w:vAlign w:val="center"/>
          </w:tcPr>
          <w:p w14:paraId="77253FDE">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202</w:t>
            </w:r>
            <w:r>
              <w:rPr>
                <w:rFonts w:hint="eastAsia" w:ascii="宋体" w:hAnsi="宋体" w:eastAsia="宋体"/>
                <w:b w:val="0"/>
                <w:sz w:val="24"/>
                <w:u w:val="single"/>
                <w:lang w:val="en-US" w:eastAsia="zh-CN"/>
              </w:rPr>
              <w:t>5</w:t>
            </w:r>
            <w:r>
              <w:rPr>
                <w:rFonts w:ascii="宋体" w:hAnsi="宋体" w:eastAsia="宋体"/>
                <w:b w:val="0"/>
                <w:sz w:val="24"/>
                <w:highlight w:val="none"/>
              </w:rPr>
              <w:t>年</w:t>
            </w:r>
            <w:r>
              <w:rPr>
                <w:rFonts w:hint="eastAsia" w:ascii="宋体" w:hAnsi="宋体" w:eastAsia="宋体"/>
                <w:b w:val="0"/>
                <w:sz w:val="24"/>
                <w:highlight w:val="none"/>
                <w:u w:val="single"/>
                <w:lang w:val="en-US" w:eastAsia="zh-CN"/>
              </w:rPr>
              <w:t>6</w:t>
            </w:r>
            <w:r>
              <w:rPr>
                <w:rFonts w:ascii="宋体" w:hAnsi="宋体" w:eastAsia="宋体"/>
                <w:b w:val="0"/>
                <w:sz w:val="24"/>
                <w:highlight w:val="none"/>
              </w:rPr>
              <w:t>月</w:t>
            </w:r>
            <w:r>
              <w:rPr>
                <w:rFonts w:hint="eastAsia" w:ascii="宋体" w:hAnsi="宋体" w:eastAsia="宋体"/>
                <w:b w:val="0"/>
                <w:sz w:val="24"/>
                <w:highlight w:val="none"/>
                <w:u w:val="single"/>
                <w:lang w:val="en-US" w:eastAsia="zh-CN"/>
              </w:rPr>
              <w:t>16</w:t>
            </w:r>
            <w:r>
              <w:rPr>
                <w:rFonts w:ascii="宋体" w:hAnsi="宋体" w:eastAsia="宋体"/>
                <w:b w:val="0"/>
                <w:sz w:val="24"/>
                <w:highlight w:val="none"/>
              </w:rPr>
              <w:t>日</w:t>
            </w:r>
            <w:r>
              <w:rPr>
                <w:rFonts w:hint="eastAsia" w:ascii="宋体" w:hAnsi="宋体" w:eastAsia="宋体"/>
                <w:b w:val="0"/>
                <w:sz w:val="24"/>
                <w:highlight w:val="none"/>
                <w:u w:val="single"/>
              </w:rPr>
              <w:t>1</w:t>
            </w:r>
            <w:r>
              <w:rPr>
                <w:rFonts w:hint="eastAsia" w:ascii="宋体" w:hAnsi="宋体" w:eastAsia="宋体"/>
                <w:b w:val="0"/>
                <w:sz w:val="24"/>
                <w:u w:val="single"/>
              </w:rPr>
              <w:t>7</w:t>
            </w:r>
            <w:r>
              <w:rPr>
                <w:rFonts w:ascii="宋体" w:hAnsi="宋体" w:eastAsia="宋体"/>
                <w:b w:val="0"/>
                <w:sz w:val="24"/>
              </w:rPr>
              <w:t>时</w:t>
            </w:r>
            <w:r>
              <w:rPr>
                <w:rFonts w:hint="eastAsia" w:ascii="宋体" w:hAnsi="宋体" w:eastAsia="宋体"/>
                <w:b w:val="0"/>
                <w:sz w:val="24"/>
                <w:u w:val="single"/>
              </w:rPr>
              <w:t>00</w:t>
            </w:r>
            <w:r>
              <w:rPr>
                <w:rFonts w:hint="eastAsia" w:ascii="宋体" w:hAnsi="宋体" w:eastAsia="宋体"/>
                <w:b w:val="0"/>
                <w:sz w:val="24"/>
              </w:rPr>
              <w:t>分</w:t>
            </w:r>
          </w:p>
        </w:tc>
      </w:tr>
      <w:tr w14:paraId="5056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020" w:type="dxa"/>
            <w:vAlign w:val="center"/>
          </w:tcPr>
          <w:p w14:paraId="5741E9EA">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9</w:t>
            </w:r>
            <w:r>
              <w:rPr>
                <w:rFonts w:ascii="宋体" w:hAnsi="宋体" w:eastAsia="宋体"/>
                <w:bCs/>
                <w:kern w:val="2"/>
              </w:rPr>
              <w:t>.1</w:t>
            </w:r>
          </w:p>
        </w:tc>
        <w:tc>
          <w:tcPr>
            <w:tcW w:w="2143" w:type="dxa"/>
            <w:vAlign w:val="center"/>
          </w:tcPr>
          <w:p w14:paraId="33ABCA81">
            <w:pPr>
              <w:pStyle w:val="46"/>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包别划分</w:t>
            </w:r>
          </w:p>
        </w:tc>
        <w:tc>
          <w:tcPr>
            <w:tcW w:w="6126" w:type="dxa"/>
            <w:vAlign w:val="center"/>
          </w:tcPr>
          <w:p w14:paraId="099BD33A">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bCs w:val="0"/>
                <w:sz w:val="24"/>
                <w:szCs w:val="24"/>
              </w:rPr>
              <w:t>☑</w:t>
            </w:r>
            <w:r>
              <w:rPr>
                <w:rFonts w:ascii="宋体" w:hAnsi="宋体" w:eastAsia="宋体"/>
                <w:b w:val="0"/>
                <w:sz w:val="24"/>
              </w:rPr>
              <w:t>不分包</w:t>
            </w:r>
          </w:p>
        </w:tc>
      </w:tr>
      <w:tr w14:paraId="2581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020" w:type="dxa"/>
            <w:vAlign w:val="center"/>
          </w:tcPr>
          <w:p w14:paraId="7241529F">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12.3</w:t>
            </w:r>
          </w:p>
        </w:tc>
        <w:tc>
          <w:tcPr>
            <w:tcW w:w="2143" w:type="dxa"/>
            <w:vAlign w:val="center"/>
          </w:tcPr>
          <w:p w14:paraId="5198330F">
            <w:pPr>
              <w:pStyle w:val="46"/>
              <w:widowControl w:val="0"/>
              <w:spacing w:before="0" w:beforeAutospacing="0" w:after="0" w:afterAutospacing="0" w:line="360" w:lineRule="auto"/>
              <w:jc w:val="left"/>
              <w:rPr>
                <w:rFonts w:ascii="宋体" w:hAnsi="宋体" w:eastAsia="宋体"/>
                <w:b w:val="0"/>
                <w:sz w:val="24"/>
                <w:highlight w:val="none"/>
              </w:rPr>
            </w:pPr>
            <w:r>
              <w:rPr>
                <w:rFonts w:hint="eastAsia" w:ascii="宋体" w:hAnsi="宋体" w:eastAsia="宋体"/>
                <w:b w:val="0"/>
                <w:sz w:val="24"/>
                <w:highlight w:val="none"/>
              </w:rPr>
              <w:t>最高限价</w:t>
            </w:r>
          </w:p>
        </w:tc>
        <w:tc>
          <w:tcPr>
            <w:tcW w:w="6126" w:type="dxa"/>
            <w:vAlign w:val="center"/>
          </w:tcPr>
          <w:p w14:paraId="20F59569">
            <w:pPr>
              <w:pStyle w:val="46"/>
              <w:widowControl w:val="0"/>
              <w:spacing w:before="0" w:beforeAutospacing="0" w:after="0" w:afterAutospacing="0" w:line="360" w:lineRule="auto"/>
              <w:jc w:val="both"/>
              <w:rPr>
                <w:rFonts w:ascii="宋体" w:hAnsi="宋体" w:eastAsia="宋体"/>
                <w:b w:val="0"/>
                <w:bCs w:val="0"/>
                <w:sz w:val="24"/>
                <w:szCs w:val="24"/>
                <w:highlight w:val="none"/>
              </w:rPr>
            </w:pPr>
            <w:r>
              <w:rPr>
                <w:rFonts w:hint="eastAsia" w:ascii="宋体" w:hAnsi="宋体" w:eastAsia="宋体"/>
                <w:b w:val="0"/>
                <w:bCs w:val="0"/>
                <w:sz w:val="24"/>
                <w:szCs w:val="24"/>
                <w:highlight w:val="none"/>
                <w:lang w:val="en-US" w:eastAsia="zh-CN"/>
              </w:rPr>
              <w:t>10</w:t>
            </w:r>
            <w:r>
              <w:rPr>
                <w:rFonts w:hint="eastAsia" w:ascii="宋体" w:hAnsi="宋体" w:eastAsia="宋体"/>
                <w:b w:val="0"/>
                <w:bCs w:val="0"/>
                <w:sz w:val="24"/>
                <w:szCs w:val="24"/>
                <w:highlight w:val="none"/>
              </w:rPr>
              <w:t>万元</w:t>
            </w:r>
          </w:p>
          <w:p w14:paraId="1E3841EE">
            <w:pPr>
              <w:pStyle w:val="46"/>
              <w:widowControl w:val="0"/>
              <w:spacing w:before="0" w:beforeAutospacing="0" w:after="0" w:afterAutospacing="0" w:line="360" w:lineRule="auto"/>
              <w:jc w:val="both"/>
              <w:rPr>
                <w:rFonts w:ascii="宋体" w:hAnsi="宋体" w:eastAsia="宋体"/>
                <w:b w:val="0"/>
                <w:bCs w:val="0"/>
                <w:sz w:val="24"/>
                <w:szCs w:val="24"/>
                <w:highlight w:val="none"/>
              </w:rPr>
            </w:pPr>
            <w:r>
              <w:rPr>
                <w:rFonts w:hint="eastAsia" w:ascii="宋体" w:hAnsi="宋体" w:eastAsia="宋体"/>
                <w:bCs w:val="0"/>
                <w:sz w:val="24"/>
                <w:highlight w:val="none"/>
              </w:rPr>
              <w:t>供应商的报价不得超过采购人公布的最高限价，否则其响应文件按照无效处理。</w:t>
            </w:r>
          </w:p>
        </w:tc>
      </w:tr>
      <w:tr w14:paraId="1ED1E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020" w:type="dxa"/>
            <w:vAlign w:val="center"/>
          </w:tcPr>
          <w:p w14:paraId="5A5F7140">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1</w:t>
            </w:r>
            <w:r>
              <w:rPr>
                <w:rFonts w:ascii="宋体" w:hAnsi="宋体" w:eastAsia="宋体"/>
                <w:bCs/>
                <w:kern w:val="2"/>
              </w:rPr>
              <w:t>3.1</w:t>
            </w:r>
          </w:p>
        </w:tc>
        <w:tc>
          <w:tcPr>
            <w:tcW w:w="2143" w:type="dxa"/>
            <w:vAlign w:val="center"/>
          </w:tcPr>
          <w:p w14:paraId="6D3B89A7">
            <w:pPr>
              <w:pStyle w:val="46"/>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竞争性磋商保证金</w:t>
            </w:r>
          </w:p>
        </w:tc>
        <w:tc>
          <w:tcPr>
            <w:tcW w:w="6126" w:type="dxa"/>
            <w:vAlign w:val="center"/>
          </w:tcPr>
          <w:p w14:paraId="1E053B84">
            <w:pPr>
              <w:spacing w:line="360" w:lineRule="auto"/>
              <w:rPr>
                <w:rFonts w:ascii="宋体" w:hAnsi="宋体" w:eastAsia="宋体"/>
                <w:b/>
                <w:sz w:val="24"/>
              </w:rPr>
            </w:pPr>
            <w:r>
              <w:rPr>
                <w:rFonts w:hint="eastAsia" w:ascii="宋体" w:hAnsi="宋体" w:eastAsia="宋体"/>
                <w:b/>
                <w:sz w:val="24"/>
              </w:rPr>
              <w:t>免收竞争性磋商保证金</w:t>
            </w:r>
          </w:p>
        </w:tc>
      </w:tr>
      <w:tr w14:paraId="2E9D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612E98E2">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1</w:t>
            </w:r>
            <w:r>
              <w:rPr>
                <w:rFonts w:ascii="宋体" w:hAnsi="宋体" w:eastAsia="宋体"/>
                <w:bCs/>
                <w:kern w:val="2"/>
              </w:rPr>
              <w:t>4.1</w:t>
            </w:r>
          </w:p>
        </w:tc>
        <w:tc>
          <w:tcPr>
            <w:tcW w:w="2143" w:type="dxa"/>
            <w:vAlign w:val="center"/>
          </w:tcPr>
          <w:p w14:paraId="46E1D859">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竞争性磋商有效期</w:t>
            </w:r>
          </w:p>
        </w:tc>
        <w:tc>
          <w:tcPr>
            <w:tcW w:w="6126" w:type="dxa"/>
            <w:vAlign w:val="center"/>
          </w:tcPr>
          <w:p w14:paraId="5579471F">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 xml:space="preserve"> 90  </w:t>
            </w:r>
            <w:r>
              <w:rPr>
                <w:rFonts w:hint="eastAsia" w:ascii="宋体" w:hAnsi="宋体" w:eastAsia="宋体"/>
                <w:b w:val="0"/>
                <w:sz w:val="24"/>
              </w:rPr>
              <w:t>日历日</w:t>
            </w:r>
          </w:p>
        </w:tc>
      </w:tr>
      <w:tr w14:paraId="6472D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59411E80">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1</w:t>
            </w:r>
            <w:r>
              <w:rPr>
                <w:rFonts w:ascii="宋体" w:hAnsi="宋体" w:eastAsia="宋体"/>
                <w:bCs/>
                <w:kern w:val="2"/>
              </w:rPr>
              <w:t>5.1</w:t>
            </w:r>
          </w:p>
        </w:tc>
        <w:tc>
          <w:tcPr>
            <w:tcW w:w="2143" w:type="dxa"/>
            <w:vAlign w:val="center"/>
          </w:tcPr>
          <w:p w14:paraId="7BC507CB">
            <w:pPr>
              <w:adjustRightInd w:val="0"/>
              <w:snapToGrid w:val="0"/>
              <w:ind w:right="-105" w:rightChars="-50"/>
              <w:rPr>
                <w:rFonts w:hint="default" w:ascii="宋体" w:hAnsi="宋体" w:eastAsia="宋体" w:cs="@仿宋_GB2312"/>
                <w:b w:val="0"/>
                <w:bCs/>
                <w:kern w:val="0"/>
                <w:sz w:val="24"/>
                <w:szCs w:val="28"/>
                <w:lang w:val="en-US" w:eastAsia="zh-CN" w:bidi="ar-SA"/>
              </w:rPr>
            </w:pPr>
            <w:r>
              <w:rPr>
                <w:rFonts w:hint="eastAsia" w:ascii="宋体" w:hAnsi="宋体" w:eastAsia="宋体" w:cs="@仿宋_GB2312"/>
                <w:b w:val="0"/>
                <w:bCs/>
                <w:kern w:val="0"/>
                <w:sz w:val="24"/>
                <w:szCs w:val="28"/>
                <w:lang w:val="en-US" w:eastAsia="zh-CN" w:bidi="ar-SA"/>
              </w:rPr>
              <w:t>响应文件制作</w:t>
            </w:r>
          </w:p>
        </w:tc>
        <w:tc>
          <w:tcPr>
            <w:tcW w:w="6126" w:type="dxa"/>
            <w:vAlign w:val="center"/>
          </w:tcPr>
          <w:p w14:paraId="5B569B5F">
            <w:pPr>
              <w:snapToGrid w:val="0"/>
              <w:rPr>
                <w:rFonts w:hint="default" w:ascii="宋体" w:hAnsi="宋体" w:eastAsia="宋体" w:cs="@仿宋_GB2312"/>
                <w:b/>
                <w:bCs w:val="0"/>
                <w:kern w:val="0"/>
                <w:sz w:val="24"/>
                <w:szCs w:val="28"/>
                <w:lang w:val="en-US" w:eastAsia="zh-CN" w:bidi="ar-SA"/>
              </w:rPr>
            </w:pPr>
            <w:r>
              <w:rPr>
                <w:rFonts w:hint="eastAsia" w:ascii="宋体" w:hAnsi="宋体" w:eastAsia="宋体" w:cs="@仿宋_GB2312"/>
                <w:b/>
                <w:bCs w:val="0"/>
                <w:kern w:val="0"/>
                <w:sz w:val="24"/>
                <w:szCs w:val="28"/>
                <w:lang w:val="en-US" w:eastAsia="zh-CN" w:bidi="ar-SA"/>
              </w:rPr>
              <w:t>正本份数：一份；副本份数：一份；电子版：一份</w:t>
            </w:r>
          </w:p>
          <w:p w14:paraId="7CCF9617">
            <w:pPr>
              <w:snapToGrid w:val="0"/>
              <w:rPr>
                <w:rFonts w:hint="eastAsia" w:ascii="宋体" w:hAnsi="宋体" w:eastAsia="宋体" w:cs="@仿宋_GB2312"/>
                <w:b w:val="0"/>
                <w:bCs/>
                <w:kern w:val="0"/>
                <w:sz w:val="24"/>
                <w:szCs w:val="28"/>
                <w:lang w:val="en-US" w:eastAsia="zh-CN" w:bidi="ar-SA"/>
              </w:rPr>
            </w:pPr>
            <w:r>
              <w:rPr>
                <w:rFonts w:hint="eastAsia" w:ascii="宋体" w:hAnsi="宋体" w:eastAsia="宋体" w:cs="@仿宋_GB2312"/>
                <w:b w:val="0"/>
                <w:bCs/>
                <w:kern w:val="0"/>
                <w:sz w:val="24"/>
                <w:szCs w:val="28"/>
                <w:lang w:val="en-US" w:eastAsia="zh-CN" w:bidi="ar-SA"/>
              </w:rPr>
              <w:t>响应文件正本应按竞争性磋商文件提供的格式要求由供应商法定代表人（或委托代理人）签名，标明盖章的位置应加盖供应商单位公章。副本可以是正本的复印件。</w:t>
            </w:r>
          </w:p>
        </w:tc>
      </w:tr>
      <w:tr w14:paraId="5116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0331AC21">
            <w:pPr>
              <w:pStyle w:val="47"/>
              <w:pBdr>
                <w:bottom w:val="none" w:color="auto" w:sz="0" w:space="0"/>
              </w:pBdr>
              <w:tabs>
                <w:tab w:val="clear" w:pos="4153"/>
                <w:tab w:val="clear" w:pos="8306"/>
              </w:tabs>
              <w:adjustRightInd/>
              <w:spacing w:line="36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15.2</w:t>
            </w:r>
          </w:p>
        </w:tc>
        <w:tc>
          <w:tcPr>
            <w:tcW w:w="2143" w:type="dxa"/>
            <w:vAlign w:val="center"/>
          </w:tcPr>
          <w:p w14:paraId="306A14FA">
            <w:pPr>
              <w:pStyle w:val="47"/>
              <w:pBdr>
                <w:bottom w:val="none" w:color="auto" w:sz="0" w:space="0"/>
              </w:pBdr>
              <w:tabs>
                <w:tab w:val="clear" w:pos="4153"/>
                <w:tab w:val="clear" w:pos="8306"/>
              </w:tabs>
              <w:adjustRightInd/>
              <w:spacing w:line="360" w:lineRule="auto"/>
              <w:textAlignment w:val="auto"/>
              <w:rPr>
                <w:rFonts w:hint="eastAsia" w:ascii="宋体" w:hAnsi="宋体" w:eastAsia="宋体"/>
                <w:bCs/>
                <w:kern w:val="2"/>
                <w:lang w:val="en-US" w:eastAsia="zh-CN"/>
              </w:rPr>
            </w:pPr>
            <w:r>
              <w:rPr>
                <w:rFonts w:hint="eastAsia" w:ascii="宋体" w:hAnsi="宋体" w:eastAsia="宋体"/>
                <w:bCs/>
                <w:kern w:val="2"/>
                <w:lang w:val="en-US" w:eastAsia="zh-CN"/>
              </w:rPr>
              <w:t>响应文件密封要求</w:t>
            </w:r>
          </w:p>
        </w:tc>
        <w:tc>
          <w:tcPr>
            <w:tcW w:w="6126" w:type="dxa"/>
            <w:vAlign w:val="center"/>
          </w:tcPr>
          <w:p w14:paraId="10CFDF12">
            <w:pPr>
              <w:pStyle w:val="47"/>
              <w:pBdr>
                <w:bottom w:val="none" w:color="auto" w:sz="0" w:space="0"/>
              </w:pBdr>
              <w:tabs>
                <w:tab w:val="clear" w:pos="4153"/>
                <w:tab w:val="clear" w:pos="8306"/>
              </w:tabs>
              <w:adjustRightInd/>
              <w:spacing w:line="360" w:lineRule="auto"/>
              <w:jc w:val="both"/>
              <w:textAlignment w:val="auto"/>
              <w:rPr>
                <w:rFonts w:hint="eastAsia" w:ascii="宋体" w:hAnsi="宋体" w:eastAsia="宋体"/>
                <w:bCs/>
                <w:kern w:val="2"/>
                <w:lang w:val="en-US" w:eastAsia="zh-CN"/>
              </w:rPr>
            </w:pPr>
            <w:r>
              <w:rPr>
                <w:rFonts w:hint="eastAsia" w:ascii="宋体" w:hAnsi="宋体" w:eastAsia="宋体"/>
                <w:bCs/>
                <w:kern w:val="2"/>
                <w:lang w:val="en-US" w:eastAsia="zh-CN"/>
              </w:rPr>
              <w:t>正本与副本进行密封包装。</w:t>
            </w:r>
          </w:p>
        </w:tc>
      </w:tr>
      <w:tr w14:paraId="7382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2EEDEDD3">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1</w:t>
            </w:r>
            <w:r>
              <w:rPr>
                <w:rFonts w:ascii="宋体" w:hAnsi="宋体" w:eastAsia="宋体"/>
                <w:bCs/>
                <w:kern w:val="2"/>
              </w:rPr>
              <w:t>6.1</w:t>
            </w:r>
          </w:p>
        </w:tc>
        <w:tc>
          <w:tcPr>
            <w:tcW w:w="2143" w:type="dxa"/>
            <w:vAlign w:val="center"/>
          </w:tcPr>
          <w:p w14:paraId="240F7FC5">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响应文件提交截止时间</w:t>
            </w:r>
          </w:p>
        </w:tc>
        <w:tc>
          <w:tcPr>
            <w:tcW w:w="6126" w:type="dxa"/>
            <w:vAlign w:val="center"/>
          </w:tcPr>
          <w:p w14:paraId="0B7ECF19">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详见竞争性磋商公告</w:t>
            </w:r>
          </w:p>
        </w:tc>
      </w:tr>
      <w:tr w14:paraId="534F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Merge w:val="restart"/>
            <w:vAlign w:val="center"/>
          </w:tcPr>
          <w:p w14:paraId="4D336922">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lang w:val="en-US" w:eastAsia="zh-CN"/>
              </w:rPr>
              <w:t>18</w:t>
            </w:r>
            <w:r>
              <w:rPr>
                <w:rFonts w:ascii="宋体" w:hAnsi="宋体" w:eastAsia="宋体"/>
                <w:bCs/>
                <w:kern w:val="2"/>
              </w:rPr>
              <w:t>.1</w:t>
            </w:r>
          </w:p>
        </w:tc>
        <w:tc>
          <w:tcPr>
            <w:tcW w:w="2143" w:type="dxa"/>
            <w:vAlign w:val="center"/>
          </w:tcPr>
          <w:p w14:paraId="6D8A0EBE">
            <w:pPr>
              <w:pStyle w:val="47"/>
              <w:pBdr>
                <w:bottom w:val="none" w:color="auto" w:sz="0" w:space="0"/>
              </w:pBdr>
              <w:tabs>
                <w:tab w:val="clear" w:pos="4153"/>
                <w:tab w:val="clear" w:pos="8306"/>
              </w:tabs>
              <w:adjustRightInd/>
              <w:spacing w:line="360" w:lineRule="auto"/>
              <w:jc w:val="left"/>
              <w:textAlignment w:val="auto"/>
              <w:rPr>
                <w:rFonts w:hint="eastAsia" w:ascii="宋体" w:hAnsi="宋体" w:eastAsia="宋体"/>
                <w:bCs/>
                <w:kern w:val="2"/>
                <w:lang w:val="en-US" w:eastAsia="zh-CN"/>
              </w:rPr>
            </w:pPr>
            <w:r>
              <w:rPr>
                <w:rFonts w:hint="eastAsia" w:ascii="宋体" w:hAnsi="宋体" w:eastAsia="宋体"/>
                <w:bCs/>
                <w:kern w:val="2"/>
                <w:lang w:val="en-US" w:eastAsia="zh-CN"/>
              </w:rPr>
              <w:t>开启时间</w:t>
            </w:r>
          </w:p>
        </w:tc>
        <w:tc>
          <w:tcPr>
            <w:tcW w:w="6126" w:type="dxa"/>
            <w:vAlign w:val="center"/>
          </w:tcPr>
          <w:p w14:paraId="260AEAE6">
            <w:pPr>
              <w:pStyle w:val="47"/>
              <w:pBdr>
                <w:bottom w:val="none" w:color="auto" w:sz="0" w:space="0"/>
              </w:pBdr>
              <w:tabs>
                <w:tab w:val="clear" w:pos="4153"/>
                <w:tab w:val="clear" w:pos="8306"/>
              </w:tabs>
              <w:adjustRightInd/>
              <w:spacing w:line="360" w:lineRule="auto"/>
              <w:jc w:val="left"/>
              <w:textAlignment w:val="auto"/>
              <w:rPr>
                <w:rFonts w:hint="eastAsia" w:ascii="宋体" w:hAnsi="宋体" w:eastAsia="宋体"/>
                <w:bCs/>
                <w:kern w:val="2"/>
                <w:lang w:val="en-US" w:eastAsia="zh-CN"/>
              </w:rPr>
            </w:pPr>
            <w:r>
              <w:rPr>
                <w:rFonts w:hint="eastAsia" w:ascii="宋体" w:hAnsi="宋体" w:eastAsia="宋体"/>
                <w:b w:val="0"/>
                <w:sz w:val="24"/>
                <w:u w:val="single"/>
              </w:rPr>
              <w:t>详见竞争性磋商公告</w:t>
            </w:r>
          </w:p>
        </w:tc>
      </w:tr>
      <w:tr w14:paraId="6EF0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Merge w:val="continue"/>
            <w:vAlign w:val="center"/>
          </w:tcPr>
          <w:p w14:paraId="1AC1B070">
            <w:pPr>
              <w:pStyle w:val="47"/>
              <w:pBdr>
                <w:bottom w:val="none" w:color="auto" w:sz="0" w:space="0"/>
              </w:pBdr>
              <w:tabs>
                <w:tab w:val="clear" w:pos="4153"/>
                <w:tab w:val="clear" w:pos="8306"/>
              </w:tabs>
              <w:adjustRightInd/>
              <w:spacing w:line="360" w:lineRule="auto"/>
              <w:textAlignment w:val="auto"/>
              <w:rPr>
                <w:rFonts w:hint="eastAsia" w:ascii="宋体" w:hAnsi="宋体" w:eastAsia="宋体"/>
                <w:bCs/>
                <w:kern w:val="2"/>
                <w:lang w:val="en-US" w:eastAsia="zh-CN"/>
              </w:rPr>
            </w:pPr>
          </w:p>
        </w:tc>
        <w:tc>
          <w:tcPr>
            <w:tcW w:w="2143" w:type="dxa"/>
            <w:vAlign w:val="center"/>
          </w:tcPr>
          <w:p w14:paraId="0A5B1F11">
            <w:pPr>
              <w:pStyle w:val="47"/>
              <w:pBdr>
                <w:bottom w:val="none" w:color="auto" w:sz="0" w:space="0"/>
              </w:pBdr>
              <w:tabs>
                <w:tab w:val="clear" w:pos="4153"/>
                <w:tab w:val="clear" w:pos="8306"/>
              </w:tabs>
              <w:adjustRightInd/>
              <w:spacing w:line="360" w:lineRule="auto"/>
              <w:jc w:val="left"/>
              <w:textAlignment w:val="auto"/>
              <w:rPr>
                <w:rFonts w:hint="eastAsia" w:ascii="宋体" w:hAnsi="宋体" w:eastAsia="宋体"/>
                <w:bCs/>
                <w:kern w:val="2"/>
                <w:lang w:val="en-US" w:eastAsia="zh-CN"/>
              </w:rPr>
            </w:pPr>
            <w:r>
              <w:rPr>
                <w:rFonts w:hint="eastAsia" w:ascii="宋体" w:hAnsi="宋体" w:eastAsia="宋体"/>
                <w:bCs/>
                <w:kern w:val="2"/>
                <w:lang w:val="en-US" w:eastAsia="zh-CN"/>
              </w:rPr>
              <w:t>开启地点</w:t>
            </w:r>
          </w:p>
        </w:tc>
        <w:tc>
          <w:tcPr>
            <w:tcW w:w="6126" w:type="dxa"/>
            <w:vAlign w:val="center"/>
          </w:tcPr>
          <w:p w14:paraId="451BE205">
            <w:pPr>
              <w:pStyle w:val="47"/>
              <w:pBdr>
                <w:bottom w:val="none" w:color="auto" w:sz="0" w:space="0"/>
              </w:pBdr>
              <w:tabs>
                <w:tab w:val="clear" w:pos="4153"/>
                <w:tab w:val="clear" w:pos="8306"/>
              </w:tabs>
              <w:adjustRightInd/>
              <w:spacing w:line="360" w:lineRule="auto"/>
              <w:jc w:val="left"/>
              <w:textAlignment w:val="auto"/>
              <w:rPr>
                <w:rFonts w:hint="eastAsia" w:ascii="宋体" w:hAnsi="宋体" w:eastAsia="宋体"/>
                <w:bCs/>
                <w:kern w:val="2"/>
                <w:lang w:val="en-US" w:eastAsia="zh-CN"/>
              </w:rPr>
            </w:pPr>
            <w:r>
              <w:rPr>
                <w:rFonts w:hint="eastAsia" w:ascii="宋体" w:hAnsi="宋体" w:eastAsia="宋体"/>
                <w:bCs/>
                <w:kern w:val="2"/>
                <w:lang w:val="en-US" w:eastAsia="zh-CN"/>
              </w:rPr>
              <w:t>六安市水利局7楼会议室（六安市金安区皖西大道 1513 号）</w:t>
            </w:r>
          </w:p>
        </w:tc>
      </w:tr>
      <w:tr w14:paraId="5FD3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Merge w:val="continue"/>
            <w:vAlign w:val="center"/>
          </w:tcPr>
          <w:p w14:paraId="63F19292">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p>
        </w:tc>
        <w:tc>
          <w:tcPr>
            <w:tcW w:w="2143" w:type="dxa"/>
            <w:vAlign w:val="center"/>
          </w:tcPr>
          <w:p w14:paraId="069F0FD4">
            <w:pPr>
              <w:pStyle w:val="47"/>
              <w:pBdr>
                <w:bottom w:val="none" w:color="auto" w:sz="0" w:space="0"/>
              </w:pBdr>
              <w:tabs>
                <w:tab w:val="clear" w:pos="4153"/>
                <w:tab w:val="clear" w:pos="8306"/>
              </w:tabs>
              <w:adjustRightInd/>
              <w:spacing w:line="360" w:lineRule="auto"/>
              <w:jc w:val="left"/>
              <w:textAlignment w:val="auto"/>
              <w:rPr>
                <w:rFonts w:hint="eastAsia" w:ascii="宋体" w:hAnsi="宋体" w:eastAsia="宋体"/>
                <w:bCs/>
                <w:kern w:val="2"/>
                <w:lang w:val="en-US" w:eastAsia="zh-CN"/>
              </w:rPr>
            </w:pPr>
            <w:r>
              <w:rPr>
                <w:rFonts w:hint="eastAsia" w:ascii="宋体" w:hAnsi="宋体" w:eastAsia="宋体"/>
                <w:bCs/>
                <w:kern w:val="2"/>
                <w:lang w:val="en-US" w:eastAsia="zh-CN"/>
              </w:rPr>
              <w:t>开启顺序</w:t>
            </w:r>
          </w:p>
        </w:tc>
        <w:tc>
          <w:tcPr>
            <w:tcW w:w="6126" w:type="dxa"/>
            <w:vAlign w:val="center"/>
          </w:tcPr>
          <w:p w14:paraId="45F3D31A">
            <w:pPr>
              <w:pStyle w:val="47"/>
              <w:pBdr>
                <w:bottom w:val="none" w:color="auto" w:sz="0" w:space="0"/>
              </w:pBdr>
              <w:tabs>
                <w:tab w:val="clear" w:pos="4153"/>
                <w:tab w:val="clear" w:pos="8306"/>
              </w:tabs>
              <w:adjustRightInd/>
              <w:spacing w:line="360" w:lineRule="auto"/>
              <w:jc w:val="left"/>
              <w:textAlignment w:val="auto"/>
              <w:rPr>
                <w:rFonts w:hint="eastAsia" w:ascii="宋体" w:hAnsi="宋体" w:eastAsia="宋体"/>
                <w:bCs/>
                <w:kern w:val="2"/>
                <w:lang w:val="en-US" w:eastAsia="zh-CN"/>
              </w:rPr>
            </w:pPr>
            <w:r>
              <w:rPr>
                <w:rFonts w:hint="eastAsia" w:ascii="宋体" w:hAnsi="宋体" w:eastAsia="宋体"/>
                <w:bCs/>
                <w:kern w:val="2"/>
                <w:lang w:val="en-US" w:eastAsia="zh-CN"/>
              </w:rPr>
              <w:t>按供应商递交竞争性磋商响应文件先后顺序的逆序。</w:t>
            </w:r>
          </w:p>
        </w:tc>
      </w:tr>
      <w:tr w14:paraId="7F3D7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53592310">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lang w:val="en-US" w:eastAsia="zh-CN"/>
              </w:rPr>
              <w:t>20</w:t>
            </w:r>
            <w:r>
              <w:rPr>
                <w:rFonts w:hint="eastAsia" w:ascii="宋体" w:hAnsi="宋体" w:eastAsia="宋体"/>
                <w:bCs/>
                <w:kern w:val="2"/>
              </w:rPr>
              <w:t>.3</w:t>
            </w:r>
          </w:p>
        </w:tc>
        <w:tc>
          <w:tcPr>
            <w:tcW w:w="2143" w:type="dxa"/>
            <w:vAlign w:val="center"/>
          </w:tcPr>
          <w:p w14:paraId="04A45282">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评审方法</w:t>
            </w:r>
          </w:p>
        </w:tc>
        <w:tc>
          <w:tcPr>
            <w:tcW w:w="6126" w:type="dxa"/>
            <w:vAlign w:val="center"/>
          </w:tcPr>
          <w:p w14:paraId="09C3952F">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综合评分法</w:t>
            </w:r>
          </w:p>
        </w:tc>
      </w:tr>
      <w:tr w14:paraId="51364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1020" w:type="dxa"/>
            <w:vAlign w:val="center"/>
          </w:tcPr>
          <w:p w14:paraId="076AE104">
            <w:pPr>
              <w:pStyle w:val="47"/>
              <w:pBdr>
                <w:bottom w:val="none" w:color="auto" w:sz="0" w:space="0"/>
              </w:pBdr>
              <w:tabs>
                <w:tab w:val="clear" w:pos="4153"/>
                <w:tab w:val="clear" w:pos="8306"/>
              </w:tabs>
              <w:adjustRightInd/>
              <w:spacing w:line="36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21</w:t>
            </w:r>
          </w:p>
        </w:tc>
        <w:tc>
          <w:tcPr>
            <w:tcW w:w="2143" w:type="dxa"/>
            <w:vAlign w:val="center"/>
          </w:tcPr>
          <w:p w14:paraId="75C7FAB8">
            <w:pPr>
              <w:pStyle w:val="46"/>
              <w:widowControl w:val="0"/>
              <w:spacing w:before="0" w:beforeAutospacing="0" w:after="0" w:afterAutospacing="0"/>
              <w:jc w:val="both"/>
              <w:rPr>
                <w:rFonts w:ascii="宋体" w:hAnsi="宋体" w:eastAsia="宋体"/>
                <w:b w:val="0"/>
                <w:sz w:val="24"/>
              </w:rPr>
            </w:pPr>
            <w:r>
              <w:rPr>
                <w:rFonts w:hint="eastAsia" w:ascii="宋体" w:hAnsi="宋体" w:eastAsia="宋体"/>
                <w:b w:val="0"/>
                <w:sz w:val="24"/>
              </w:rPr>
              <w:t>特殊情形处理</w:t>
            </w:r>
          </w:p>
        </w:tc>
        <w:tc>
          <w:tcPr>
            <w:tcW w:w="6126" w:type="dxa"/>
            <w:vAlign w:val="center"/>
          </w:tcPr>
          <w:p w14:paraId="07407F12">
            <w:pPr>
              <w:spacing w:line="360" w:lineRule="auto"/>
              <w:rPr>
                <w:rFonts w:ascii="宋体" w:hAnsi="宋体" w:eastAsia="宋体"/>
                <w:sz w:val="24"/>
                <w:szCs w:val="18"/>
                <w:u w:val="single"/>
              </w:rPr>
            </w:pPr>
            <w:r>
              <w:rPr>
                <w:rFonts w:hint="eastAsia" w:asciiTheme="minorEastAsia" w:hAnsiTheme="minorEastAsia" w:eastAsiaTheme="minorEastAsia"/>
                <w:sz w:val="24"/>
              </w:rPr>
              <w:t>递交响应文件的供应商数量不足</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家或通过初审的供应商数量不足2家时，采购人将终止竞争性磋商活动。通过初审的供应商数量为2家时，竞争性磋商活动继续。</w:t>
            </w:r>
          </w:p>
        </w:tc>
      </w:tr>
      <w:tr w14:paraId="071BE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50E4A55C">
            <w:pPr>
              <w:pStyle w:val="47"/>
              <w:pBdr>
                <w:bottom w:val="none" w:color="auto" w:sz="0" w:space="0"/>
              </w:pBdr>
              <w:tabs>
                <w:tab w:val="clear" w:pos="4153"/>
                <w:tab w:val="clear" w:pos="8306"/>
              </w:tabs>
              <w:adjustRightInd/>
              <w:spacing w:line="360" w:lineRule="auto"/>
              <w:textAlignment w:val="auto"/>
              <w:rPr>
                <w:rFonts w:ascii="宋体" w:hAnsi="宋体" w:eastAsia="宋体"/>
                <w:bCs/>
                <w:szCs w:val="28"/>
              </w:rPr>
            </w:pPr>
            <w:r>
              <w:rPr>
                <w:rFonts w:hint="eastAsia" w:ascii="宋体" w:hAnsi="宋体" w:eastAsia="宋体"/>
                <w:bCs/>
                <w:szCs w:val="28"/>
              </w:rPr>
              <w:t>2</w:t>
            </w:r>
            <w:r>
              <w:rPr>
                <w:rFonts w:hint="eastAsia" w:ascii="宋体" w:hAnsi="宋体" w:eastAsia="宋体"/>
                <w:bCs/>
                <w:szCs w:val="28"/>
                <w:lang w:val="en-US" w:eastAsia="zh-CN"/>
              </w:rPr>
              <w:t>2</w:t>
            </w:r>
            <w:r>
              <w:rPr>
                <w:rFonts w:hint="eastAsia" w:ascii="宋体" w:hAnsi="宋体" w:eastAsia="宋体"/>
                <w:bCs/>
                <w:szCs w:val="28"/>
              </w:rPr>
              <w:t>.2</w:t>
            </w:r>
          </w:p>
        </w:tc>
        <w:tc>
          <w:tcPr>
            <w:tcW w:w="2143" w:type="dxa"/>
            <w:vAlign w:val="center"/>
          </w:tcPr>
          <w:p w14:paraId="434840AA">
            <w:pPr>
              <w:snapToGrid w:val="0"/>
              <w:spacing w:line="360" w:lineRule="auto"/>
              <w:jc w:val="center"/>
              <w:rPr>
                <w:rFonts w:ascii="宋体" w:hAnsi="宋体" w:eastAsia="宋体"/>
                <w:bCs/>
                <w:kern w:val="0"/>
                <w:sz w:val="24"/>
                <w:szCs w:val="28"/>
              </w:rPr>
            </w:pPr>
            <w:r>
              <w:rPr>
                <w:rFonts w:hint="eastAsia" w:ascii="宋体" w:hAnsi="宋体" w:eastAsia="宋体"/>
                <w:bCs/>
                <w:kern w:val="0"/>
                <w:sz w:val="24"/>
                <w:szCs w:val="28"/>
              </w:rPr>
              <w:t>响应文件的澄清、说明或更正</w:t>
            </w:r>
          </w:p>
        </w:tc>
        <w:tc>
          <w:tcPr>
            <w:tcW w:w="6126" w:type="dxa"/>
            <w:vAlign w:val="center"/>
          </w:tcPr>
          <w:p w14:paraId="009D3556">
            <w:pPr>
              <w:snapToGrid w:val="0"/>
              <w:spacing w:line="360" w:lineRule="auto"/>
              <w:rPr>
                <w:rFonts w:ascii="宋体" w:hAnsi="宋体" w:eastAsia="宋体"/>
                <w:bCs/>
                <w:kern w:val="0"/>
                <w:sz w:val="24"/>
                <w:szCs w:val="28"/>
              </w:rPr>
            </w:pPr>
            <w:r>
              <w:rPr>
                <w:rFonts w:hint="eastAsia" w:ascii="宋体" w:hAnsi="宋体" w:eastAsia="宋体"/>
                <w:bCs/>
                <w:kern w:val="0"/>
                <w:sz w:val="24"/>
                <w:szCs w:val="28"/>
              </w:rPr>
              <w:t>1.竞争性磋商小组通过</w:t>
            </w:r>
            <w:r>
              <w:rPr>
                <w:rFonts w:hint="eastAsia" w:ascii="宋体" w:hAnsi="宋体" w:eastAsia="宋体"/>
                <w:bCs/>
                <w:kern w:val="0"/>
                <w:sz w:val="24"/>
                <w:szCs w:val="28"/>
                <w:lang w:val="en-US" w:eastAsia="zh-CN"/>
              </w:rPr>
              <w:t>现场询问</w:t>
            </w:r>
            <w:r>
              <w:rPr>
                <w:rFonts w:hint="eastAsia" w:ascii="宋体" w:hAnsi="宋体" w:eastAsia="宋体"/>
                <w:bCs/>
                <w:kern w:val="0"/>
                <w:sz w:val="24"/>
                <w:szCs w:val="28"/>
              </w:rPr>
              <w:t>将需要澄清、说明或补正的内容以询标函的形式</w:t>
            </w:r>
            <w:r>
              <w:rPr>
                <w:rFonts w:hint="eastAsia" w:ascii="宋体" w:hAnsi="宋体" w:eastAsia="宋体"/>
                <w:bCs/>
                <w:kern w:val="0"/>
                <w:sz w:val="24"/>
                <w:szCs w:val="28"/>
                <w:lang w:val="en-US" w:eastAsia="zh-CN"/>
              </w:rPr>
              <w:t>递交</w:t>
            </w:r>
            <w:r>
              <w:rPr>
                <w:rFonts w:hint="eastAsia" w:ascii="宋体" w:hAnsi="宋体" w:eastAsia="宋体"/>
                <w:bCs/>
                <w:kern w:val="0"/>
                <w:sz w:val="24"/>
                <w:szCs w:val="28"/>
              </w:rPr>
              <w:t>给供应商，供应商应及时接收竞争性磋商小组可能发出的询标函。</w:t>
            </w:r>
          </w:p>
          <w:p w14:paraId="53E3EFF0">
            <w:pPr>
              <w:snapToGrid w:val="0"/>
              <w:spacing w:line="360" w:lineRule="auto"/>
              <w:rPr>
                <w:rFonts w:ascii="宋体" w:hAnsi="宋体" w:eastAsia="宋体"/>
                <w:bCs/>
                <w:kern w:val="0"/>
                <w:sz w:val="24"/>
                <w:szCs w:val="28"/>
              </w:rPr>
            </w:pPr>
            <w:r>
              <w:rPr>
                <w:rFonts w:hint="eastAsia" w:ascii="宋体" w:hAnsi="宋体" w:eastAsia="宋体"/>
                <w:bCs/>
                <w:kern w:val="0"/>
                <w:sz w:val="24"/>
                <w:szCs w:val="28"/>
              </w:rPr>
              <w:t>2.因供应商无法及时接收询标函或未在规定时间内按竞争性磋商小组要求进行澄清、说明或补正内容的视同供应商放弃澄清、说明或补正内容的权利，竞争性磋商小组可按对供应商不利的解释进行判定。</w:t>
            </w:r>
          </w:p>
        </w:tc>
      </w:tr>
      <w:tr w14:paraId="74E1B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0FFB7D1C">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2</w:t>
            </w:r>
            <w:r>
              <w:rPr>
                <w:rFonts w:hint="eastAsia" w:ascii="宋体" w:hAnsi="宋体" w:eastAsia="宋体"/>
                <w:bCs/>
                <w:kern w:val="2"/>
                <w:lang w:val="en-US" w:eastAsia="zh-CN"/>
              </w:rPr>
              <w:t>3</w:t>
            </w:r>
            <w:r>
              <w:rPr>
                <w:rFonts w:ascii="宋体" w:hAnsi="宋体" w:eastAsia="宋体"/>
                <w:bCs/>
                <w:kern w:val="2"/>
              </w:rPr>
              <w:t>.</w:t>
            </w:r>
            <w:r>
              <w:rPr>
                <w:rFonts w:hint="eastAsia" w:ascii="宋体" w:hAnsi="宋体" w:eastAsia="宋体"/>
                <w:bCs/>
                <w:kern w:val="2"/>
              </w:rPr>
              <w:t>4</w:t>
            </w:r>
          </w:p>
        </w:tc>
        <w:tc>
          <w:tcPr>
            <w:tcW w:w="2143" w:type="dxa"/>
            <w:vAlign w:val="center"/>
          </w:tcPr>
          <w:p w14:paraId="1A784898">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最后报价扣除</w:t>
            </w:r>
          </w:p>
        </w:tc>
        <w:tc>
          <w:tcPr>
            <w:tcW w:w="6126" w:type="dxa"/>
            <w:vAlign w:val="center"/>
          </w:tcPr>
          <w:p w14:paraId="3459E90E">
            <w:pPr>
              <w:spacing w:line="360" w:lineRule="auto"/>
              <w:rPr>
                <w:rFonts w:ascii="宋体" w:hAnsi="宋体" w:eastAsia="宋体"/>
                <w:sz w:val="24"/>
              </w:rPr>
            </w:pPr>
            <w:r>
              <w:rPr>
                <w:rFonts w:hint="eastAsia" w:ascii="宋体" w:hAnsi="宋体" w:eastAsia="宋体"/>
                <w:sz w:val="24"/>
                <w:szCs w:val="24"/>
              </w:rPr>
              <w:t>☑</w:t>
            </w:r>
            <w:r>
              <w:rPr>
                <w:rFonts w:ascii="宋体" w:hAnsi="宋体" w:eastAsia="宋体"/>
                <w:sz w:val="24"/>
              </w:rPr>
              <w:t>不</w:t>
            </w:r>
            <w:r>
              <w:rPr>
                <w:rFonts w:hint="eastAsia" w:ascii="宋体" w:hAnsi="宋体" w:eastAsia="宋体"/>
                <w:sz w:val="24"/>
              </w:rPr>
              <w:t>执行最后报价扣除</w:t>
            </w:r>
          </w:p>
        </w:tc>
      </w:tr>
      <w:tr w14:paraId="32F6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0A17A339">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2</w:t>
            </w:r>
            <w:r>
              <w:rPr>
                <w:rFonts w:hint="eastAsia" w:ascii="宋体" w:hAnsi="宋体" w:eastAsia="宋体"/>
                <w:bCs/>
                <w:kern w:val="2"/>
                <w:lang w:val="en-US" w:eastAsia="zh-CN"/>
              </w:rPr>
              <w:t>4</w:t>
            </w:r>
            <w:r>
              <w:rPr>
                <w:rFonts w:ascii="宋体" w:hAnsi="宋体" w:eastAsia="宋体"/>
                <w:bCs/>
                <w:kern w:val="2"/>
              </w:rPr>
              <w:t>.2</w:t>
            </w:r>
          </w:p>
        </w:tc>
        <w:tc>
          <w:tcPr>
            <w:tcW w:w="2143" w:type="dxa"/>
            <w:vAlign w:val="center"/>
          </w:tcPr>
          <w:p w14:paraId="2CE354BE">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核心产品</w:t>
            </w:r>
          </w:p>
        </w:tc>
        <w:tc>
          <w:tcPr>
            <w:tcW w:w="6126" w:type="dxa"/>
            <w:vAlign w:val="center"/>
          </w:tcPr>
          <w:p w14:paraId="34964BA9">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无</w:t>
            </w:r>
          </w:p>
        </w:tc>
      </w:tr>
      <w:tr w14:paraId="2319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Merge w:val="restart"/>
            <w:vAlign w:val="center"/>
          </w:tcPr>
          <w:p w14:paraId="0D6BA85D">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2</w:t>
            </w:r>
            <w:r>
              <w:rPr>
                <w:rFonts w:hint="eastAsia" w:ascii="宋体" w:hAnsi="宋体" w:eastAsia="宋体"/>
                <w:bCs/>
                <w:kern w:val="2"/>
                <w:lang w:val="en-US" w:eastAsia="zh-CN"/>
              </w:rPr>
              <w:t>5</w:t>
            </w:r>
            <w:r>
              <w:rPr>
                <w:rFonts w:ascii="宋体" w:hAnsi="宋体" w:eastAsia="宋体"/>
                <w:bCs/>
                <w:kern w:val="2"/>
              </w:rPr>
              <w:t>.</w:t>
            </w:r>
            <w:r>
              <w:rPr>
                <w:rFonts w:hint="eastAsia" w:ascii="宋体" w:hAnsi="宋体" w:eastAsia="宋体"/>
                <w:bCs/>
                <w:kern w:val="2"/>
              </w:rPr>
              <w:t>1</w:t>
            </w:r>
          </w:p>
        </w:tc>
        <w:tc>
          <w:tcPr>
            <w:tcW w:w="2143" w:type="dxa"/>
            <w:vMerge w:val="restart"/>
            <w:vAlign w:val="center"/>
          </w:tcPr>
          <w:p w14:paraId="3E6464F4">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确定成交候选供应商和成交供应商</w:t>
            </w:r>
          </w:p>
        </w:tc>
        <w:tc>
          <w:tcPr>
            <w:tcW w:w="6126" w:type="dxa"/>
            <w:vAlign w:val="center"/>
          </w:tcPr>
          <w:p w14:paraId="38AF2F0D">
            <w:pPr>
              <w:pStyle w:val="46"/>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rPr>
              <w:t>竞争性磋商小组推荐成交</w:t>
            </w:r>
            <w:r>
              <w:rPr>
                <w:rFonts w:ascii="宋体" w:hAnsi="宋体" w:eastAsia="宋体"/>
                <w:b w:val="0"/>
                <w:sz w:val="24"/>
              </w:rPr>
              <w:t>候选</w:t>
            </w:r>
            <w:r>
              <w:rPr>
                <w:rFonts w:hint="eastAsia" w:ascii="宋体" w:hAnsi="宋体" w:eastAsia="宋体"/>
                <w:b w:val="0"/>
                <w:sz w:val="24"/>
              </w:rPr>
              <w:t>供应商的</w:t>
            </w:r>
            <w:r>
              <w:rPr>
                <w:rFonts w:ascii="宋体" w:hAnsi="宋体" w:eastAsia="宋体"/>
                <w:b w:val="0"/>
                <w:sz w:val="24"/>
              </w:rPr>
              <w:t>数量</w:t>
            </w:r>
            <w:r>
              <w:rPr>
                <w:rFonts w:hint="eastAsia" w:ascii="宋体" w:hAnsi="宋体" w:eastAsia="宋体"/>
                <w:b w:val="0"/>
                <w:sz w:val="24"/>
              </w:rPr>
              <w:t>：</w:t>
            </w:r>
            <w:r>
              <w:rPr>
                <w:rFonts w:hint="eastAsia" w:ascii="宋体" w:hAnsi="宋体" w:eastAsia="宋体"/>
                <w:b w:val="0"/>
                <w:sz w:val="24"/>
                <w:u w:val="single"/>
              </w:rPr>
              <w:t>2-3家</w:t>
            </w:r>
          </w:p>
        </w:tc>
      </w:tr>
      <w:tr w14:paraId="42DCB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Merge w:val="continue"/>
            <w:vAlign w:val="center"/>
          </w:tcPr>
          <w:p w14:paraId="6D8C8DE2">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p>
        </w:tc>
        <w:tc>
          <w:tcPr>
            <w:tcW w:w="2143" w:type="dxa"/>
            <w:vMerge w:val="continue"/>
            <w:vAlign w:val="center"/>
          </w:tcPr>
          <w:p w14:paraId="3F6277DB">
            <w:pPr>
              <w:pStyle w:val="46"/>
              <w:widowControl w:val="0"/>
              <w:spacing w:before="0" w:beforeAutospacing="0" w:after="0" w:afterAutospacing="0" w:line="360" w:lineRule="auto"/>
              <w:jc w:val="both"/>
              <w:rPr>
                <w:rFonts w:ascii="宋体" w:hAnsi="宋体" w:eastAsia="宋体"/>
                <w:b w:val="0"/>
                <w:sz w:val="24"/>
              </w:rPr>
            </w:pPr>
          </w:p>
        </w:tc>
        <w:tc>
          <w:tcPr>
            <w:tcW w:w="6126" w:type="dxa"/>
            <w:vAlign w:val="center"/>
          </w:tcPr>
          <w:p w14:paraId="21248D1D">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由采购人确定成交供应商</w:t>
            </w:r>
          </w:p>
        </w:tc>
      </w:tr>
      <w:tr w14:paraId="20F18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3AFCB98D">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2</w:t>
            </w:r>
            <w:r>
              <w:rPr>
                <w:rFonts w:hint="eastAsia" w:ascii="宋体" w:hAnsi="宋体" w:eastAsia="宋体"/>
                <w:bCs/>
                <w:kern w:val="2"/>
                <w:lang w:val="en-US" w:eastAsia="zh-CN"/>
              </w:rPr>
              <w:t>9</w:t>
            </w:r>
            <w:r>
              <w:rPr>
                <w:rFonts w:ascii="宋体" w:hAnsi="宋体" w:eastAsia="宋体"/>
                <w:bCs/>
                <w:kern w:val="2"/>
              </w:rPr>
              <w:t>.1</w:t>
            </w:r>
          </w:p>
        </w:tc>
        <w:tc>
          <w:tcPr>
            <w:tcW w:w="2143" w:type="dxa"/>
            <w:vAlign w:val="center"/>
          </w:tcPr>
          <w:p w14:paraId="4D1EEF65">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成交通知书发出的形式</w:t>
            </w:r>
          </w:p>
        </w:tc>
        <w:tc>
          <w:tcPr>
            <w:tcW w:w="6126" w:type="dxa"/>
            <w:vAlign w:val="center"/>
          </w:tcPr>
          <w:p w14:paraId="0B1582FD">
            <w:pPr>
              <w:pStyle w:val="46"/>
              <w:widowControl w:val="0"/>
              <w:spacing w:before="0" w:beforeAutospacing="0" w:after="0" w:afterAutospacing="0" w:line="360" w:lineRule="auto"/>
              <w:jc w:val="both"/>
              <w:rPr>
                <w:rFonts w:ascii="宋体" w:hAnsi="宋体" w:eastAsia="宋体"/>
                <w:b w:val="0"/>
                <w:sz w:val="24"/>
              </w:rPr>
            </w:pPr>
            <w:r>
              <w:rPr>
                <w:rFonts w:ascii="宋体" w:hAnsi="宋体" w:eastAsia="宋体"/>
                <w:b w:val="0"/>
                <w:sz w:val="24"/>
              </w:rPr>
              <w:t xml:space="preserve"> </w:t>
            </w:r>
            <w:r>
              <w:rPr>
                <w:rFonts w:hint="eastAsia" w:ascii="宋体" w:hAnsi="宋体" w:eastAsia="宋体"/>
                <w:b w:val="0"/>
                <w:sz w:val="24"/>
              </w:rPr>
              <w:t>☑</w:t>
            </w:r>
            <w:r>
              <w:rPr>
                <w:rFonts w:hint="eastAsia" w:ascii="宋体" w:hAnsi="宋体" w:eastAsia="宋体"/>
                <w:b w:val="0"/>
                <w:color w:val="auto"/>
                <w:sz w:val="24"/>
                <w:highlight w:val="none"/>
                <w:lang w:eastAsia="zh-CN"/>
              </w:rPr>
              <w:t>纸质</w:t>
            </w:r>
            <w:r>
              <w:rPr>
                <w:rFonts w:hint="eastAsia" w:ascii="宋体" w:hAnsi="宋体" w:eastAsia="宋体"/>
                <w:b w:val="0"/>
                <w:color w:val="auto"/>
                <w:sz w:val="24"/>
                <w:highlight w:val="none"/>
              </w:rPr>
              <w:t>书面</w:t>
            </w:r>
          </w:p>
        </w:tc>
      </w:tr>
      <w:tr w14:paraId="77852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55711298">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lang w:val="en-US" w:eastAsia="zh-CN"/>
              </w:rPr>
              <w:t>30</w:t>
            </w:r>
            <w:r>
              <w:rPr>
                <w:rFonts w:ascii="宋体" w:hAnsi="宋体" w:eastAsia="宋体"/>
                <w:bCs/>
                <w:kern w:val="2"/>
              </w:rPr>
              <w:t>.1</w:t>
            </w:r>
          </w:p>
        </w:tc>
        <w:tc>
          <w:tcPr>
            <w:tcW w:w="2143" w:type="dxa"/>
            <w:vAlign w:val="center"/>
          </w:tcPr>
          <w:p w14:paraId="12440F76">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告知竞争性磋商结果的形式</w:t>
            </w:r>
          </w:p>
        </w:tc>
        <w:tc>
          <w:tcPr>
            <w:tcW w:w="6126" w:type="dxa"/>
            <w:vAlign w:val="center"/>
          </w:tcPr>
          <w:p w14:paraId="7D631D49">
            <w:pPr>
              <w:pStyle w:val="46"/>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 w:val="0"/>
                <w:bCs w:val="0"/>
                <w:sz w:val="24"/>
                <w:szCs w:val="24"/>
              </w:rPr>
              <w:t>供应商自行查看</w:t>
            </w:r>
          </w:p>
        </w:tc>
      </w:tr>
      <w:tr w14:paraId="3880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2E332353">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3</w:t>
            </w:r>
            <w:r>
              <w:rPr>
                <w:rFonts w:hint="eastAsia" w:ascii="宋体" w:hAnsi="宋体" w:eastAsia="宋体"/>
                <w:bCs/>
                <w:kern w:val="2"/>
                <w:lang w:val="en-US" w:eastAsia="zh-CN"/>
              </w:rPr>
              <w:t>1</w:t>
            </w:r>
            <w:r>
              <w:rPr>
                <w:rFonts w:ascii="宋体" w:hAnsi="宋体" w:eastAsia="宋体"/>
                <w:bCs/>
                <w:kern w:val="2"/>
              </w:rPr>
              <w:t>.1</w:t>
            </w:r>
          </w:p>
        </w:tc>
        <w:tc>
          <w:tcPr>
            <w:tcW w:w="2143" w:type="dxa"/>
            <w:vAlign w:val="center"/>
          </w:tcPr>
          <w:p w14:paraId="4E47A4E6">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履约保证金</w:t>
            </w:r>
          </w:p>
        </w:tc>
        <w:tc>
          <w:tcPr>
            <w:tcW w:w="6126" w:type="dxa"/>
            <w:vAlign w:val="center"/>
          </w:tcPr>
          <w:p w14:paraId="3A10DA46">
            <w:pPr>
              <w:pStyle w:val="46"/>
              <w:widowControl w:val="0"/>
              <w:spacing w:before="0" w:beforeAutospacing="0" w:after="0" w:afterAutospacing="0" w:line="360" w:lineRule="auto"/>
              <w:jc w:val="both"/>
              <w:rPr>
                <w:rFonts w:hint="eastAsia" w:ascii="宋体" w:hAnsi="宋体" w:eastAsia="宋体"/>
                <w:b w:val="0"/>
                <w:sz w:val="24"/>
                <w:lang w:val="en-US" w:eastAsia="zh-CN"/>
              </w:rPr>
            </w:pPr>
            <w:r>
              <w:rPr>
                <w:rFonts w:hint="eastAsia" w:ascii="宋体" w:hAnsi="宋体" w:eastAsia="宋体"/>
                <w:b w:val="0"/>
                <w:sz w:val="24"/>
                <w:lang w:val="en-US" w:eastAsia="zh-CN"/>
              </w:rPr>
              <w:t>/</w:t>
            </w:r>
          </w:p>
        </w:tc>
      </w:tr>
      <w:tr w14:paraId="4B234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471312EC">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3</w:t>
            </w:r>
            <w:r>
              <w:rPr>
                <w:rFonts w:hint="eastAsia" w:ascii="宋体" w:hAnsi="宋体" w:eastAsia="宋体"/>
                <w:bCs/>
                <w:kern w:val="2"/>
                <w:lang w:val="en-US" w:eastAsia="zh-CN"/>
              </w:rPr>
              <w:t>2</w:t>
            </w:r>
            <w:r>
              <w:rPr>
                <w:rFonts w:ascii="宋体" w:hAnsi="宋体" w:eastAsia="宋体"/>
                <w:bCs/>
                <w:kern w:val="2"/>
              </w:rPr>
              <w:t>.1</w:t>
            </w:r>
          </w:p>
        </w:tc>
        <w:tc>
          <w:tcPr>
            <w:tcW w:w="2143" w:type="dxa"/>
            <w:vAlign w:val="center"/>
          </w:tcPr>
          <w:p w14:paraId="523A6321">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采购代理服务费</w:t>
            </w:r>
          </w:p>
        </w:tc>
        <w:tc>
          <w:tcPr>
            <w:tcW w:w="6126" w:type="dxa"/>
            <w:vAlign w:val="center"/>
          </w:tcPr>
          <w:p w14:paraId="5C5398FD">
            <w:pPr>
              <w:pStyle w:val="46"/>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1）按《招标代理服务收费管理暂行办法》(计价格[2002]1980号)招标代理服务收费标准收取，文件审查费及专家评审费另行计算，以上费用由成交供应商在领取成交通知书前向采购代理机构缴纳，包含在响应报价中，不单独列项。</w:t>
            </w:r>
          </w:p>
          <w:p w14:paraId="114F3564">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（2）支付方式：</w:t>
            </w:r>
            <w:r>
              <w:rPr>
                <w:rFonts w:hint="eastAsia" w:ascii="宋体" w:hAnsi="宋体" w:eastAsia="宋体"/>
                <w:b w:val="0"/>
                <w:sz w:val="24"/>
                <w:szCs w:val="24"/>
              </w:rPr>
              <w:t>☑</w:t>
            </w:r>
            <w:r>
              <w:rPr>
                <w:rFonts w:ascii="宋体" w:hAnsi="宋体" w:eastAsia="宋体"/>
                <w:b w:val="0"/>
                <w:sz w:val="24"/>
              </w:rPr>
              <w:t>转账/电汇</w:t>
            </w:r>
          </w:p>
          <w:p w14:paraId="23E622BF">
            <w:pPr>
              <w:pStyle w:val="46"/>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rPr>
              <w:t>（3）收取单位：</w:t>
            </w:r>
            <w:r>
              <w:rPr>
                <w:rFonts w:hint="eastAsia" w:ascii="宋体" w:hAnsi="宋体" w:eastAsia="宋体"/>
                <w:b w:val="0"/>
                <w:sz w:val="24"/>
                <w:u w:val="single"/>
              </w:rPr>
              <w:t>安徽安兆工程技术咨询服务有限公司</w:t>
            </w:r>
          </w:p>
          <w:p w14:paraId="5813B42F">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（4）缴纳时间：</w:t>
            </w:r>
            <w:r>
              <w:rPr>
                <w:rFonts w:hint="eastAsia" w:ascii="宋体" w:hAnsi="宋体" w:eastAsia="宋体"/>
                <w:b w:val="0"/>
                <w:sz w:val="24"/>
                <w:u w:val="single"/>
              </w:rPr>
              <w:t>领取成交通知书前</w:t>
            </w:r>
          </w:p>
        </w:tc>
      </w:tr>
      <w:tr w14:paraId="26204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04D5FE87">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3</w:t>
            </w:r>
            <w:r>
              <w:rPr>
                <w:rFonts w:hint="eastAsia" w:ascii="宋体" w:hAnsi="宋体" w:eastAsia="宋体"/>
                <w:bCs/>
                <w:kern w:val="2"/>
                <w:lang w:val="en-US" w:eastAsia="zh-CN"/>
              </w:rPr>
              <w:t>4</w:t>
            </w:r>
            <w:r>
              <w:rPr>
                <w:rFonts w:ascii="宋体" w:hAnsi="宋体" w:eastAsia="宋体"/>
                <w:bCs/>
                <w:kern w:val="2"/>
              </w:rPr>
              <w:t>.3</w:t>
            </w:r>
          </w:p>
        </w:tc>
        <w:tc>
          <w:tcPr>
            <w:tcW w:w="2143" w:type="dxa"/>
            <w:vAlign w:val="center"/>
          </w:tcPr>
          <w:p w14:paraId="719C6DE5">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质疑函递交方式、接收部门、联系电话和通讯地址</w:t>
            </w:r>
          </w:p>
        </w:tc>
        <w:tc>
          <w:tcPr>
            <w:tcW w:w="6126" w:type="dxa"/>
            <w:vAlign w:val="center"/>
          </w:tcPr>
          <w:p w14:paraId="4C359173">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递交方式：</w:t>
            </w:r>
            <w:r>
              <w:rPr>
                <w:rFonts w:hint="eastAsia" w:ascii="宋体" w:hAnsi="宋体" w:eastAsia="宋体"/>
                <w:b w:val="0"/>
                <w:sz w:val="24"/>
                <w:u w:val="single"/>
              </w:rPr>
              <w:t>纸质形式</w:t>
            </w:r>
          </w:p>
          <w:p w14:paraId="7880340B">
            <w:pPr>
              <w:pStyle w:val="46"/>
              <w:widowControl w:val="0"/>
              <w:spacing w:before="0" w:beforeAutospacing="0" w:after="0" w:afterAutospacing="0" w:line="360" w:lineRule="auto"/>
              <w:jc w:val="both"/>
              <w:rPr>
                <w:rFonts w:ascii="宋体" w:hAnsi="宋体" w:eastAsia="宋体"/>
                <w:b w:val="0"/>
                <w:bCs w:val="0"/>
                <w:sz w:val="24"/>
                <w:szCs w:val="18"/>
                <w:u w:val="single"/>
              </w:rPr>
            </w:pPr>
            <w:r>
              <w:rPr>
                <w:rFonts w:hint="eastAsia" w:ascii="宋体" w:hAnsi="宋体" w:eastAsia="宋体"/>
                <w:b w:val="0"/>
                <w:sz w:val="24"/>
              </w:rPr>
              <w:t>接收部门：</w:t>
            </w:r>
            <w:r>
              <w:rPr>
                <w:rFonts w:hint="eastAsia" w:ascii="宋体" w:hAnsi="宋体" w:eastAsia="宋体"/>
                <w:b w:val="0"/>
                <w:bCs w:val="0"/>
                <w:sz w:val="24"/>
                <w:szCs w:val="18"/>
                <w:u w:val="single"/>
              </w:rPr>
              <w:t xml:space="preserve"> </w:t>
            </w:r>
            <w:r>
              <w:rPr>
                <w:rFonts w:hint="eastAsia" w:ascii="宋体" w:hAnsi="宋体" w:eastAsia="宋体"/>
                <w:b w:val="0"/>
                <w:bCs w:val="0"/>
                <w:sz w:val="24"/>
                <w:szCs w:val="18"/>
                <w:u w:val="single"/>
                <w:lang w:eastAsia="zh-CN"/>
              </w:rPr>
              <w:t>六安市水利局</w:t>
            </w:r>
            <w:r>
              <w:rPr>
                <w:rFonts w:ascii="宋体" w:hAnsi="宋体" w:eastAsia="宋体"/>
                <w:b w:val="0"/>
                <w:bCs w:val="0"/>
                <w:sz w:val="24"/>
                <w:szCs w:val="18"/>
                <w:u w:val="single"/>
              </w:rPr>
              <w:t xml:space="preserve">  </w:t>
            </w:r>
          </w:p>
          <w:p w14:paraId="7AD645AA">
            <w:pPr>
              <w:pStyle w:val="46"/>
              <w:widowControl w:val="0"/>
              <w:spacing w:before="0" w:beforeAutospacing="0" w:after="0" w:afterAutospacing="0" w:line="360" w:lineRule="auto"/>
              <w:jc w:val="both"/>
              <w:rPr>
                <w:rFonts w:ascii="宋体" w:hAnsi="宋体" w:eastAsia="宋体"/>
                <w:b w:val="0"/>
                <w:bCs w:val="0"/>
                <w:sz w:val="24"/>
                <w:szCs w:val="18"/>
                <w:u w:val="single"/>
              </w:rPr>
            </w:pPr>
            <w:r>
              <w:rPr>
                <w:rFonts w:ascii="宋体" w:hAnsi="宋体" w:eastAsia="宋体"/>
                <w:b w:val="0"/>
                <w:sz w:val="24"/>
              </w:rPr>
              <w:t>联系电话：</w:t>
            </w:r>
            <w:r>
              <w:rPr>
                <w:rFonts w:hint="eastAsia" w:ascii="宋体" w:hAnsi="宋体" w:eastAsia="宋体"/>
                <w:b w:val="0"/>
                <w:sz w:val="24"/>
                <w:u w:val="single"/>
              </w:rPr>
              <w:t>六安市金安区皖西大道 1513 号</w:t>
            </w:r>
            <w:r>
              <w:rPr>
                <w:rFonts w:ascii="宋体" w:hAnsi="宋体" w:eastAsia="宋体"/>
                <w:b w:val="0"/>
                <w:bCs w:val="0"/>
                <w:sz w:val="24"/>
                <w:szCs w:val="18"/>
                <w:u w:val="single"/>
              </w:rPr>
              <w:t xml:space="preserve"> </w:t>
            </w:r>
          </w:p>
          <w:p w14:paraId="7353E8D0">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通讯地址：</w:t>
            </w:r>
            <w:r>
              <w:rPr>
                <w:rFonts w:hint="eastAsia" w:ascii="宋体" w:hAnsi="宋体" w:eastAsia="宋体"/>
                <w:b w:val="0"/>
                <w:bCs w:val="0"/>
                <w:sz w:val="24"/>
                <w:szCs w:val="18"/>
                <w:u w:val="single"/>
              </w:rPr>
              <w:t xml:space="preserve"> 0564-3339175</w:t>
            </w:r>
            <w:r>
              <w:rPr>
                <w:rFonts w:ascii="宋体" w:hAnsi="宋体" w:eastAsia="宋体"/>
                <w:b w:val="0"/>
                <w:bCs w:val="0"/>
                <w:sz w:val="24"/>
                <w:szCs w:val="18"/>
                <w:u w:val="single"/>
              </w:rPr>
              <w:t xml:space="preserve"> </w:t>
            </w:r>
          </w:p>
        </w:tc>
      </w:tr>
      <w:tr w14:paraId="67E0B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3FB6376D">
            <w:pPr>
              <w:pStyle w:val="47"/>
              <w:pBdr>
                <w:bottom w:val="none" w:color="auto" w:sz="0" w:space="0"/>
              </w:pBdr>
              <w:tabs>
                <w:tab w:val="clear" w:pos="4153"/>
                <w:tab w:val="clear" w:pos="8306"/>
              </w:tabs>
              <w:adjustRightInd/>
              <w:spacing w:line="360" w:lineRule="auto"/>
              <w:textAlignment w:val="auto"/>
              <w:rPr>
                <w:rFonts w:hint="eastAsia" w:ascii="宋体" w:hAnsi="宋体" w:eastAsia="宋体"/>
                <w:bCs/>
                <w:kern w:val="2"/>
                <w:lang w:eastAsia="zh-CN"/>
              </w:rPr>
            </w:pPr>
            <w:r>
              <w:rPr>
                <w:rFonts w:hint="eastAsia" w:ascii="宋体" w:hAnsi="宋体" w:eastAsia="宋体"/>
                <w:bCs/>
                <w:kern w:val="2"/>
              </w:rPr>
              <w:t>3</w:t>
            </w:r>
            <w:r>
              <w:rPr>
                <w:rFonts w:hint="eastAsia" w:ascii="宋体" w:hAnsi="宋体" w:eastAsia="宋体"/>
                <w:bCs/>
                <w:kern w:val="2"/>
                <w:lang w:val="en-US" w:eastAsia="zh-CN"/>
              </w:rPr>
              <w:t>5</w:t>
            </w:r>
          </w:p>
        </w:tc>
        <w:tc>
          <w:tcPr>
            <w:tcW w:w="2143" w:type="dxa"/>
            <w:vAlign w:val="center"/>
          </w:tcPr>
          <w:p w14:paraId="0B480F42">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其他内容</w:t>
            </w:r>
          </w:p>
        </w:tc>
        <w:tc>
          <w:tcPr>
            <w:tcW w:w="6126" w:type="dxa"/>
            <w:vAlign w:val="center"/>
          </w:tcPr>
          <w:p w14:paraId="27060FCA">
            <w:pPr>
              <w:pStyle w:val="46"/>
              <w:widowControl w:val="0"/>
              <w:spacing w:before="0" w:beforeAutospacing="0" w:after="0" w:afterAutospacing="0" w:line="360" w:lineRule="auto"/>
              <w:jc w:val="both"/>
              <w:rPr>
                <w:rFonts w:ascii="宋体" w:hAnsi="宋体" w:eastAsia="宋体"/>
                <w:b w:val="0"/>
                <w:sz w:val="24"/>
              </w:rPr>
            </w:pPr>
          </w:p>
        </w:tc>
      </w:tr>
      <w:tr w14:paraId="173A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7B556595">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ascii="宋体" w:hAnsi="宋体" w:eastAsia="宋体"/>
                <w:bCs/>
                <w:kern w:val="2"/>
              </w:rPr>
              <w:t>3</w:t>
            </w:r>
            <w:r>
              <w:rPr>
                <w:rFonts w:hint="eastAsia" w:ascii="宋体" w:hAnsi="宋体" w:eastAsia="宋体"/>
                <w:bCs/>
                <w:kern w:val="2"/>
                <w:lang w:val="en-US" w:eastAsia="zh-CN"/>
              </w:rPr>
              <w:t>5</w:t>
            </w:r>
            <w:r>
              <w:rPr>
                <w:rFonts w:ascii="宋体" w:hAnsi="宋体" w:eastAsia="宋体"/>
                <w:bCs/>
                <w:kern w:val="2"/>
              </w:rPr>
              <w:t>.</w:t>
            </w:r>
            <w:r>
              <w:rPr>
                <w:rFonts w:hint="eastAsia" w:ascii="宋体" w:hAnsi="宋体" w:eastAsia="宋体"/>
                <w:bCs/>
                <w:kern w:val="2"/>
              </w:rPr>
              <w:t>1</w:t>
            </w:r>
          </w:p>
        </w:tc>
        <w:tc>
          <w:tcPr>
            <w:tcW w:w="2143" w:type="dxa"/>
            <w:vAlign w:val="center"/>
          </w:tcPr>
          <w:p w14:paraId="5F939237">
            <w:pPr>
              <w:pStyle w:val="46"/>
              <w:widowControl w:val="0"/>
              <w:spacing w:before="0" w:beforeAutospacing="0" w:after="0" w:afterAutospacing="0" w:line="360" w:lineRule="auto"/>
              <w:jc w:val="both"/>
              <w:rPr>
                <w:rFonts w:ascii="宋体" w:hAnsi="宋体" w:eastAsia="宋体"/>
                <w:b w:val="0"/>
                <w:bCs/>
                <w:sz w:val="24"/>
              </w:rPr>
            </w:pPr>
            <w:r>
              <w:rPr>
                <w:rFonts w:hint="eastAsia" w:ascii="宋体" w:hAnsi="宋体" w:eastAsia="宋体"/>
                <w:b w:val="0"/>
                <w:bCs/>
                <w:sz w:val="24"/>
              </w:rPr>
              <w:t>本项目提供除电子版竞争性磋商文件以外的其他资料</w:t>
            </w:r>
          </w:p>
        </w:tc>
        <w:tc>
          <w:tcPr>
            <w:tcW w:w="6126" w:type="dxa"/>
            <w:vAlign w:val="center"/>
          </w:tcPr>
          <w:p w14:paraId="0A6F7EC3">
            <w:pPr>
              <w:spacing w:line="360" w:lineRule="auto"/>
              <w:rPr>
                <w:rFonts w:hint="default" w:ascii="宋体" w:hAnsi="宋体" w:eastAsia="宋体"/>
                <w:b w:val="0"/>
                <w:bCs/>
                <w:sz w:val="24"/>
                <w:lang w:val="en-US" w:eastAsia="zh-CN"/>
              </w:rPr>
            </w:pPr>
            <w:r>
              <w:rPr>
                <w:rFonts w:hint="eastAsia" w:ascii="宋体" w:hAnsi="宋体" w:eastAsia="宋体"/>
                <w:b w:val="0"/>
                <w:bCs/>
                <w:sz w:val="24"/>
                <w:lang w:val="en-US" w:eastAsia="zh-CN"/>
              </w:rPr>
              <w:t>无</w:t>
            </w:r>
          </w:p>
        </w:tc>
      </w:tr>
      <w:tr w14:paraId="02862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1C4FDBC5">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ascii="宋体" w:hAnsi="宋体" w:eastAsia="宋体"/>
                <w:bCs/>
                <w:kern w:val="2"/>
              </w:rPr>
              <w:t>3</w:t>
            </w:r>
            <w:r>
              <w:rPr>
                <w:rFonts w:hint="eastAsia" w:ascii="宋体" w:hAnsi="宋体" w:eastAsia="宋体"/>
                <w:bCs/>
                <w:kern w:val="2"/>
                <w:lang w:val="en-US" w:eastAsia="zh-CN"/>
              </w:rPr>
              <w:t>5</w:t>
            </w:r>
            <w:r>
              <w:rPr>
                <w:rFonts w:ascii="宋体" w:hAnsi="宋体" w:eastAsia="宋体"/>
                <w:bCs/>
                <w:kern w:val="2"/>
              </w:rPr>
              <w:t>.</w:t>
            </w:r>
            <w:r>
              <w:rPr>
                <w:rFonts w:hint="eastAsia" w:ascii="宋体" w:hAnsi="宋体" w:eastAsia="宋体"/>
                <w:bCs/>
                <w:kern w:val="2"/>
              </w:rPr>
              <w:t>2</w:t>
            </w:r>
          </w:p>
        </w:tc>
        <w:tc>
          <w:tcPr>
            <w:tcW w:w="2143" w:type="dxa"/>
            <w:vAlign w:val="center"/>
          </w:tcPr>
          <w:p w14:paraId="36C1783A">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重要提示</w:t>
            </w:r>
          </w:p>
        </w:tc>
        <w:tc>
          <w:tcPr>
            <w:tcW w:w="6126" w:type="dxa"/>
            <w:vAlign w:val="center"/>
          </w:tcPr>
          <w:p w14:paraId="12486146">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1）</w:t>
            </w:r>
            <w:r>
              <w:rPr>
                <w:rFonts w:hint="eastAsia" w:asciiTheme="minorEastAsia" w:hAnsiTheme="minorEastAsia" w:eastAsiaTheme="minorEastAsia"/>
                <w:bCs/>
                <w:sz w:val="24"/>
                <w:szCs w:val="24"/>
              </w:rPr>
              <w:t>成交供应商</w:t>
            </w:r>
            <w:r>
              <w:rPr>
                <w:rFonts w:asciiTheme="minorEastAsia" w:hAnsiTheme="minorEastAsia" w:eastAsiaTheme="minorEastAsia"/>
                <w:bCs/>
                <w:sz w:val="24"/>
                <w:szCs w:val="24"/>
              </w:rPr>
              <w:t>应在规定期限内领取《</w:t>
            </w:r>
            <w:r>
              <w:rPr>
                <w:rFonts w:hint="eastAsia" w:asciiTheme="minorEastAsia" w:hAnsiTheme="minorEastAsia" w:eastAsiaTheme="minorEastAsia"/>
                <w:bCs/>
                <w:sz w:val="24"/>
                <w:szCs w:val="24"/>
              </w:rPr>
              <w:t>成交</w:t>
            </w:r>
            <w:r>
              <w:rPr>
                <w:rFonts w:asciiTheme="minorEastAsia" w:hAnsiTheme="minorEastAsia" w:eastAsiaTheme="minorEastAsia"/>
                <w:bCs/>
                <w:sz w:val="24"/>
                <w:szCs w:val="24"/>
              </w:rPr>
              <w:t>通知书》，若</w:t>
            </w:r>
            <w:r>
              <w:rPr>
                <w:rFonts w:hint="eastAsia" w:asciiTheme="minorEastAsia" w:hAnsiTheme="minorEastAsia" w:eastAsiaTheme="minorEastAsia"/>
                <w:bCs/>
                <w:sz w:val="24"/>
                <w:szCs w:val="24"/>
              </w:rPr>
              <w:t>成交供应商</w:t>
            </w:r>
            <w:r>
              <w:rPr>
                <w:rFonts w:asciiTheme="minorEastAsia" w:hAnsiTheme="minorEastAsia" w:eastAsiaTheme="minorEastAsia"/>
                <w:bCs/>
                <w:sz w:val="24"/>
                <w:szCs w:val="24"/>
              </w:rPr>
              <w:t>未在规定期限内领取《</w:t>
            </w:r>
            <w:r>
              <w:rPr>
                <w:rFonts w:hint="eastAsia" w:asciiTheme="minorEastAsia" w:hAnsiTheme="minorEastAsia" w:eastAsiaTheme="minorEastAsia"/>
                <w:bCs/>
                <w:sz w:val="24"/>
                <w:szCs w:val="24"/>
              </w:rPr>
              <w:t>成交</w:t>
            </w:r>
            <w:r>
              <w:rPr>
                <w:rFonts w:asciiTheme="minorEastAsia" w:hAnsiTheme="minorEastAsia" w:eastAsiaTheme="minorEastAsia"/>
                <w:bCs/>
                <w:sz w:val="24"/>
                <w:szCs w:val="24"/>
              </w:rPr>
              <w:t>通知书》，</w:t>
            </w:r>
            <w:r>
              <w:rPr>
                <w:rFonts w:hint="eastAsia" w:asciiTheme="minorEastAsia" w:hAnsiTheme="minorEastAsia" w:eastAsiaTheme="minorEastAsia"/>
                <w:bCs/>
                <w:sz w:val="24"/>
                <w:szCs w:val="24"/>
              </w:rPr>
              <w:t>可视为成交供应商放弃成交，</w:t>
            </w:r>
            <w:r>
              <w:rPr>
                <w:rFonts w:asciiTheme="minorEastAsia" w:hAnsiTheme="minorEastAsia" w:eastAsiaTheme="minorEastAsia"/>
                <w:bCs/>
                <w:sz w:val="24"/>
                <w:szCs w:val="24"/>
              </w:rPr>
              <w:t>采购人有权取消</w:t>
            </w:r>
            <w:r>
              <w:rPr>
                <w:rFonts w:hint="eastAsia" w:asciiTheme="minorEastAsia" w:hAnsiTheme="minorEastAsia" w:eastAsiaTheme="minorEastAsia"/>
                <w:bCs/>
                <w:sz w:val="24"/>
                <w:szCs w:val="24"/>
              </w:rPr>
              <w:t>成交供应商成交</w:t>
            </w:r>
            <w:r>
              <w:rPr>
                <w:rFonts w:asciiTheme="minorEastAsia" w:hAnsiTheme="minorEastAsia" w:eastAsiaTheme="minorEastAsia"/>
                <w:bCs/>
                <w:sz w:val="24"/>
                <w:szCs w:val="24"/>
              </w:rPr>
              <w:t>资格</w:t>
            </w:r>
            <w:r>
              <w:rPr>
                <w:rFonts w:hint="eastAsia" w:asciiTheme="minorEastAsia" w:hAnsiTheme="minorEastAsia" w:eastAsiaTheme="minorEastAsia"/>
                <w:bCs/>
                <w:sz w:val="24"/>
                <w:szCs w:val="24"/>
              </w:rPr>
              <w:t>；</w:t>
            </w:r>
          </w:p>
          <w:p w14:paraId="495DBEF4">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2）</w:t>
            </w:r>
            <w:r>
              <w:rPr>
                <w:rFonts w:hint="eastAsia" w:asciiTheme="minorEastAsia" w:hAnsiTheme="minorEastAsia" w:eastAsiaTheme="minorEastAsia"/>
                <w:bCs/>
                <w:sz w:val="24"/>
                <w:szCs w:val="24"/>
              </w:rPr>
              <w:t>成交供应商</w:t>
            </w:r>
            <w:r>
              <w:rPr>
                <w:rFonts w:asciiTheme="minorEastAsia" w:hAnsiTheme="minorEastAsia" w:eastAsiaTheme="minorEastAsia"/>
                <w:bCs/>
                <w:sz w:val="24"/>
                <w:szCs w:val="24"/>
              </w:rPr>
              <w:t>应在规定期限内提交履约担保并与</w:t>
            </w:r>
            <w:r>
              <w:rPr>
                <w:rFonts w:hint="eastAsia" w:asciiTheme="minorEastAsia" w:hAnsiTheme="minorEastAsia" w:eastAsiaTheme="minorEastAsia"/>
                <w:bCs/>
                <w:sz w:val="24"/>
                <w:szCs w:val="24"/>
              </w:rPr>
              <w:t>采购</w:t>
            </w:r>
            <w:r>
              <w:rPr>
                <w:rFonts w:asciiTheme="minorEastAsia" w:hAnsiTheme="minorEastAsia" w:eastAsiaTheme="minorEastAsia"/>
                <w:bCs/>
                <w:sz w:val="24"/>
                <w:szCs w:val="24"/>
              </w:rPr>
              <w:t>人签订合同，若</w:t>
            </w:r>
            <w:r>
              <w:rPr>
                <w:rFonts w:hint="eastAsia" w:asciiTheme="minorEastAsia" w:hAnsiTheme="minorEastAsia" w:eastAsiaTheme="minorEastAsia"/>
                <w:bCs/>
                <w:sz w:val="24"/>
                <w:szCs w:val="24"/>
              </w:rPr>
              <w:t>成交供应商</w:t>
            </w:r>
            <w:r>
              <w:rPr>
                <w:rFonts w:asciiTheme="minorEastAsia" w:hAnsiTheme="minorEastAsia" w:eastAsiaTheme="minorEastAsia"/>
                <w:bCs/>
                <w:sz w:val="24"/>
                <w:szCs w:val="24"/>
              </w:rPr>
              <w:t>未能在规定期限内提交履约担保或签订合同，</w:t>
            </w:r>
            <w:r>
              <w:rPr>
                <w:rFonts w:hint="eastAsia" w:asciiTheme="minorEastAsia" w:hAnsiTheme="minorEastAsia" w:eastAsiaTheme="minorEastAsia"/>
                <w:bCs/>
                <w:sz w:val="24"/>
                <w:szCs w:val="24"/>
              </w:rPr>
              <w:t>可视为成交供应商放弃成交，</w:t>
            </w:r>
            <w:r>
              <w:rPr>
                <w:rFonts w:asciiTheme="minorEastAsia" w:hAnsiTheme="minorEastAsia" w:eastAsiaTheme="minorEastAsia"/>
                <w:bCs/>
                <w:sz w:val="24"/>
                <w:szCs w:val="24"/>
              </w:rPr>
              <w:t>采购人有权取消</w:t>
            </w:r>
            <w:r>
              <w:rPr>
                <w:rFonts w:hint="eastAsia" w:asciiTheme="minorEastAsia" w:hAnsiTheme="minorEastAsia" w:eastAsiaTheme="minorEastAsia"/>
                <w:bCs/>
                <w:sz w:val="24"/>
                <w:szCs w:val="24"/>
              </w:rPr>
              <w:t>成交供应商成交</w:t>
            </w:r>
            <w:r>
              <w:rPr>
                <w:rFonts w:asciiTheme="minorEastAsia" w:hAnsiTheme="minorEastAsia" w:eastAsiaTheme="minorEastAsia"/>
                <w:bCs/>
                <w:sz w:val="24"/>
                <w:szCs w:val="24"/>
              </w:rPr>
              <w:t>资格</w:t>
            </w:r>
            <w:r>
              <w:rPr>
                <w:rFonts w:hint="eastAsia" w:asciiTheme="minorEastAsia" w:hAnsiTheme="minorEastAsia" w:eastAsiaTheme="minorEastAsia"/>
                <w:bCs/>
                <w:sz w:val="24"/>
                <w:szCs w:val="24"/>
              </w:rPr>
              <w:t>；</w:t>
            </w:r>
          </w:p>
          <w:p w14:paraId="33F22229">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3）</w:t>
            </w:r>
            <w:r>
              <w:rPr>
                <w:rFonts w:hint="eastAsia" w:asciiTheme="minorEastAsia" w:hAnsiTheme="minorEastAsia" w:eastAsiaTheme="minorEastAsia"/>
                <w:bCs/>
                <w:sz w:val="24"/>
                <w:szCs w:val="24"/>
              </w:rPr>
              <w:t>合同签订后，成交供应商存在规定时间内不组织人员履行合同义务，采购人有权解除合同，并追究违约责任；</w:t>
            </w:r>
          </w:p>
          <w:p w14:paraId="6F612B31">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4）</w:t>
            </w:r>
            <w:r>
              <w:rPr>
                <w:rFonts w:hint="eastAsia" w:asciiTheme="minorEastAsia" w:hAnsiTheme="minorEastAsia" w:eastAsiaTheme="minorEastAsia"/>
                <w:bCs/>
                <w:sz w:val="24"/>
                <w:szCs w:val="24"/>
              </w:rPr>
              <w:t>成交供应商成交</w:t>
            </w:r>
            <w:r>
              <w:rPr>
                <w:rFonts w:asciiTheme="minorEastAsia" w:hAnsiTheme="minorEastAsia" w:eastAsiaTheme="minorEastAsia"/>
                <w:bCs/>
                <w:sz w:val="24"/>
                <w:szCs w:val="24"/>
              </w:rPr>
              <w:t>后被查实存在违法行为，不满足</w:t>
            </w:r>
            <w:r>
              <w:rPr>
                <w:rFonts w:hint="eastAsia" w:asciiTheme="minorEastAsia" w:hAnsiTheme="minorEastAsia" w:eastAsiaTheme="minorEastAsia"/>
                <w:bCs/>
                <w:sz w:val="24"/>
                <w:szCs w:val="24"/>
              </w:rPr>
              <w:t>成交</w:t>
            </w:r>
            <w:r>
              <w:rPr>
                <w:rFonts w:asciiTheme="minorEastAsia" w:hAnsiTheme="minorEastAsia" w:eastAsiaTheme="minorEastAsia"/>
                <w:bCs/>
                <w:sz w:val="24"/>
                <w:szCs w:val="24"/>
              </w:rPr>
              <w:t>条件的，由采购人取消</w:t>
            </w:r>
            <w:r>
              <w:rPr>
                <w:rFonts w:hint="eastAsia" w:asciiTheme="minorEastAsia" w:hAnsiTheme="minorEastAsia" w:eastAsiaTheme="minorEastAsia"/>
                <w:bCs/>
                <w:sz w:val="24"/>
                <w:szCs w:val="24"/>
              </w:rPr>
              <w:t>成交</w:t>
            </w:r>
            <w:r>
              <w:rPr>
                <w:rFonts w:asciiTheme="minorEastAsia" w:hAnsiTheme="minorEastAsia" w:eastAsiaTheme="minorEastAsia"/>
                <w:bCs/>
                <w:sz w:val="24"/>
                <w:szCs w:val="24"/>
              </w:rPr>
              <w:t>资格，并做好项目后续工作;</w:t>
            </w:r>
          </w:p>
          <w:p w14:paraId="7C1AC88A">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5）</w:t>
            </w:r>
            <w:r>
              <w:rPr>
                <w:rFonts w:hint="eastAsia" w:asciiTheme="minorEastAsia" w:hAnsiTheme="minorEastAsia" w:eastAsiaTheme="minorEastAsia"/>
                <w:bCs/>
                <w:sz w:val="24"/>
                <w:szCs w:val="24"/>
              </w:rPr>
              <w:t>成交供应商</w:t>
            </w:r>
            <w:r>
              <w:rPr>
                <w:rFonts w:asciiTheme="minorEastAsia" w:hAnsiTheme="minorEastAsia" w:eastAsiaTheme="minorEastAsia"/>
                <w:bCs/>
                <w:sz w:val="24"/>
                <w:szCs w:val="24"/>
              </w:rPr>
              <w:t>在</w:t>
            </w:r>
            <w:r>
              <w:rPr>
                <w:rFonts w:hint="eastAsia" w:asciiTheme="minorEastAsia" w:hAnsiTheme="minorEastAsia" w:eastAsiaTheme="minorEastAsia"/>
                <w:bCs/>
                <w:sz w:val="24"/>
                <w:szCs w:val="24"/>
              </w:rPr>
              <w:t>成交</w:t>
            </w:r>
            <w:r>
              <w:rPr>
                <w:rFonts w:asciiTheme="minorEastAsia" w:hAnsiTheme="minorEastAsia" w:eastAsiaTheme="minorEastAsia"/>
                <w:bCs/>
                <w:sz w:val="24"/>
                <w:szCs w:val="24"/>
              </w:rPr>
              <w:t>项目发生投诉、信访举报案件、履约存在争议时，拒绝协助配合</w:t>
            </w:r>
            <w:r>
              <w:rPr>
                <w:rFonts w:hint="eastAsia" w:asciiTheme="minorEastAsia" w:hAnsiTheme="minorEastAsia" w:eastAsiaTheme="minorEastAsia"/>
                <w:bCs/>
                <w:sz w:val="24"/>
                <w:szCs w:val="24"/>
              </w:rPr>
              <w:t>有关</w:t>
            </w:r>
            <w:r>
              <w:rPr>
                <w:rFonts w:asciiTheme="minorEastAsia" w:hAnsiTheme="minorEastAsia" w:eastAsiaTheme="minorEastAsia"/>
                <w:bCs/>
                <w:sz w:val="24"/>
                <w:szCs w:val="24"/>
              </w:rPr>
              <w:t>部门调查案件的，采购人可以取消其</w:t>
            </w:r>
            <w:r>
              <w:rPr>
                <w:rFonts w:hint="eastAsia" w:asciiTheme="minorEastAsia" w:hAnsiTheme="minorEastAsia" w:eastAsiaTheme="minorEastAsia"/>
                <w:bCs/>
                <w:sz w:val="24"/>
                <w:szCs w:val="24"/>
              </w:rPr>
              <w:t>成交</w:t>
            </w:r>
            <w:r>
              <w:rPr>
                <w:rFonts w:asciiTheme="minorEastAsia" w:hAnsiTheme="minorEastAsia" w:eastAsiaTheme="minorEastAsia"/>
                <w:bCs/>
                <w:sz w:val="24"/>
                <w:szCs w:val="24"/>
              </w:rPr>
              <w:t>资格或解除合同，并追究其违约责任。</w:t>
            </w:r>
          </w:p>
        </w:tc>
      </w:tr>
      <w:tr w14:paraId="0210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135908FE">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3</w:t>
            </w:r>
            <w:r>
              <w:rPr>
                <w:rFonts w:hint="eastAsia" w:ascii="宋体" w:hAnsi="宋体" w:eastAsia="宋体"/>
                <w:bCs/>
                <w:kern w:val="2"/>
                <w:lang w:val="en-US" w:eastAsia="zh-CN"/>
              </w:rPr>
              <w:t>5</w:t>
            </w:r>
            <w:r>
              <w:rPr>
                <w:rFonts w:hint="eastAsia" w:ascii="宋体" w:hAnsi="宋体" w:eastAsia="宋体"/>
                <w:bCs/>
                <w:kern w:val="2"/>
              </w:rPr>
              <w:t>.3</w:t>
            </w:r>
          </w:p>
        </w:tc>
        <w:tc>
          <w:tcPr>
            <w:tcW w:w="2143" w:type="dxa"/>
            <w:vAlign w:val="center"/>
          </w:tcPr>
          <w:p w14:paraId="1A41A970">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解释权</w:t>
            </w:r>
          </w:p>
        </w:tc>
        <w:tc>
          <w:tcPr>
            <w:tcW w:w="6126" w:type="dxa"/>
            <w:vAlign w:val="center"/>
          </w:tcPr>
          <w:p w14:paraId="77747617">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构成本</w:t>
            </w:r>
            <w:r>
              <w:rPr>
                <w:rFonts w:hint="eastAsia" w:asciiTheme="minorEastAsia" w:hAnsiTheme="minorEastAsia" w:eastAsiaTheme="minorEastAsia"/>
                <w:bCs/>
                <w:sz w:val="24"/>
                <w:szCs w:val="24"/>
              </w:rPr>
              <w:t>竞争性磋商文件</w:t>
            </w:r>
            <w:r>
              <w:rPr>
                <w:rFonts w:asciiTheme="minorEastAsia" w:hAnsiTheme="minorEastAsia" w:eastAsiaTheme="minorEastAsia"/>
                <w:bCs/>
                <w:sz w:val="24"/>
                <w:szCs w:val="24"/>
              </w:rPr>
              <w:t>的各个组成文件应互为解释，互为说明；</w:t>
            </w:r>
          </w:p>
          <w:p w14:paraId="5F8CA9D3">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同一组成文件中就同一事项的规定或约定不一致的，以编排顺序在后者为准；</w:t>
            </w:r>
          </w:p>
          <w:p w14:paraId="17292063">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如有不明确或不一致，构成合同文件组成内容的，以合同文件约定内容为准，且以专用合同条款约定的合同文件优先顺序解释；</w:t>
            </w:r>
          </w:p>
          <w:p w14:paraId="114F4873">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r>
              <w:rPr>
                <w:rFonts w:asciiTheme="minorEastAsia" w:hAnsiTheme="minorEastAsia" w:eastAsiaTheme="minorEastAsia"/>
                <w:bCs/>
                <w:sz w:val="24"/>
                <w:szCs w:val="24"/>
              </w:rPr>
              <w:t>除</w:t>
            </w:r>
            <w:r>
              <w:rPr>
                <w:rFonts w:hint="eastAsia" w:asciiTheme="minorEastAsia" w:hAnsiTheme="minorEastAsia" w:eastAsiaTheme="minorEastAsia"/>
                <w:bCs/>
                <w:sz w:val="24"/>
                <w:szCs w:val="24"/>
              </w:rPr>
              <w:t>竞争性磋商文件</w:t>
            </w:r>
            <w:r>
              <w:rPr>
                <w:rFonts w:asciiTheme="minorEastAsia" w:hAnsiTheme="minorEastAsia" w:eastAsiaTheme="minorEastAsia"/>
                <w:bCs/>
                <w:sz w:val="24"/>
                <w:szCs w:val="24"/>
              </w:rPr>
              <w:t>中有特别规定外，仅适用于</w:t>
            </w:r>
            <w:r>
              <w:rPr>
                <w:rFonts w:hint="eastAsia" w:asciiTheme="minorEastAsia" w:hAnsiTheme="minorEastAsia" w:eastAsiaTheme="minorEastAsia"/>
                <w:bCs/>
                <w:sz w:val="24"/>
                <w:szCs w:val="24"/>
              </w:rPr>
              <w:t>竞争性磋商及响应文件提交</w:t>
            </w:r>
            <w:r>
              <w:rPr>
                <w:rFonts w:asciiTheme="minorEastAsia" w:hAnsiTheme="minorEastAsia" w:eastAsiaTheme="minorEastAsia"/>
                <w:bCs/>
                <w:sz w:val="24"/>
                <w:szCs w:val="24"/>
              </w:rPr>
              <w:t>阶段的规定，按</w:t>
            </w:r>
            <w:r>
              <w:rPr>
                <w:rFonts w:hint="eastAsia" w:asciiTheme="minorEastAsia" w:hAnsiTheme="minorEastAsia" w:eastAsiaTheme="minorEastAsia"/>
                <w:bCs/>
                <w:sz w:val="24"/>
                <w:szCs w:val="24"/>
              </w:rPr>
              <w:t>竞争性磋商公告（邀请书）、供应商</w:t>
            </w:r>
            <w:r>
              <w:rPr>
                <w:rFonts w:asciiTheme="minorEastAsia" w:hAnsiTheme="minorEastAsia" w:eastAsiaTheme="minorEastAsia"/>
                <w:bCs/>
                <w:sz w:val="24"/>
                <w:szCs w:val="24"/>
              </w:rPr>
              <w:t>须知、评</w:t>
            </w:r>
            <w:r>
              <w:rPr>
                <w:rFonts w:hint="eastAsia" w:asciiTheme="minorEastAsia" w:hAnsiTheme="minorEastAsia" w:eastAsiaTheme="minorEastAsia"/>
                <w:bCs/>
                <w:sz w:val="24"/>
                <w:szCs w:val="24"/>
              </w:rPr>
              <w:t>审方</w:t>
            </w:r>
            <w:r>
              <w:rPr>
                <w:rFonts w:asciiTheme="minorEastAsia" w:hAnsiTheme="minorEastAsia" w:eastAsiaTheme="minorEastAsia"/>
                <w:bCs/>
                <w:sz w:val="24"/>
                <w:szCs w:val="24"/>
              </w:rPr>
              <w:t>法</w:t>
            </w:r>
            <w:r>
              <w:rPr>
                <w:rFonts w:hint="eastAsia" w:asciiTheme="minorEastAsia" w:hAnsiTheme="minorEastAsia" w:eastAsiaTheme="minorEastAsia"/>
                <w:bCs/>
                <w:sz w:val="24"/>
                <w:szCs w:val="24"/>
              </w:rPr>
              <w:t>和标准</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响应</w:t>
            </w:r>
            <w:r>
              <w:rPr>
                <w:rFonts w:asciiTheme="minorEastAsia" w:hAnsiTheme="minorEastAsia" w:eastAsiaTheme="minorEastAsia"/>
                <w:bCs/>
                <w:sz w:val="24"/>
                <w:szCs w:val="24"/>
              </w:rPr>
              <w:t>文件格式的先后顺序解释；</w:t>
            </w:r>
          </w:p>
          <w:p w14:paraId="09C17B51">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（5）</w:t>
            </w:r>
            <w:r>
              <w:rPr>
                <w:rFonts w:asciiTheme="minorEastAsia" w:hAnsiTheme="minorEastAsia" w:eastAsiaTheme="minorEastAsia"/>
                <w:bCs/>
                <w:sz w:val="24"/>
                <w:szCs w:val="24"/>
              </w:rPr>
              <w:t>按本款前述规定仍不能形成结论的，由</w:t>
            </w:r>
            <w:r>
              <w:rPr>
                <w:rFonts w:hint="eastAsia" w:asciiTheme="minorEastAsia" w:hAnsiTheme="minorEastAsia" w:eastAsiaTheme="minorEastAsia"/>
                <w:bCs/>
                <w:sz w:val="24"/>
                <w:szCs w:val="24"/>
              </w:rPr>
              <w:t>采购</w:t>
            </w:r>
            <w:r>
              <w:rPr>
                <w:rFonts w:asciiTheme="minorEastAsia" w:hAnsiTheme="minorEastAsia" w:eastAsiaTheme="minorEastAsia"/>
                <w:bCs/>
                <w:sz w:val="24"/>
                <w:szCs w:val="24"/>
              </w:rPr>
              <w:t>人负责解释。</w:t>
            </w:r>
          </w:p>
        </w:tc>
      </w:tr>
      <w:tr w14:paraId="44856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5B517533">
            <w:pPr>
              <w:pStyle w:val="47"/>
              <w:pBdr>
                <w:bottom w:val="none" w:color="auto" w:sz="0" w:space="0"/>
              </w:pBdr>
              <w:tabs>
                <w:tab w:val="clear" w:pos="4153"/>
                <w:tab w:val="clear" w:pos="8306"/>
              </w:tabs>
              <w:adjustRightInd/>
              <w:spacing w:line="36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35.4</w:t>
            </w:r>
          </w:p>
        </w:tc>
        <w:tc>
          <w:tcPr>
            <w:tcW w:w="2143" w:type="dxa"/>
            <w:vAlign w:val="center"/>
          </w:tcPr>
          <w:p w14:paraId="5F767D8D">
            <w:pPr>
              <w:spacing w:line="440" w:lineRule="exact"/>
              <w:jc w:val="center"/>
              <w:rPr>
                <w:rFonts w:hint="eastAsia" w:ascii="宋体" w:hAnsi="宋体" w:eastAsia="宋体" w:cs="@仿宋_GB2312"/>
                <w:b w:val="0"/>
                <w:bCs/>
                <w:kern w:val="0"/>
                <w:sz w:val="24"/>
                <w:szCs w:val="28"/>
                <w:lang w:val="en-US" w:eastAsia="zh-CN" w:bidi="ar-SA"/>
              </w:rPr>
            </w:pPr>
            <w:r>
              <w:rPr>
                <w:rFonts w:hint="eastAsia" w:ascii="宋体" w:hAnsi="宋体" w:eastAsia="宋体" w:cs="@仿宋_GB2312"/>
                <w:b/>
                <w:bCs w:val="0"/>
                <w:kern w:val="0"/>
                <w:sz w:val="24"/>
                <w:szCs w:val="28"/>
                <w:lang w:val="en-US" w:eastAsia="zh-CN" w:bidi="ar-SA"/>
              </w:rPr>
              <w:t>递交证明材料原件要求</w:t>
            </w:r>
          </w:p>
        </w:tc>
        <w:tc>
          <w:tcPr>
            <w:tcW w:w="6126" w:type="dxa"/>
            <w:vAlign w:val="center"/>
          </w:tcPr>
          <w:p w14:paraId="58DC349F">
            <w:pPr>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textAlignment w:val="auto"/>
              <w:rPr>
                <w:rFonts w:hint="eastAsia" w:ascii="宋体" w:hAnsi="宋体" w:eastAsia="宋体" w:cs="@仿宋_GB2312"/>
                <w:b w:val="0"/>
                <w:bCs/>
                <w:kern w:val="0"/>
                <w:sz w:val="24"/>
                <w:szCs w:val="28"/>
                <w:lang w:val="en-US" w:eastAsia="zh-CN" w:bidi="ar-SA"/>
              </w:rPr>
            </w:pPr>
            <w:r>
              <w:rPr>
                <w:rFonts w:hint="eastAsia" w:asciiTheme="minorEastAsia" w:hAnsiTheme="minorEastAsia" w:eastAsiaTheme="minorEastAsia"/>
                <w:bCs/>
                <w:sz w:val="24"/>
                <w:szCs w:val="24"/>
                <w:lang w:val="en-US" w:eastAsia="zh-CN"/>
              </w:rPr>
              <w:t>委托代理人参加响应文件开启会议的应携带法定代表人授权委托书原件和委托代理人身份证，法定代表人参加响应文件开启会议携带本人身份证即可。</w:t>
            </w:r>
          </w:p>
        </w:tc>
      </w:tr>
      <w:tr w14:paraId="4A847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53FF5392">
            <w:pPr>
              <w:pStyle w:val="47"/>
              <w:pBdr>
                <w:bottom w:val="none" w:color="auto" w:sz="0" w:space="0"/>
              </w:pBdr>
              <w:tabs>
                <w:tab w:val="clear" w:pos="4153"/>
                <w:tab w:val="clear" w:pos="8306"/>
              </w:tabs>
              <w:adjustRightInd/>
              <w:spacing w:line="36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35.5</w:t>
            </w:r>
          </w:p>
        </w:tc>
        <w:tc>
          <w:tcPr>
            <w:tcW w:w="2143" w:type="dxa"/>
            <w:vAlign w:val="center"/>
          </w:tcPr>
          <w:p w14:paraId="0FF80D1F">
            <w:pPr>
              <w:spacing w:line="440" w:lineRule="exact"/>
              <w:jc w:val="center"/>
              <w:rPr>
                <w:rFonts w:hint="eastAsia" w:ascii="宋体" w:hAnsi="宋体" w:eastAsia="宋体" w:cs="@仿宋_GB2312"/>
                <w:b/>
                <w:bCs w:val="0"/>
                <w:kern w:val="0"/>
                <w:sz w:val="24"/>
                <w:szCs w:val="28"/>
                <w:lang w:val="en-US" w:eastAsia="zh-CN" w:bidi="ar-SA"/>
              </w:rPr>
            </w:pPr>
            <w:r>
              <w:rPr>
                <w:rFonts w:hint="eastAsia" w:ascii="宋体" w:hAnsi="宋体" w:eastAsia="宋体" w:cs="@仿宋_GB2312"/>
                <w:b/>
                <w:bCs w:val="0"/>
                <w:kern w:val="0"/>
                <w:sz w:val="24"/>
                <w:szCs w:val="28"/>
                <w:lang w:val="en-US" w:eastAsia="zh-CN" w:bidi="ar-SA"/>
              </w:rPr>
              <w:t>供应商不得存在情形的约定</w:t>
            </w:r>
          </w:p>
        </w:tc>
        <w:tc>
          <w:tcPr>
            <w:tcW w:w="6126" w:type="dxa"/>
            <w:vAlign w:val="center"/>
          </w:tcPr>
          <w:p w14:paraId="67486471">
            <w:pPr>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textAlignment w:val="auto"/>
              <w:rPr>
                <w:rFonts w:hint="eastAsia" w:ascii="宋体" w:hAnsi="宋体" w:eastAsia="宋体" w:cs="@仿宋_GB2312"/>
                <w:b w:val="0"/>
                <w:bCs/>
                <w:kern w:val="0"/>
                <w:sz w:val="24"/>
                <w:szCs w:val="28"/>
                <w:lang w:val="en-US" w:eastAsia="zh-CN" w:bidi="ar-SA"/>
              </w:rPr>
            </w:pPr>
            <w:r>
              <w:rPr>
                <w:rFonts w:hint="eastAsia" w:ascii="宋体" w:hAnsi="宋体" w:eastAsia="宋体" w:cs="@仿宋_GB2312"/>
                <w:b/>
                <w:bCs w:val="0"/>
                <w:kern w:val="0"/>
                <w:sz w:val="24"/>
                <w:szCs w:val="28"/>
                <w:lang w:val="en-US" w:eastAsia="zh-CN" w:bidi="ar-SA"/>
              </w:rPr>
              <w:t>供应商不得与本建设工程相关的建设、施工、监理单位，以及建筑材料、建筑构配件和设备供应单位不得有隶属关系或者其他利害关系。</w:t>
            </w:r>
          </w:p>
        </w:tc>
      </w:tr>
      <w:tr w14:paraId="582FF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099D2AAF">
            <w:pPr>
              <w:pStyle w:val="47"/>
              <w:pBdr>
                <w:bottom w:val="none" w:color="auto" w:sz="0" w:space="0"/>
              </w:pBdr>
              <w:tabs>
                <w:tab w:val="clear" w:pos="4153"/>
                <w:tab w:val="clear" w:pos="8306"/>
              </w:tabs>
              <w:adjustRightInd/>
              <w:spacing w:line="360" w:lineRule="auto"/>
              <w:textAlignment w:val="auto"/>
              <w:rPr>
                <w:rFonts w:hint="eastAsia" w:ascii="宋体" w:hAnsi="宋体" w:eastAsia="宋体"/>
                <w:bCs/>
                <w:kern w:val="2"/>
                <w:lang w:eastAsia="zh-CN"/>
              </w:rPr>
            </w:pPr>
            <w:r>
              <w:rPr>
                <w:rFonts w:hint="eastAsia" w:ascii="宋体" w:hAnsi="宋体" w:eastAsia="宋体"/>
                <w:bCs/>
                <w:kern w:val="2"/>
              </w:rPr>
              <w:t>3</w:t>
            </w:r>
            <w:r>
              <w:rPr>
                <w:rFonts w:hint="eastAsia" w:ascii="宋体" w:hAnsi="宋体" w:eastAsia="宋体"/>
                <w:bCs/>
                <w:kern w:val="2"/>
                <w:lang w:val="en-US" w:eastAsia="zh-CN"/>
              </w:rPr>
              <w:t>5</w:t>
            </w:r>
            <w:r>
              <w:rPr>
                <w:rFonts w:hint="eastAsia" w:ascii="宋体" w:hAnsi="宋体" w:eastAsia="宋体"/>
                <w:bCs/>
                <w:kern w:val="2"/>
              </w:rPr>
              <w:t>.</w:t>
            </w:r>
            <w:r>
              <w:rPr>
                <w:rFonts w:hint="eastAsia" w:ascii="宋体" w:hAnsi="宋体" w:eastAsia="宋体"/>
                <w:bCs/>
                <w:kern w:val="2"/>
                <w:lang w:val="en-US" w:eastAsia="zh-CN"/>
              </w:rPr>
              <w:t>6</w:t>
            </w:r>
          </w:p>
        </w:tc>
        <w:tc>
          <w:tcPr>
            <w:tcW w:w="2143" w:type="dxa"/>
            <w:vAlign w:val="center"/>
          </w:tcPr>
          <w:p w14:paraId="29FF791A">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其他补充说明</w:t>
            </w:r>
          </w:p>
        </w:tc>
        <w:tc>
          <w:tcPr>
            <w:tcW w:w="6126" w:type="dxa"/>
            <w:vAlign w:val="center"/>
          </w:tcPr>
          <w:p w14:paraId="474C3A94">
            <w:pPr>
              <w:pStyle w:val="46"/>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u w:val="single"/>
              </w:rPr>
              <w:t>无</w:t>
            </w:r>
          </w:p>
        </w:tc>
      </w:tr>
    </w:tbl>
    <w:p w14:paraId="3D9E45E2">
      <w:pPr>
        <w:spacing w:line="360" w:lineRule="auto"/>
        <w:ind w:firstLine="435"/>
        <w:rPr>
          <w:rFonts w:ascii="宋体" w:hAnsi="宋体" w:eastAsia="宋体"/>
          <w:sz w:val="24"/>
          <w:szCs w:val="18"/>
        </w:rPr>
      </w:pPr>
      <w:r>
        <w:rPr>
          <w:rFonts w:hint="eastAsia" w:ascii="宋体" w:hAnsi="宋体" w:eastAsia="宋体"/>
          <w:b/>
          <w:bCs/>
          <w:sz w:val="24"/>
          <w:szCs w:val="18"/>
        </w:rPr>
        <w:t>注：</w:t>
      </w:r>
      <w:r>
        <w:rPr>
          <w:rFonts w:hint="eastAsia" w:ascii="宋体" w:hAnsi="宋体" w:eastAsia="宋体"/>
          <w:sz w:val="24"/>
          <w:szCs w:val="18"/>
        </w:rPr>
        <w:t>本表是本项目的具体要求，是对供应商须知的具体补充和修改，如有不一致，以本表为准。</w:t>
      </w:r>
    </w:p>
    <w:p w14:paraId="6A8185EA">
      <w:pPr>
        <w:rPr>
          <w:rFonts w:hint="eastAsia" w:asciiTheme="minorEastAsia" w:hAnsiTheme="minorEastAsia" w:eastAsiaTheme="minorEastAsia"/>
          <w:b/>
          <w:sz w:val="24"/>
        </w:rPr>
      </w:pPr>
      <w:r>
        <w:rPr>
          <w:rFonts w:hint="eastAsia" w:asciiTheme="minorEastAsia" w:hAnsiTheme="minorEastAsia" w:eastAsiaTheme="minorEastAsia"/>
          <w:b/>
          <w:sz w:val="24"/>
        </w:rPr>
        <w:br w:type="page"/>
      </w:r>
    </w:p>
    <w:p w14:paraId="7DD34863">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二、供应商</w:t>
      </w:r>
      <w:r>
        <w:rPr>
          <w:rFonts w:asciiTheme="minorEastAsia" w:hAnsiTheme="minorEastAsia" w:eastAsiaTheme="minorEastAsia"/>
          <w:b/>
          <w:sz w:val="24"/>
        </w:rPr>
        <w:t>须知</w:t>
      </w:r>
      <w:r>
        <w:rPr>
          <w:rFonts w:hint="eastAsia" w:asciiTheme="minorEastAsia" w:hAnsiTheme="minorEastAsia" w:eastAsiaTheme="minorEastAsia"/>
          <w:b/>
          <w:sz w:val="24"/>
        </w:rPr>
        <w:t>正文</w:t>
      </w:r>
    </w:p>
    <w:p w14:paraId="261F5E98">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w:t>
      </w:r>
      <w:r>
        <w:rPr>
          <w:rFonts w:hint="eastAsia" w:asciiTheme="minorEastAsia" w:hAnsiTheme="minorEastAsia" w:eastAsiaTheme="minorEastAsia"/>
          <w:b/>
          <w:sz w:val="24"/>
        </w:rPr>
        <w:t>适用范围</w:t>
      </w:r>
    </w:p>
    <w:p w14:paraId="5623F750">
      <w:pPr>
        <w:spacing w:line="360" w:lineRule="auto"/>
        <w:ind w:firstLine="435"/>
        <w:rPr>
          <w:rFonts w:ascii="宋体" w:hAnsi="宋体" w:eastAsia="宋体"/>
          <w:sz w:val="24"/>
        </w:rPr>
      </w:pPr>
      <w:r>
        <w:rPr>
          <w:rFonts w:hint="eastAsia" w:ascii="宋体" w:hAnsi="宋体" w:eastAsia="宋体"/>
          <w:sz w:val="24"/>
        </w:rPr>
        <w:t>1.1本竞争性磋商文件仅适用于本次竞争性磋商采购的集中采购目录以外分散采购限额标准以下的采购项目。</w:t>
      </w:r>
    </w:p>
    <w:p w14:paraId="2938069A">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2</w:t>
      </w:r>
      <w:r>
        <w:rPr>
          <w:rFonts w:asciiTheme="minorEastAsia" w:hAnsiTheme="minorEastAsia" w:eastAsiaTheme="minorEastAsia"/>
          <w:b/>
          <w:sz w:val="24"/>
        </w:rPr>
        <w:t>.</w:t>
      </w:r>
      <w:r>
        <w:rPr>
          <w:rFonts w:hint="eastAsia" w:asciiTheme="minorEastAsia" w:hAnsiTheme="minorEastAsia" w:eastAsiaTheme="minorEastAsia"/>
          <w:b/>
          <w:sz w:val="24"/>
        </w:rPr>
        <w:t>定义</w:t>
      </w:r>
    </w:p>
    <w:p w14:paraId="760C7701">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1</w:t>
      </w:r>
      <w:r>
        <w:rPr>
          <w:rFonts w:ascii="宋体" w:hAnsi="宋体" w:eastAsia="宋体"/>
          <w:sz w:val="24"/>
        </w:rPr>
        <w:t>时限（年份、月份等）计算：系指从</w:t>
      </w:r>
      <w:r>
        <w:rPr>
          <w:rFonts w:hint="eastAsia" w:ascii="宋体" w:hAnsi="宋体" w:eastAsia="宋体"/>
          <w:sz w:val="24"/>
        </w:rPr>
        <w:t>竞争性磋商</w:t>
      </w:r>
      <w:r>
        <w:rPr>
          <w:rFonts w:ascii="宋体" w:hAnsi="宋体" w:eastAsia="宋体"/>
          <w:sz w:val="24"/>
        </w:rPr>
        <w:t>之日向前追溯X年/月（“X”为“一”及以后整数）起算。</w:t>
      </w:r>
    </w:p>
    <w:p w14:paraId="0A3D18E4">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2</w:t>
      </w:r>
      <w:r>
        <w:rPr>
          <w:rFonts w:ascii="宋体" w:hAnsi="宋体" w:eastAsia="宋体"/>
          <w:sz w:val="24"/>
        </w:rPr>
        <w:t>业绩：</w:t>
      </w:r>
      <w:r>
        <w:rPr>
          <w:rFonts w:hint="eastAsia" w:ascii="宋体" w:hAnsi="宋体" w:eastAsia="宋体"/>
          <w:sz w:val="24"/>
        </w:rPr>
        <w:t>业绩系指符合本竞争性磋商文件规定的相关证明资料</w:t>
      </w:r>
      <w:r>
        <w:rPr>
          <w:rFonts w:ascii="宋体" w:hAnsi="宋体" w:eastAsia="宋体"/>
          <w:sz w:val="24"/>
        </w:rPr>
        <w:t>。</w:t>
      </w:r>
    </w:p>
    <w:p w14:paraId="42564B4A">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3</w:t>
      </w:r>
      <w:r>
        <w:rPr>
          <w:rFonts w:asciiTheme="minorEastAsia" w:hAnsiTheme="minorEastAsia" w:eastAsiaTheme="minorEastAsia"/>
          <w:b/>
          <w:sz w:val="24"/>
        </w:rPr>
        <w:t>.</w:t>
      </w:r>
      <w:r>
        <w:rPr>
          <w:rFonts w:hint="eastAsia" w:asciiTheme="minorEastAsia" w:hAnsiTheme="minorEastAsia" w:eastAsiaTheme="minorEastAsia"/>
          <w:b/>
          <w:sz w:val="24"/>
        </w:rPr>
        <w:t>采购人、采购代理机构及供应商</w:t>
      </w:r>
    </w:p>
    <w:p w14:paraId="328692A0">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.1采购人：</w:t>
      </w:r>
      <w:r>
        <w:rPr>
          <w:rFonts w:hint="eastAsia" w:ascii="宋体" w:hAnsi="宋体" w:eastAsia="宋体"/>
          <w:sz w:val="24"/>
        </w:rPr>
        <w:t>本项目的采购人见</w:t>
      </w:r>
      <w:r>
        <w:rPr>
          <w:rFonts w:hint="eastAsia" w:ascii="宋体" w:hAnsi="宋体" w:eastAsia="宋体"/>
          <w:sz w:val="24"/>
          <w:u w:val="single"/>
        </w:rPr>
        <w:t>供应商须知前附表</w:t>
      </w:r>
      <w:r>
        <w:rPr>
          <w:rFonts w:hint="eastAsia" w:ascii="宋体" w:hAnsi="宋体" w:eastAsia="宋体"/>
          <w:sz w:val="24"/>
        </w:rPr>
        <w:t>。</w:t>
      </w:r>
    </w:p>
    <w:p w14:paraId="68C3208C">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.2采购代理机构：本项目的采购代理机构见</w:t>
      </w:r>
      <w:r>
        <w:rPr>
          <w:rFonts w:hint="eastAsia" w:ascii="宋体" w:hAnsi="宋体" w:eastAsia="宋体"/>
          <w:sz w:val="24"/>
          <w:u w:val="single"/>
        </w:rPr>
        <w:t>供应商须知前附表</w:t>
      </w:r>
      <w:r>
        <w:rPr>
          <w:rFonts w:ascii="宋体" w:hAnsi="宋体" w:eastAsia="宋体"/>
          <w:sz w:val="24"/>
        </w:rPr>
        <w:t>。</w:t>
      </w:r>
    </w:p>
    <w:p w14:paraId="726B4414">
      <w:pPr>
        <w:spacing w:line="360" w:lineRule="auto"/>
        <w:ind w:firstLine="435"/>
        <w:rPr>
          <w:rFonts w:ascii="宋体" w:hAnsi="宋体" w:eastAsia="宋体"/>
          <w:sz w:val="24"/>
        </w:rPr>
      </w:pPr>
      <w:r>
        <w:rPr>
          <w:rFonts w:ascii="宋体" w:hAnsi="宋体" w:eastAsia="宋体"/>
          <w:sz w:val="24"/>
        </w:rPr>
        <w:t>3.3采购监督管理部门：</w:t>
      </w:r>
      <w:r>
        <w:rPr>
          <w:rFonts w:hint="eastAsia" w:ascii="宋体" w:hAnsi="宋体" w:eastAsia="宋体"/>
          <w:sz w:val="24"/>
        </w:rPr>
        <w:t>依照采购人内控管理规定履行与本次采购活动有关的监督管理职责。本项目的采购监督管理部门见</w:t>
      </w:r>
      <w:r>
        <w:rPr>
          <w:rFonts w:hint="eastAsia" w:ascii="宋体" w:hAnsi="宋体" w:eastAsia="宋体"/>
          <w:sz w:val="24"/>
          <w:u w:val="single"/>
        </w:rPr>
        <w:t>供应商须知前附表</w:t>
      </w:r>
      <w:r>
        <w:rPr>
          <w:rFonts w:ascii="宋体" w:hAnsi="宋体" w:eastAsia="宋体"/>
          <w:sz w:val="24"/>
        </w:rPr>
        <w:t>。</w:t>
      </w:r>
    </w:p>
    <w:p w14:paraId="4E19C313">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.4</w:t>
      </w:r>
      <w:r>
        <w:rPr>
          <w:rFonts w:hint="eastAsia" w:ascii="宋体" w:hAnsi="宋体" w:eastAsia="宋体"/>
          <w:sz w:val="24"/>
        </w:rPr>
        <w:t>供应商</w:t>
      </w:r>
      <w:r>
        <w:rPr>
          <w:rFonts w:ascii="宋体" w:hAnsi="宋体" w:eastAsia="宋体"/>
          <w:sz w:val="24"/>
        </w:rPr>
        <w:t>：是指向采购人提供货物、工程或者服务的法人、非法人组织或者自然人。本项目的</w:t>
      </w:r>
      <w:r>
        <w:rPr>
          <w:rFonts w:hint="eastAsia" w:ascii="宋体" w:hAnsi="宋体" w:eastAsia="宋体"/>
          <w:sz w:val="24"/>
        </w:rPr>
        <w:t>供应商</w:t>
      </w:r>
      <w:r>
        <w:rPr>
          <w:rFonts w:ascii="宋体" w:hAnsi="宋体" w:eastAsia="宋体"/>
          <w:sz w:val="24"/>
        </w:rPr>
        <w:t>须满足以下条件：</w:t>
      </w:r>
    </w:p>
    <w:p w14:paraId="053A8B98">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.4.1在中华人民共和国境内注册，能够独立承担民事责任，有生产或供应能力的本国供应商。</w:t>
      </w:r>
    </w:p>
    <w:p w14:paraId="2809FE34">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.4.2具备《中华人民共和国政府采购法》第二十二条关于供应商条件的规定。</w:t>
      </w:r>
    </w:p>
    <w:p w14:paraId="223A8AEB">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.4.3</w:t>
      </w:r>
      <w:r>
        <w:rPr>
          <w:rFonts w:hint="eastAsia" w:ascii="宋体" w:hAnsi="宋体" w:eastAsia="宋体"/>
          <w:sz w:val="24"/>
        </w:rPr>
        <w:t>按竞争性磋商公告规定</w:t>
      </w:r>
      <w:r>
        <w:rPr>
          <w:rFonts w:ascii="宋体" w:hAnsi="宋体" w:eastAsia="宋体"/>
          <w:sz w:val="24"/>
        </w:rPr>
        <w:t>的方式获得了本项目的</w:t>
      </w:r>
      <w:r>
        <w:rPr>
          <w:rFonts w:hint="eastAsia" w:ascii="宋体" w:hAnsi="宋体" w:eastAsia="宋体"/>
          <w:sz w:val="24"/>
        </w:rPr>
        <w:t>竞争性磋商文件</w:t>
      </w:r>
      <w:r>
        <w:rPr>
          <w:rFonts w:ascii="宋体" w:hAnsi="宋体" w:eastAsia="宋体"/>
          <w:sz w:val="24"/>
        </w:rPr>
        <w:t>。</w:t>
      </w:r>
    </w:p>
    <w:p w14:paraId="20FA9729">
      <w:pPr>
        <w:spacing w:line="360" w:lineRule="auto"/>
        <w:ind w:firstLine="435"/>
        <w:rPr>
          <w:rFonts w:ascii="宋体" w:hAnsi="宋体" w:eastAsia="宋体"/>
          <w:sz w:val="24"/>
        </w:rPr>
      </w:pPr>
      <w:r>
        <w:rPr>
          <w:rFonts w:ascii="宋体" w:hAnsi="宋体" w:eastAsia="宋体"/>
          <w:sz w:val="24"/>
        </w:rPr>
        <w:t>3.4.4若采购进口产品，</w:t>
      </w:r>
      <w:r>
        <w:rPr>
          <w:rFonts w:hint="eastAsia" w:ascii="宋体" w:hAnsi="宋体" w:eastAsia="宋体"/>
          <w:sz w:val="24"/>
        </w:rPr>
        <w:t>供应商</w:t>
      </w:r>
      <w:r>
        <w:rPr>
          <w:rFonts w:ascii="宋体" w:hAnsi="宋体" w:eastAsia="宋体"/>
          <w:sz w:val="24"/>
        </w:rPr>
        <w:t>应保证所投产品可履行合法报通关手续进入中国关境内。</w:t>
      </w:r>
    </w:p>
    <w:p w14:paraId="2981E6DD">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.5</w:t>
      </w:r>
      <w:r>
        <w:rPr>
          <w:rFonts w:hint="eastAsia" w:ascii="宋体" w:hAnsi="宋体" w:eastAsia="宋体"/>
          <w:sz w:val="24"/>
        </w:rPr>
        <w:t>若竞争性磋商公告</w:t>
      </w:r>
      <w:r>
        <w:rPr>
          <w:rFonts w:ascii="宋体" w:hAnsi="宋体" w:eastAsia="宋体"/>
          <w:sz w:val="24"/>
        </w:rPr>
        <w:t>中允许联合体参加</w:t>
      </w:r>
      <w:r>
        <w:rPr>
          <w:rFonts w:hint="eastAsia" w:ascii="宋体" w:hAnsi="宋体" w:eastAsia="宋体"/>
          <w:sz w:val="24"/>
        </w:rPr>
        <w:t>竞争性磋商</w:t>
      </w:r>
      <w:r>
        <w:rPr>
          <w:rFonts w:ascii="宋体" w:hAnsi="宋体" w:eastAsia="宋体"/>
          <w:sz w:val="24"/>
        </w:rPr>
        <w:t>，对联合体规定如下：</w:t>
      </w:r>
    </w:p>
    <w:p w14:paraId="5262BFCE">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5</w:t>
      </w:r>
      <w:r>
        <w:rPr>
          <w:rFonts w:ascii="宋体" w:hAnsi="宋体" w:eastAsia="宋体"/>
          <w:sz w:val="24"/>
        </w:rPr>
        <w:t>.1</w:t>
      </w:r>
      <w:r>
        <w:rPr>
          <w:rFonts w:hint="eastAsia" w:ascii="宋体" w:hAnsi="宋体" w:eastAsia="宋体"/>
          <w:sz w:val="24"/>
        </w:rPr>
        <w:t>两个以上供应商可以组成一个竞争性磋商联合体，以一个供应商的身份竞争性磋商</w:t>
      </w:r>
      <w:r>
        <w:rPr>
          <w:rFonts w:ascii="宋体" w:hAnsi="宋体" w:eastAsia="宋体"/>
          <w:sz w:val="24"/>
        </w:rPr>
        <w:t>。</w:t>
      </w:r>
    </w:p>
    <w:p w14:paraId="3A5E38DF">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5</w:t>
      </w:r>
      <w:r>
        <w:rPr>
          <w:rFonts w:ascii="宋体" w:hAnsi="宋体" w:eastAsia="宋体"/>
          <w:sz w:val="24"/>
        </w:rPr>
        <w:t>.2联合体各方均应符合《中华人民共和国政府采购法》第二十二条规定的条件。</w:t>
      </w:r>
    </w:p>
    <w:p w14:paraId="12F9DC8E">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5</w:t>
      </w:r>
      <w:r>
        <w:rPr>
          <w:rFonts w:ascii="宋体" w:hAnsi="宋体" w:eastAsia="宋体"/>
          <w:sz w:val="24"/>
        </w:rPr>
        <w:t>.3采购人根据采购项目对</w:t>
      </w:r>
      <w:r>
        <w:rPr>
          <w:rFonts w:hint="eastAsia" w:ascii="宋体" w:hAnsi="宋体" w:eastAsia="宋体"/>
          <w:sz w:val="24"/>
        </w:rPr>
        <w:t>供应商</w:t>
      </w:r>
      <w:r>
        <w:rPr>
          <w:rFonts w:ascii="宋体" w:hAnsi="宋体" w:eastAsia="宋体"/>
          <w:sz w:val="24"/>
        </w:rPr>
        <w:t>的特殊要求，联合体中至少应当有一方符合相关规定。</w:t>
      </w:r>
    </w:p>
    <w:p w14:paraId="4246638C">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5</w:t>
      </w:r>
      <w:r>
        <w:rPr>
          <w:rFonts w:ascii="宋体" w:hAnsi="宋体" w:eastAsia="宋体"/>
          <w:sz w:val="24"/>
        </w:rPr>
        <w:t>.4联合体各方应签订</w:t>
      </w:r>
      <w:r>
        <w:rPr>
          <w:rFonts w:hint="eastAsia" w:ascii="宋体" w:hAnsi="宋体" w:eastAsia="宋体"/>
          <w:sz w:val="24"/>
        </w:rPr>
        <w:t>联合协议</w:t>
      </w:r>
      <w:r>
        <w:rPr>
          <w:rFonts w:ascii="宋体" w:hAnsi="宋体" w:eastAsia="宋体"/>
          <w:sz w:val="24"/>
        </w:rPr>
        <w:t>，明确约定联合体各方承担的工作和相应的责任，并将</w:t>
      </w:r>
      <w:r>
        <w:rPr>
          <w:rFonts w:hint="eastAsia" w:ascii="宋体" w:hAnsi="宋体" w:eastAsia="宋体"/>
          <w:sz w:val="24"/>
        </w:rPr>
        <w:t>联合协议</w:t>
      </w:r>
      <w:r>
        <w:rPr>
          <w:rFonts w:ascii="宋体" w:hAnsi="宋体" w:eastAsia="宋体"/>
          <w:sz w:val="24"/>
        </w:rPr>
        <w:t>作为</w:t>
      </w:r>
      <w:r>
        <w:rPr>
          <w:rFonts w:hint="eastAsia" w:ascii="宋体" w:hAnsi="宋体" w:eastAsia="宋体"/>
          <w:sz w:val="24"/>
        </w:rPr>
        <w:t>响应</w:t>
      </w:r>
      <w:r>
        <w:rPr>
          <w:rFonts w:ascii="宋体" w:hAnsi="宋体" w:eastAsia="宋体"/>
          <w:sz w:val="24"/>
        </w:rPr>
        <w:t>文件</w:t>
      </w:r>
      <w:r>
        <w:rPr>
          <w:rFonts w:hint="eastAsia" w:ascii="宋体" w:hAnsi="宋体" w:eastAsia="宋体"/>
          <w:sz w:val="24"/>
        </w:rPr>
        <w:t>的</w:t>
      </w:r>
      <w:r>
        <w:rPr>
          <w:rFonts w:ascii="宋体" w:hAnsi="宋体" w:eastAsia="宋体"/>
          <w:sz w:val="24"/>
        </w:rPr>
        <w:t>一部分提交。</w:t>
      </w:r>
    </w:p>
    <w:p w14:paraId="6B3D17DD">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5</w:t>
      </w:r>
      <w:r>
        <w:rPr>
          <w:rFonts w:ascii="宋体" w:hAnsi="宋体" w:eastAsia="宋体"/>
          <w:sz w:val="24"/>
        </w:rPr>
        <w:t>.5大中型企业、其他自然人、法人或者非法人组织与小型、微型企业组成联合体共同参加</w:t>
      </w:r>
      <w:r>
        <w:rPr>
          <w:rFonts w:hint="eastAsia" w:ascii="宋体" w:hAnsi="宋体" w:eastAsia="宋体"/>
          <w:sz w:val="24"/>
        </w:rPr>
        <w:t>竞争性磋商</w:t>
      </w:r>
      <w:r>
        <w:rPr>
          <w:rFonts w:ascii="宋体" w:hAnsi="宋体" w:eastAsia="宋体"/>
          <w:sz w:val="24"/>
        </w:rPr>
        <w:t>，</w:t>
      </w:r>
      <w:r>
        <w:rPr>
          <w:rFonts w:hint="eastAsia" w:ascii="宋体" w:hAnsi="宋体" w:eastAsia="宋体"/>
          <w:sz w:val="24"/>
        </w:rPr>
        <w:t>联合协议中</w:t>
      </w:r>
      <w:r>
        <w:rPr>
          <w:rFonts w:ascii="宋体" w:hAnsi="宋体" w:eastAsia="宋体"/>
          <w:sz w:val="24"/>
        </w:rPr>
        <w:t>应写明小型、微型企业的协议合同金额占到</w:t>
      </w:r>
      <w:r>
        <w:rPr>
          <w:rFonts w:hint="eastAsia" w:ascii="宋体" w:hAnsi="宋体" w:eastAsia="宋体"/>
          <w:sz w:val="24"/>
        </w:rPr>
        <w:t>联合协议合同</w:t>
      </w:r>
      <w:r>
        <w:rPr>
          <w:rFonts w:ascii="宋体" w:hAnsi="宋体" w:eastAsia="宋体"/>
          <w:sz w:val="24"/>
        </w:rPr>
        <w:t>总金额的比例。</w:t>
      </w:r>
    </w:p>
    <w:p w14:paraId="552CF360">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.5.6</w:t>
      </w:r>
      <w:r>
        <w:rPr>
          <w:rFonts w:hint="eastAsia" w:ascii="宋体" w:hAnsi="宋体" w:eastAsia="宋体"/>
          <w:sz w:val="24"/>
        </w:rPr>
        <w:t>联合体中有同类资质的供应商按照联合体分工承担相同工作的，</w:t>
      </w:r>
      <w:r>
        <w:rPr>
          <w:rFonts w:ascii="宋体" w:hAnsi="宋体" w:eastAsia="宋体"/>
          <w:sz w:val="24"/>
        </w:rPr>
        <w:t>应当按照</w:t>
      </w:r>
      <w:r>
        <w:rPr>
          <w:rFonts w:hint="eastAsia" w:ascii="宋体" w:hAnsi="宋体" w:eastAsia="宋体"/>
          <w:sz w:val="24"/>
        </w:rPr>
        <w:t>资质等级较低的供应商确定资质等级。</w:t>
      </w:r>
    </w:p>
    <w:p w14:paraId="539D95AC">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5</w:t>
      </w:r>
      <w:r>
        <w:rPr>
          <w:rFonts w:ascii="宋体" w:hAnsi="宋体" w:eastAsia="宋体"/>
          <w:sz w:val="24"/>
        </w:rPr>
        <w:t>.7以联合体形式参加</w:t>
      </w:r>
      <w:r>
        <w:rPr>
          <w:rFonts w:hint="eastAsia" w:ascii="宋体" w:hAnsi="宋体" w:eastAsia="宋体"/>
          <w:sz w:val="24"/>
        </w:rPr>
        <w:t>本</w:t>
      </w:r>
      <w:r>
        <w:rPr>
          <w:rFonts w:ascii="宋体" w:hAnsi="宋体" w:eastAsia="宋体"/>
          <w:sz w:val="24"/>
        </w:rPr>
        <w:t>采购活动的，联合体各方不得再单独参加或者与其他供应商另外组成联合体参加本项目</w:t>
      </w:r>
      <w:r>
        <w:rPr>
          <w:rFonts w:hint="eastAsia" w:ascii="宋体" w:hAnsi="宋体" w:eastAsia="宋体"/>
          <w:sz w:val="24"/>
        </w:rPr>
        <w:t>竞争性磋商</w:t>
      </w:r>
      <w:r>
        <w:rPr>
          <w:rFonts w:ascii="宋体" w:hAnsi="宋体" w:eastAsia="宋体"/>
          <w:sz w:val="24"/>
        </w:rPr>
        <w:t>，否则相关</w:t>
      </w:r>
      <w:r>
        <w:rPr>
          <w:rFonts w:hint="eastAsia" w:ascii="宋体" w:hAnsi="宋体" w:eastAsia="宋体"/>
          <w:sz w:val="24"/>
        </w:rPr>
        <w:t>响应文件将被认定为</w:t>
      </w:r>
      <w:r>
        <w:rPr>
          <w:rFonts w:hint="eastAsia" w:ascii="宋体" w:hAnsi="宋体" w:eastAsia="宋体"/>
          <w:b/>
          <w:sz w:val="24"/>
        </w:rPr>
        <w:t>响应无效</w:t>
      </w:r>
      <w:r>
        <w:rPr>
          <w:rFonts w:ascii="宋体" w:hAnsi="宋体" w:eastAsia="宋体"/>
          <w:sz w:val="24"/>
        </w:rPr>
        <w:t>。</w:t>
      </w:r>
    </w:p>
    <w:p w14:paraId="7A3132D3">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5</w:t>
      </w:r>
      <w:r>
        <w:rPr>
          <w:rFonts w:ascii="宋体" w:hAnsi="宋体" w:eastAsia="宋体"/>
          <w:sz w:val="24"/>
        </w:rPr>
        <w:t>.8对联合体参加</w:t>
      </w:r>
      <w:r>
        <w:rPr>
          <w:rFonts w:hint="eastAsia" w:ascii="宋体" w:hAnsi="宋体" w:eastAsia="宋体"/>
          <w:sz w:val="24"/>
        </w:rPr>
        <w:t>竞争性磋商</w:t>
      </w:r>
      <w:r>
        <w:rPr>
          <w:rFonts w:ascii="宋体" w:hAnsi="宋体" w:eastAsia="宋体"/>
          <w:sz w:val="24"/>
        </w:rPr>
        <w:t>的其他资格要求见</w:t>
      </w:r>
      <w:r>
        <w:rPr>
          <w:rFonts w:hint="eastAsia" w:ascii="宋体" w:hAnsi="宋体" w:eastAsia="宋体"/>
          <w:sz w:val="24"/>
        </w:rPr>
        <w:t>供应商资格</w:t>
      </w:r>
      <w:r>
        <w:rPr>
          <w:rFonts w:ascii="宋体" w:hAnsi="宋体" w:eastAsia="宋体"/>
          <w:sz w:val="24"/>
        </w:rPr>
        <w:t>。</w:t>
      </w:r>
    </w:p>
    <w:p w14:paraId="41A014AD">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6</w:t>
      </w:r>
      <w:r>
        <w:rPr>
          <w:rFonts w:ascii="宋体" w:hAnsi="宋体" w:eastAsia="宋体"/>
          <w:sz w:val="24"/>
        </w:rPr>
        <w:t>单位负责人为同一人或者存在直接控股、管理关系的不同供应商，</w:t>
      </w:r>
      <w:r>
        <w:rPr>
          <w:rFonts w:hint="eastAsia" w:ascii="宋体" w:hAnsi="宋体" w:eastAsia="宋体"/>
          <w:sz w:val="24"/>
        </w:rPr>
        <w:t>不得参加同一合同项下的采购活动。否则</w:t>
      </w:r>
      <w:r>
        <w:rPr>
          <w:rFonts w:ascii="宋体" w:hAnsi="宋体" w:eastAsia="宋体"/>
          <w:sz w:val="24"/>
        </w:rPr>
        <w:t>其相关</w:t>
      </w:r>
      <w:r>
        <w:rPr>
          <w:rFonts w:hint="eastAsia" w:ascii="宋体" w:hAnsi="宋体" w:eastAsia="宋体"/>
          <w:sz w:val="24"/>
        </w:rPr>
        <w:t>响应文件将被认定为</w:t>
      </w:r>
      <w:r>
        <w:rPr>
          <w:rFonts w:hint="eastAsia" w:ascii="宋体" w:hAnsi="宋体" w:eastAsia="宋体"/>
          <w:b/>
          <w:sz w:val="24"/>
        </w:rPr>
        <w:t>响应无效</w:t>
      </w:r>
      <w:r>
        <w:rPr>
          <w:rFonts w:ascii="宋体" w:hAnsi="宋体" w:eastAsia="宋体"/>
          <w:sz w:val="24"/>
        </w:rPr>
        <w:t>。</w:t>
      </w:r>
    </w:p>
    <w:p w14:paraId="329A0A54">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7</w:t>
      </w:r>
      <w:r>
        <w:rPr>
          <w:rFonts w:ascii="宋体" w:hAnsi="宋体" w:eastAsia="宋体"/>
          <w:sz w:val="24"/>
        </w:rPr>
        <w:t>为本项目提供过整体设计、规范编制或者项目管理、监理、检测等服务的供应商，不得再参加本项目上述服务以外的其他采购活动。否则其</w:t>
      </w:r>
      <w:r>
        <w:rPr>
          <w:rFonts w:hint="eastAsia" w:ascii="宋体" w:hAnsi="宋体" w:eastAsia="宋体"/>
          <w:sz w:val="24"/>
        </w:rPr>
        <w:t>响应文件将被认定为</w:t>
      </w:r>
      <w:r>
        <w:rPr>
          <w:rFonts w:hint="eastAsia" w:ascii="宋体" w:hAnsi="宋体" w:eastAsia="宋体"/>
          <w:b/>
          <w:sz w:val="24"/>
        </w:rPr>
        <w:t>响应无效</w:t>
      </w:r>
      <w:r>
        <w:rPr>
          <w:rFonts w:ascii="宋体" w:hAnsi="宋体" w:eastAsia="宋体"/>
          <w:sz w:val="24"/>
        </w:rPr>
        <w:t>。</w:t>
      </w:r>
    </w:p>
    <w:p w14:paraId="438237F0">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资金来源</w:t>
      </w:r>
    </w:p>
    <w:p w14:paraId="52EC36B1">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4.1本项目的采购人已获得足以支付本次</w:t>
      </w:r>
      <w:r>
        <w:rPr>
          <w:rFonts w:hint="eastAsia" w:asciiTheme="minorEastAsia" w:hAnsiTheme="minorEastAsia" w:eastAsiaTheme="minorEastAsia"/>
          <w:sz w:val="24"/>
        </w:rPr>
        <w:t>竞争性磋商</w:t>
      </w:r>
      <w:r>
        <w:rPr>
          <w:rFonts w:asciiTheme="minorEastAsia" w:hAnsiTheme="minorEastAsia" w:eastAsiaTheme="minorEastAsia"/>
          <w:sz w:val="24"/>
        </w:rPr>
        <w:t>后所签订的合同项下的资金。</w:t>
      </w:r>
    </w:p>
    <w:p w14:paraId="6696BAEA">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4.2项目预算金额</w:t>
      </w:r>
      <w:r>
        <w:rPr>
          <w:rFonts w:hint="eastAsia" w:asciiTheme="minorEastAsia" w:hAnsiTheme="minorEastAsia" w:eastAsiaTheme="minorEastAsia"/>
          <w:sz w:val="24"/>
        </w:rPr>
        <w:t>或</w:t>
      </w:r>
      <w:r>
        <w:rPr>
          <w:rFonts w:asciiTheme="minorEastAsia" w:hAnsiTheme="minorEastAsia" w:eastAsiaTheme="minorEastAsia"/>
          <w:sz w:val="24"/>
        </w:rPr>
        <w:t>分项（或分包）预算金额见</w:t>
      </w:r>
      <w:r>
        <w:rPr>
          <w:rFonts w:hint="eastAsia" w:asciiTheme="minorEastAsia" w:hAnsiTheme="minorEastAsia" w:eastAsiaTheme="minorEastAsia"/>
          <w:sz w:val="24"/>
        </w:rPr>
        <w:t>竞争性磋商公告</w:t>
      </w:r>
      <w:r>
        <w:rPr>
          <w:rFonts w:hint="eastAsia" w:ascii="宋体" w:hAnsi="宋体" w:eastAsia="宋体"/>
          <w:sz w:val="24"/>
        </w:rPr>
        <w:t>（邀请书）</w:t>
      </w:r>
      <w:r>
        <w:rPr>
          <w:rFonts w:asciiTheme="minorEastAsia" w:hAnsiTheme="minorEastAsia" w:eastAsiaTheme="minorEastAsia"/>
          <w:sz w:val="24"/>
        </w:rPr>
        <w:t>。</w:t>
      </w:r>
    </w:p>
    <w:p w14:paraId="46FF290F">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5</w:t>
      </w:r>
      <w:r>
        <w:rPr>
          <w:rFonts w:asciiTheme="minorEastAsia" w:hAnsiTheme="minorEastAsia" w:eastAsiaTheme="minorEastAsia"/>
          <w:b/>
          <w:sz w:val="24"/>
        </w:rPr>
        <w:t>.</w:t>
      </w:r>
      <w:r>
        <w:rPr>
          <w:rFonts w:hint="eastAsia" w:asciiTheme="minorEastAsia" w:hAnsiTheme="minorEastAsia" w:eastAsiaTheme="minorEastAsia"/>
          <w:b/>
          <w:sz w:val="24"/>
        </w:rPr>
        <w:t>竞争性磋商费用</w:t>
      </w:r>
    </w:p>
    <w:p w14:paraId="72F690EE">
      <w:pPr>
        <w:spacing w:line="360" w:lineRule="auto"/>
        <w:ind w:firstLine="435"/>
        <w:rPr>
          <w:rFonts w:ascii="宋体" w:hAnsi="宋体" w:eastAsia="宋体"/>
          <w:sz w:val="24"/>
        </w:rPr>
      </w:pPr>
      <w:r>
        <w:rPr>
          <w:rFonts w:hint="eastAsia" w:ascii="宋体" w:hAnsi="宋体" w:eastAsia="宋体"/>
          <w:sz w:val="24"/>
        </w:rPr>
        <w:t>不论竞争性磋商的结果如何，供应商应承担其所有与准备和参加竞争性磋商有关的费用。</w:t>
      </w:r>
    </w:p>
    <w:p w14:paraId="7B5037E3">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适用法律</w:t>
      </w:r>
    </w:p>
    <w:p w14:paraId="621B63E0">
      <w:pPr>
        <w:spacing w:line="360" w:lineRule="auto"/>
        <w:ind w:firstLine="435"/>
        <w:rPr>
          <w:rFonts w:eastAsia="宋体" w:asciiTheme="minorEastAsia" w:hAnsiTheme="minorEastAsia"/>
          <w:sz w:val="24"/>
        </w:rPr>
      </w:pPr>
      <w:r>
        <w:rPr>
          <w:rFonts w:hint="eastAsia" w:ascii="宋体" w:hAnsi="宋体" w:eastAsia="宋体"/>
          <w:sz w:val="24"/>
        </w:rPr>
        <w:t>本项目为集中采购目录以外分散采购限额标准以下的采购项目，不属于政府采购项目，除本竞争性磋商文件规定的规则及程序外，不受《中华人民共和国政府采购法》及其有关规定的约束。</w:t>
      </w:r>
    </w:p>
    <w:p w14:paraId="2BA113FE">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7</w:t>
      </w:r>
      <w:r>
        <w:rPr>
          <w:rFonts w:asciiTheme="minorEastAsia" w:hAnsiTheme="minorEastAsia" w:eastAsiaTheme="minorEastAsia"/>
          <w:b/>
          <w:sz w:val="24"/>
        </w:rPr>
        <w:t>.</w:t>
      </w:r>
      <w:r>
        <w:rPr>
          <w:rFonts w:hint="eastAsia" w:asciiTheme="minorEastAsia" w:hAnsiTheme="minorEastAsia" w:eastAsiaTheme="minorEastAsia"/>
          <w:b/>
          <w:sz w:val="24"/>
        </w:rPr>
        <w:t>竞争性磋商文件构成</w:t>
      </w:r>
    </w:p>
    <w:p w14:paraId="7121AD80">
      <w:pPr>
        <w:spacing w:line="360" w:lineRule="auto"/>
        <w:ind w:firstLine="435"/>
        <w:rPr>
          <w:rFonts w:ascii="宋体" w:hAnsi="宋体" w:eastAsia="宋体"/>
          <w:sz w:val="24"/>
        </w:rPr>
      </w:pPr>
      <w:r>
        <w:rPr>
          <w:rFonts w:hint="eastAsia" w:ascii="宋体" w:hAnsi="宋体" w:eastAsia="宋体"/>
          <w:sz w:val="24"/>
        </w:rPr>
        <w:t>7.1竞争性磋商文件包括下列内容：</w:t>
      </w:r>
    </w:p>
    <w:p w14:paraId="2AF252B6">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第一章</w:t>
      </w:r>
      <w:r>
        <w:rPr>
          <w:rFonts w:asciiTheme="minorEastAsia" w:hAnsiTheme="minorEastAsia" w:eastAsiaTheme="minorEastAsia"/>
          <w:sz w:val="24"/>
        </w:rPr>
        <w:t xml:space="preserve">  </w:t>
      </w:r>
      <w:r>
        <w:rPr>
          <w:rFonts w:hint="eastAsia" w:asciiTheme="minorEastAsia" w:hAnsiTheme="minorEastAsia" w:eastAsiaTheme="minorEastAsia"/>
          <w:sz w:val="24"/>
        </w:rPr>
        <w:t>竞争性磋商公告</w:t>
      </w:r>
      <w:r>
        <w:rPr>
          <w:rFonts w:hint="eastAsia" w:ascii="宋体" w:hAnsi="宋体" w:eastAsia="宋体"/>
          <w:sz w:val="24"/>
        </w:rPr>
        <w:t>（邀请书）</w:t>
      </w:r>
    </w:p>
    <w:p w14:paraId="79C39899">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第二章</w:t>
      </w:r>
      <w:r>
        <w:rPr>
          <w:rFonts w:asciiTheme="minorEastAsia" w:hAnsiTheme="minorEastAsia" w:eastAsiaTheme="minorEastAsia"/>
          <w:sz w:val="24"/>
        </w:rPr>
        <w:t xml:space="preserve">  </w:t>
      </w:r>
      <w:r>
        <w:rPr>
          <w:rFonts w:hint="eastAsia" w:asciiTheme="minorEastAsia" w:hAnsiTheme="minorEastAsia" w:eastAsiaTheme="minorEastAsia"/>
          <w:sz w:val="24"/>
        </w:rPr>
        <w:t>供应商</w:t>
      </w:r>
      <w:r>
        <w:rPr>
          <w:rFonts w:asciiTheme="minorEastAsia" w:hAnsiTheme="minorEastAsia" w:eastAsiaTheme="minorEastAsia"/>
          <w:sz w:val="24"/>
        </w:rPr>
        <w:t>须知</w:t>
      </w:r>
    </w:p>
    <w:p w14:paraId="112D4430">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第三章</w:t>
      </w:r>
      <w:r>
        <w:rPr>
          <w:rFonts w:asciiTheme="minorEastAsia" w:hAnsiTheme="minorEastAsia" w:eastAsiaTheme="minorEastAsia"/>
          <w:sz w:val="24"/>
        </w:rPr>
        <w:t xml:space="preserve">  采购需求</w:t>
      </w:r>
    </w:p>
    <w:p w14:paraId="5DAB3541">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第四章</w:t>
      </w:r>
      <w:r>
        <w:rPr>
          <w:rFonts w:asciiTheme="minorEastAsia" w:hAnsiTheme="minorEastAsia" w:eastAsiaTheme="minorEastAsia"/>
          <w:sz w:val="24"/>
        </w:rPr>
        <w:t xml:space="preserve">  </w:t>
      </w:r>
      <w:r>
        <w:rPr>
          <w:rFonts w:hint="eastAsia" w:asciiTheme="minorEastAsia" w:hAnsiTheme="minorEastAsia" w:eastAsiaTheme="minorEastAsia"/>
          <w:sz w:val="24"/>
        </w:rPr>
        <w:t>评审方法</w:t>
      </w:r>
      <w:r>
        <w:rPr>
          <w:rFonts w:asciiTheme="minorEastAsia" w:hAnsiTheme="minorEastAsia" w:eastAsiaTheme="minorEastAsia"/>
          <w:sz w:val="24"/>
        </w:rPr>
        <w:t>和标准</w:t>
      </w:r>
    </w:p>
    <w:p w14:paraId="2B623EC3">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第五章</w:t>
      </w:r>
      <w:r>
        <w:rPr>
          <w:rFonts w:asciiTheme="minorEastAsia" w:hAnsiTheme="minorEastAsia" w:eastAsiaTheme="minorEastAsia"/>
          <w:sz w:val="24"/>
        </w:rPr>
        <w:t xml:space="preserve">  采购合同</w:t>
      </w:r>
    </w:p>
    <w:p w14:paraId="1FC7943F">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第六章</w:t>
      </w:r>
      <w:r>
        <w:rPr>
          <w:rFonts w:asciiTheme="minorEastAsia" w:hAnsiTheme="minorEastAsia" w:eastAsiaTheme="minorEastAsia"/>
          <w:sz w:val="24"/>
        </w:rPr>
        <w:t xml:space="preserve">  </w:t>
      </w:r>
      <w:r>
        <w:rPr>
          <w:rFonts w:hint="eastAsia" w:asciiTheme="minorEastAsia" w:hAnsiTheme="minorEastAsia" w:eastAsiaTheme="minorEastAsia"/>
          <w:sz w:val="24"/>
        </w:rPr>
        <w:t>响应</w:t>
      </w:r>
      <w:r>
        <w:rPr>
          <w:rFonts w:asciiTheme="minorEastAsia" w:hAnsiTheme="minorEastAsia" w:eastAsiaTheme="minorEastAsia"/>
          <w:sz w:val="24"/>
        </w:rPr>
        <w:t>文件格式</w:t>
      </w:r>
    </w:p>
    <w:p w14:paraId="03FD04B1">
      <w:pPr>
        <w:pStyle w:val="24"/>
        <w:ind w:firstLine="840" w:firstLineChars="350"/>
        <w:rPr>
          <w:rFonts w:cs="@仿宋_GB2312" w:asciiTheme="minorEastAsia" w:hAnsiTheme="minorEastAsia" w:eastAsiaTheme="minorEastAsia"/>
          <w:sz w:val="24"/>
          <w:lang w:val="en-US"/>
        </w:rPr>
      </w:pPr>
      <w:r>
        <w:rPr>
          <w:rFonts w:hint="eastAsia" w:cs="@仿宋_GB2312" w:asciiTheme="minorEastAsia" w:hAnsiTheme="minorEastAsia" w:eastAsiaTheme="minorEastAsia"/>
          <w:sz w:val="24"/>
          <w:lang w:val="en-US"/>
        </w:rPr>
        <w:t>第七章  最后承诺报价表格式</w:t>
      </w:r>
    </w:p>
    <w:p w14:paraId="31F9C272">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7.2</w:t>
      </w:r>
      <w:r>
        <w:rPr>
          <w:rFonts w:hint="eastAsia" w:asciiTheme="minorEastAsia" w:hAnsiTheme="minorEastAsia" w:eastAsiaTheme="minorEastAsia"/>
          <w:sz w:val="24"/>
        </w:rPr>
        <w:t>竞争性磋商文件</w:t>
      </w:r>
      <w:r>
        <w:rPr>
          <w:rFonts w:asciiTheme="minorEastAsia" w:hAnsiTheme="minorEastAsia" w:eastAsiaTheme="minorEastAsia"/>
          <w:sz w:val="24"/>
        </w:rPr>
        <w:t>中有不一致的，有</w:t>
      </w:r>
      <w:r>
        <w:rPr>
          <w:rFonts w:hint="eastAsia" w:asciiTheme="minorEastAsia" w:hAnsiTheme="minorEastAsia" w:eastAsiaTheme="minorEastAsia"/>
          <w:sz w:val="24"/>
        </w:rPr>
        <w:t>澄清</w:t>
      </w:r>
      <w:r>
        <w:rPr>
          <w:rFonts w:asciiTheme="minorEastAsia" w:hAnsiTheme="minorEastAsia" w:eastAsiaTheme="minorEastAsia"/>
          <w:sz w:val="24"/>
        </w:rPr>
        <w:t>的部分以最终的</w:t>
      </w:r>
      <w:r>
        <w:rPr>
          <w:rFonts w:hint="eastAsia" w:asciiTheme="minorEastAsia" w:hAnsiTheme="minorEastAsia" w:eastAsiaTheme="minorEastAsia"/>
          <w:sz w:val="24"/>
        </w:rPr>
        <w:t>澄清更正</w:t>
      </w:r>
      <w:r>
        <w:rPr>
          <w:rFonts w:asciiTheme="minorEastAsia" w:hAnsiTheme="minorEastAsia" w:eastAsiaTheme="minorEastAsia"/>
          <w:sz w:val="24"/>
        </w:rPr>
        <w:t>内容为准</w:t>
      </w:r>
      <w:r>
        <w:rPr>
          <w:rFonts w:hint="eastAsia" w:asciiTheme="minorEastAsia" w:hAnsiTheme="minorEastAsia" w:eastAsiaTheme="minorEastAsia"/>
          <w:sz w:val="24"/>
        </w:rPr>
        <w:t>。</w:t>
      </w:r>
    </w:p>
    <w:p w14:paraId="2F8E9EDB">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7.3现场</w:t>
      </w:r>
      <w:r>
        <w:rPr>
          <w:rFonts w:hint="eastAsia" w:asciiTheme="minorEastAsia" w:hAnsiTheme="minorEastAsia" w:eastAsiaTheme="minorEastAsia"/>
          <w:sz w:val="24"/>
        </w:rPr>
        <w:t>考察</w:t>
      </w:r>
      <w:r>
        <w:rPr>
          <w:rFonts w:asciiTheme="minorEastAsia" w:hAnsiTheme="minorEastAsia" w:eastAsiaTheme="minorEastAsia"/>
          <w:sz w:val="24"/>
        </w:rPr>
        <w:t>及相关事项见</w:t>
      </w:r>
      <w:r>
        <w:rPr>
          <w:rFonts w:asciiTheme="minorEastAsia" w:hAnsiTheme="minorEastAsia" w:eastAsiaTheme="minorEastAsia"/>
          <w:sz w:val="24"/>
          <w:u w:val="single"/>
        </w:rPr>
        <w:t>供应商须知前附表</w:t>
      </w:r>
      <w:r>
        <w:rPr>
          <w:rFonts w:asciiTheme="minorEastAsia" w:hAnsiTheme="minorEastAsia" w:eastAsiaTheme="minorEastAsia"/>
          <w:sz w:val="24"/>
        </w:rPr>
        <w:t>。</w:t>
      </w:r>
    </w:p>
    <w:p w14:paraId="21755873">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7.</w:t>
      </w:r>
      <w:r>
        <w:rPr>
          <w:rFonts w:hint="eastAsia" w:asciiTheme="minorEastAsia" w:hAnsiTheme="minorEastAsia" w:eastAsiaTheme="minorEastAsia"/>
          <w:sz w:val="24"/>
        </w:rPr>
        <w:t>4如需提供样品，对样品相关要求见采购需求，对样品的评审方法及评审标准见竞争性磋商文件第四章。</w:t>
      </w:r>
    </w:p>
    <w:p w14:paraId="4AE8796E">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7.</w:t>
      </w:r>
      <w:r>
        <w:rPr>
          <w:rFonts w:hint="eastAsia" w:asciiTheme="minorEastAsia" w:hAnsiTheme="minorEastAsia" w:eastAsiaTheme="minorEastAsia"/>
          <w:sz w:val="24"/>
        </w:rPr>
        <w:t>5供应商</w:t>
      </w:r>
      <w:r>
        <w:rPr>
          <w:rFonts w:asciiTheme="minorEastAsia" w:hAnsiTheme="minorEastAsia" w:eastAsiaTheme="minorEastAsia"/>
          <w:sz w:val="24"/>
        </w:rPr>
        <w:t>应认真阅读</w:t>
      </w:r>
      <w:r>
        <w:rPr>
          <w:rFonts w:hint="eastAsia" w:asciiTheme="minorEastAsia" w:hAnsiTheme="minorEastAsia" w:eastAsiaTheme="minorEastAsia"/>
          <w:sz w:val="24"/>
        </w:rPr>
        <w:t>竞争性磋商文件</w:t>
      </w:r>
      <w:r>
        <w:rPr>
          <w:rFonts w:asciiTheme="minorEastAsia" w:hAnsiTheme="minorEastAsia" w:eastAsiaTheme="minorEastAsia"/>
          <w:sz w:val="24"/>
        </w:rPr>
        <w:t>所有的事项、格式、条款和技术规范等。</w:t>
      </w:r>
    </w:p>
    <w:p w14:paraId="428BE56C">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竞争性磋商文件的澄清与修改</w:t>
      </w:r>
    </w:p>
    <w:p w14:paraId="5286723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w:t>
      </w:r>
      <w:r>
        <w:rPr>
          <w:rFonts w:hint="eastAsia" w:asciiTheme="minorEastAsia" w:hAnsiTheme="minorEastAsia" w:eastAsiaTheme="minorEastAsia"/>
          <w:sz w:val="24"/>
        </w:rPr>
        <w:t>1供应商</w:t>
      </w:r>
      <w:r>
        <w:rPr>
          <w:rFonts w:asciiTheme="minorEastAsia" w:hAnsiTheme="minorEastAsia" w:eastAsiaTheme="minorEastAsia"/>
          <w:sz w:val="24"/>
        </w:rPr>
        <w:t>如对</w:t>
      </w:r>
      <w:r>
        <w:rPr>
          <w:rFonts w:hint="eastAsia" w:asciiTheme="minorEastAsia" w:hAnsiTheme="minorEastAsia" w:eastAsiaTheme="minorEastAsia"/>
          <w:sz w:val="24"/>
        </w:rPr>
        <w:t>竞争性磋商文件</w:t>
      </w:r>
      <w:r>
        <w:rPr>
          <w:rFonts w:asciiTheme="minorEastAsia" w:hAnsiTheme="minorEastAsia" w:eastAsiaTheme="minorEastAsia"/>
          <w:sz w:val="24"/>
        </w:rPr>
        <w:t>内容有疑问，必须在</w:t>
      </w:r>
      <w:r>
        <w:rPr>
          <w:rFonts w:ascii="宋体" w:hAnsi="宋体" w:eastAsia="宋体"/>
          <w:sz w:val="24"/>
          <w:u w:val="single"/>
        </w:rPr>
        <w:t>供应商须知前附表</w:t>
      </w:r>
      <w:r>
        <w:rPr>
          <w:rFonts w:asciiTheme="minorEastAsia" w:hAnsiTheme="minorEastAsia" w:eastAsiaTheme="minorEastAsia"/>
          <w:sz w:val="24"/>
        </w:rPr>
        <w:t>规定的</w:t>
      </w:r>
      <w:r>
        <w:rPr>
          <w:rFonts w:hint="eastAsia" w:asciiTheme="minorEastAsia" w:hAnsiTheme="minorEastAsia" w:eastAsiaTheme="minorEastAsia"/>
          <w:sz w:val="24"/>
        </w:rPr>
        <w:t>网上询问</w:t>
      </w:r>
      <w:r>
        <w:rPr>
          <w:rFonts w:asciiTheme="minorEastAsia" w:hAnsiTheme="minorEastAsia" w:eastAsiaTheme="minorEastAsia"/>
          <w:sz w:val="24"/>
        </w:rPr>
        <w:t>截止时间前以提问形式</w:t>
      </w:r>
      <w:r>
        <w:rPr>
          <w:rFonts w:hint="eastAsia" w:asciiTheme="minorEastAsia" w:hAnsiTheme="minorEastAsia" w:eastAsiaTheme="minorEastAsia"/>
          <w:sz w:val="24"/>
        </w:rPr>
        <w:t>通过</w:t>
      </w:r>
      <w:r>
        <w:rPr>
          <w:rFonts w:hint="eastAsia" w:asciiTheme="minorEastAsia" w:hAnsiTheme="minorEastAsia" w:eastAsiaTheme="minorEastAsia"/>
          <w:sz w:val="24"/>
          <w:lang w:val="en-US" w:eastAsia="zh-CN"/>
        </w:rPr>
        <w:t>现场递交方式</w:t>
      </w:r>
      <w:r>
        <w:rPr>
          <w:rFonts w:asciiTheme="minorEastAsia" w:hAnsiTheme="minorEastAsia" w:eastAsiaTheme="minorEastAsia"/>
          <w:sz w:val="24"/>
        </w:rPr>
        <w:t>提交给采购代理机构。</w:t>
      </w:r>
    </w:p>
    <w:p w14:paraId="13AB6FB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w:t>
      </w:r>
      <w:r>
        <w:rPr>
          <w:rFonts w:hint="eastAsia" w:asciiTheme="minorEastAsia" w:hAnsiTheme="minorEastAsia" w:eastAsiaTheme="minorEastAsia"/>
          <w:sz w:val="24"/>
        </w:rPr>
        <w:t>2采购人可主动或在解答供应商提出的问题时对竞争性磋商文件进行澄清或者修改。</w:t>
      </w:r>
      <w:r>
        <w:rPr>
          <w:rFonts w:asciiTheme="minorEastAsia" w:hAnsiTheme="minorEastAsia" w:eastAsiaTheme="minorEastAsia"/>
          <w:sz w:val="24"/>
        </w:rPr>
        <w:t>采购代理机构将</w:t>
      </w:r>
      <w:r>
        <w:rPr>
          <w:rFonts w:hint="eastAsia" w:asciiTheme="minorEastAsia" w:hAnsiTheme="minorEastAsia" w:eastAsiaTheme="minorEastAsia"/>
          <w:sz w:val="24"/>
        </w:rPr>
        <w:t>在六安市水利局门户网站以发布澄清或修改公告的方式澄清或者修改竞争性磋商文件，澄清或修改公告的</w:t>
      </w:r>
      <w:r>
        <w:rPr>
          <w:rFonts w:asciiTheme="minorEastAsia" w:hAnsiTheme="minorEastAsia" w:eastAsiaTheme="minorEastAsia"/>
          <w:sz w:val="24"/>
        </w:rPr>
        <w:t>内容</w:t>
      </w:r>
      <w:r>
        <w:rPr>
          <w:rFonts w:hint="eastAsia" w:asciiTheme="minorEastAsia" w:hAnsiTheme="minorEastAsia" w:eastAsiaTheme="minorEastAsia"/>
          <w:sz w:val="24"/>
        </w:rPr>
        <w:t>作</w:t>
      </w:r>
      <w:r>
        <w:rPr>
          <w:rFonts w:asciiTheme="minorEastAsia" w:hAnsiTheme="minorEastAsia" w:eastAsiaTheme="minorEastAsia"/>
          <w:sz w:val="24"/>
        </w:rPr>
        <w:t>为</w:t>
      </w:r>
      <w:r>
        <w:rPr>
          <w:rFonts w:hint="eastAsia" w:asciiTheme="minorEastAsia" w:hAnsiTheme="minorEastAsia" w:eastAsiaTheme="minorEastAsia"/>
          <w:sz w:val="24"/>
        </w:rPr>
        <w:t>竞争性磋商文件的</w:t>
      </w:r>
      <w:r>
        <w:rPr>
          <w:rFonts w:asciiTheme="minorEastAsia" w:hAnsiTheme="minorEastAsia" w:eastAsiaTheme="minorEastAsia"/>
          <w:sz w:val="24"/>
        </w:rPr>
        <w:t>组成部分，对</w:t>
      </w:r>
      <w:r>
        <w:rPr>
          <w:rFonts w:hint="eastAsia" w:asciiTheme="minorEastAsia" w:hAnsiTheme="minorEastAsia" w:eastAsiaTheme="minorEastAsia"/>
          <w:sz w:val="24"/>
        </w:rPr>
        <w:t>供应商</w:t>
      </w:r>
      <w:r>
        <w:rPr>
          <w:rFonts w:asciiTheme="minorEastAsia" w:hAnsiTheme="minorEastAsia" w:eastAsiaTheme="minorEastAsia"/>
          <w:sz w:val="24"/>
        </w:rPr>
        <w:t>起约束作用</w:t>
      </w:r>
      <w:r>
        <w:rPr>
          <w:rFonts w:hint="eastAsia" w:asciiTheme="minorEastAsia" w:hAnsiTheme="minorEastAsia" w:eastAsiaTheme="minorEastAsia"/>
          <w:sz w:val="24"/>
        </w:rPr>
        <w:t>。供应商应主动上网查询。采购代理机构不承担供应商未及时关注相关信息引发的相关责任。</w:t>
      </w:r>
    </w:p>
    <w:p w14:paraId="00708BFA">
      <w:pPr>
        <w:spacing w:line="360" w:lineRule="auto"/>
        <w:ind w:firstLine="435"/>
        <w:rPr>
          <w:rFonts w:ascii="宋体" w:hAnsi="宋体" w:eastAsia="宋体"/>
          <w:sz w:val="24"/>
        </w:rPr>
      </w:pPr>
      <w:r>
        <w:rPr>
          <w:rFonts w:ascii="宋体" w:hAnsi="宋体" w:eastAsia="宋体"/>
          <w:sz w:val="24"/>
        </w:rPr>
        <w:t>8</w:t>
      </w:r>
      <w:r>
        <w:rPr>
          <w:rFonts w:hint="eastAsia" w:ascii="宋体" w:hAnsi="宋体" w:eastAsia="宋体"/>
          <w:sz w:val="24"/>
        </w:rPr>
        <w:t>.3任何人或任何组织向供应商提供的任何书面或口头资料，未经采购代理机构在网上发布或书面通知，均作无效处理，不得作为竞争性磋商文件的组成部分。采购代理机构对供应商由此而做出的推论、理解和结论概不负责。</w:t>
      </w:r>
    </w:p>
    <w:p w14:paraId="5B1CA317">
      <w:pPr>
        <w:spacing w:line="360" w:lineRule="auto"/>
        <w:ind w:firstLine="435"/>
        <w:rPr>
          <w:rFonts w:asciiTheme="minorEastAsia" w:hAnsiTheme="minorEastAsia" w:eastAsiaTheme="minorEastAsia"/>
          <w:iCs/>
          <w:sz w:val="24"/>
        </w:rPr>
      </w:pPr>
      <w:r>
        <w:rPr>
          <w:rFonts w:hint="eastAsia" w:asciiTheme="minorEastAsia" w:hAnsiTheme="minorEastAsia" w:eastAsiaTheme="minorEastAsia"/>
          <w:sz w:val="24"/>
        </w:rPr>
        <w:t>8</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对于</w:t>
      </w:r>
      <w:r>
        <w:rPr>
          <w:rFonts w:ascii="宋体" w:hAnsi="宋体" w:eastAsia="宋体"/>
          <w:sz w:val="24"/>
        </w:rPr>
        <w:t>没有</w:t>
      </w:r>
      <w:r>
        <w:rPr>
          <w:rFonts w:asciiTheme="minorEastAsia" w:hAnsiTheme="minorEastAsia" w:eastAsiaTheme="minorEastAsia"/>
          <w:sz w:val="24"/>
        </w:rPr>
        <w:t>提出</w:t>
      </w:r>
      <w:r>
        <w:rPr>
          <w:rFonts w:hint="eastAsia" w:asciiTheme="minorEastAsia" w:hAnsiTheme="minorEastAsia" w:eastAsiaTheme="minorEastAsia"/>
          <w:sz w:val="24"/>
        </w:rPr>
        <w:t>询问</w:t>
      </w:r>
      <w:r>
        <w:rPr>
          <w:rFonts w:asciiTheme="minorEastAsia" w:hAnsiTheme="minorEastAsia" w:eastAsiaTheme="minorEastAsia"/>
          <w:sz w:val="24"/>
        </w:rPr>
        <w:t>又参与了</w:t>
      </w:r>
      <w:r>
        <w:rPr>
          <w:rFonts w:hint="eastAsia" w:asciiTheme="minorEastAsia" w:hAnsiTheme="minorEastAsia" w:eastAsiaTheme="minorEastAsia"/>
          <w:sz w:val="24"/>
        </w:rPr>
        <w:t>本</w:t>
      </w:r>
      <w:r>
        <w:rPr>
          <w:rFonts w:asciiTheme="minorEastAsia" w:hAnsiTheme="minorEastAsia" w:eastAsiaTheme="minorEastAsia"/>
          <w:sz w:val="24"/>
        </w:rPr>
        <w:t>项目</w:t>
      </w:r>
      <w:r>
        <w:rPr>
          <w:rFonts w:hint="eastAsia" w:asciiTheme="minorEastAsia" w:hAnsiTheme="minorEastAsia" w:eastAsiaTheme="minorEastAsia"/>
          <w:sz w:val="24"/>
        </w:rPr>
        <w:t>竞争性磋商</w:t>
      </w:r>
      <w:r>
        <w:rPr>
          <w:rFonts w:asciiTheme="minorEastAsia" w:hAnsiTheme="minorEastAsia" w:eastAsiaTheme="minorEastAsia"/>
          <w:sz w:val="24"/>
        </w:rPr>
        <w:t>的</w:t>
      </w:r>
      <w:r>
        <w:rPr>
          <w:rFonts w:hint="eastAsia" w:asciiTheme="minorEastAsia" w:hAnsiTheme="minorEastAsia" w:eastAsiaTheme="minorEastAsia"/>
          <w:sz w:val="24"/>
        </w:rPr>
        <w:t>供应商</w:t>
      </w:r>
      <w:r>
        <w:rPr>
          <w:rFonts w:asciiTheme="minorEastAsia" w:hAnsiTheme="minorEastAsia" w:eastAsiaTheme="minorEastAsia"/>
          <w:sz w:val="24"/>
        </w:rPr>
        <w:t>将被视为完全认同</w:t>
      </w:r>
      <w:r>
        <w:rPr>
          <w:rFonts w:hint="eastAsia" w:asciiTheme="minorEastAsia" w:hAnsiTheme="minorEastAsia" w:eastAsiaTheme="minorEastAsia"/>
          <w:sz w:val="24"/>
        </w:rPr>
        <w:t>本竞争性磋商文件</w:t>
      </w:r>
      <w:r>
        <w:rPr>
          <w:rFonts w:asciiTheme="minorEastAsia" w:hAnsiTheme="minorEastAsia" w:eastAsiaTheme="minorEastAsia"/>
          <w:sz w:val="24"/>
        </w:rPr>
        <w:t>（含</w:t>
      </w:r>
      <w:r>
        <w:rPr>
          <w:rFonts w:hint="eastAsia" w:asciiTheme="minorEastAsia" w:hAnsiTheme="minorEastAsia" w:eastAsiaTheme="minorEastAsia"/>
          <w:sz w:val="24"/>
        </w:rPr>
        <w:t>澄清或修改公告的</w:t>
      </w:r>
      <w:r>
        <w:rPr>
          <w:rFonts w:asciiTheme="minorEastAsia" w:hAnsiTheme="minorEastAsia" w:eastAsiaTheme="minorEastAsia"/>
          <w:sz w:val="24"/>
        </w:rPr>
        <w:t>内容）</w:t>
      </w:r>
      <w:r>
        <w:rPr>
          <w:rFonts w:hint="eastAsia" w:asciiTheme="minorEastAsia" w:hAnsiTheme="minorEastAsia" w:eastAsiaTheme="minorEastAsia"/>
          <w:i/>
          <w:sz w:val="24"/>
        </w:rPr>
        <w:t>。</w:t>
      </w:r>
    </w:p>
    <w:p w14:paraId="5381F169">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9</w:t>
      </w:r>
      <w:r>
        <w:rPr>
          <w:rFonts w:asciiTheme="minorEastAsia" w:hAnsiTheme="minorEastAsia" w:eastAsiaTheme="minorEastAsia"/>
          <w:b/>
          <w:sz w:val="24"/>
        </w:rPr>
        <w:t>.</w:t>
      </w:r>
      <w:r>
        <w:rPr>
          <w:rFonts w:hint="eastAsia" w:asciiTheme="minorEastAsia" w:hAnsiTheme="minorEastAsia" w:eastAsiaTheme="minorEastAsia"/>
          <w:b/>
          <w:sz w:val="24"/>
        </w:rPr>
        <w:t>竞争性磋商范围及响应文件中标准和计量单位的使用</w:t>
      </w:r>
    </w:p>
    <w:p w14:paraId="7800E63E">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9.1项目有分包的，供应商可</w:t>
      </w:r>
      <w:r>
        <w:rPr>
          <w:rFonts w:hint="eastAsia" w:asciiTheme="minorEastAsia" w:hAnsiTheme="minorEastAsia" w:eastAsiaTheme="minorEastAsia"/>
          <w:sz w:val="24"/>
        </w:rPr>
        <w:t>参与</w:t>
      </w:r>
      <w:r>
        <w:rPr>
          <w:rFonts w:asciiTheme="minorEastAsia" w:hAnsiTheme="minorEastAsia" w:eastAsiaTheme="minorEastAsia"/>
          <w:sz w:val="24"/>
        </w:rPr>
        <w:t>其中某一个或</w:t>
      </w:r>
      <w:r>
        <w:rPr>
          <w:rFonts w:hint="eastAsia" w:asciiTheme="minorEastAsia" w:hAnsiTheme="minorEastAsia" w:eastAsiaTheme="minorEastAsia"/>
          <w:sz w:val="24"/>
        </w:rPr>
        <w:t>多</w:t>
      </w:r>
      <w:r>
        <w:rPr>
          <w:rFonts w:asciiTheme="minorEastAsia" w:hAnsiTheme="minorEastAsia" w:eastAsiaTheme="minorEastAsia"/>
          <w:sz w:val="24"/>
        </w:rPr>
        <w:t>个分包</w:t>
      </w:r>
      <w:r>
        <w:rPr>
          <w:rFonts w:hint="eastAsia" w:asciiTheme="minorEastAsia" w:hAnsiTheme="minorEastAsia" w:eastAsiaTheme="minorEastAsia"/>
          <w:sz w:val="24"/>
        </w:rPr>
        <w:t>的竞争性磋商</w:t>
      </w:r>
      <w:r>
        <w:rPr>
          <w:rFonts w:asciiTheme="minorEastAsia" w:hAnsiTheme="minorEastAsia" w:eastAsiaTheme="minorEastAsia"/>
          <w:sz w:val="24"/>
        </w:rPr>
        <w:t>，</w:t>
      </w:r>
      <w:r>
        <w:rPr>
          <w:rFonts w:hint="eastAsia" w:asciiTheme="minorEastAsia" w:hAnsiTheme="minorEastAsia" w:eastAsiaTheme="minorEastAsia"/>
          <w:sz w:val="24"/>
        </w:rPr>
        <w:t>成交包数详见</w:t>
      </w:r>
      <w:r>
        <w:rPr>
          <w:rFonts w:asciiTheme="minorEastAsia" w:hAnsiTheme="minorEastAsia" w:eastAsiaTheme="minorEastAsia"/>
          <w:sz w:val="24"/>
          <w:u w:val="single"/>
        </w:rPr>
        <w:t>供应商须知前附表</w:t>
      </w:r>
      <w:r>
        <w:rPr>
          <w:rFonts w:asciiTheme="minorEastAsia" w:hAnsiTheme="minorEastAsia" w:eastAsiaTheme="minorEastAsia"/>
          <w:sz w:val="24"/>
        </w:rPr>
        <w:t>中规定。</w:t>
      </w:r>
    </w:p>
    <w:p w14:paraId="6F150DB3">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9.</w:t>
      </w:r>
      <w:r>
        <w:rPr>
          <w:rFonts w:hint="eastAsia" w:asciiTheme="minorEastAsia" w:hAnsiTheme="minorEastAsia" w:eastAsiaTheme="minorEastAsia"/>
          <w:sz w:val="24"/>
        </w:rPr>
        <w:t>2</w:t>
      </w:r>
      <w:r>
        <w:rPr>
          <w:rFonts w:asciiTheme="minorEastAsia" w:hAnsiTheme="minorEastAsia" w:eastAsiaTheme="minorEastAsia"/>
          <w:sz w:val="24"/>
        </w:rPr>
        <w:t>无论</w:t>
      </w:r>
      <w:r>
        <w:rPr>
          <w:rFonts w:hint="eastAsia" w:asciiTheme="minorEastAsia" w:hAnsiTheme="minorEastAsia" w:eastAsiaTheme="minorEastAsia"/>
          <w:sz w:val="24"/>
        </w:rPr>
        <w:t>竞争性磋商文件</w:t>
      </w:r>
      <w:r>
        <w:rPr>
          <w:rFonts w:asciiTheme="minorEastAsia" w:hAnsiTheme="minorEastAsia" w:eastAsiaTheme="minorEastAsia"/>
          <w:sz w:val="24"/>
        </w:rPr>
        <w:t>中是否要求，供应商所投货物</w:t>
      </w:r>
      <w:r>
        <w:rPr>
          <w:rFonts w:hint="eastAsia" w:asciiTheme="minorEastAsia" w:hAnsiTheme="minorEastAsia" w:eastAsiaTheme="minorEastAsia"/>
          <w:sz w:val="24"/>
        </w:rPr>
        <w:t>、</w:t>
      </w:r>
      <w:r>
        <w:rPr>
          <w:rFonts w:asciiTheme="minorEastAsia" w:hAnsiTheme="minorEastAsia" w:eastAsiaTheme="minorEastAsia"/>
          <w:sz w:val="24"/>
        </w:rPr>
        <w:t>服务</w:t>
      </w:r>
      <w:r>
        <w:rPr>
          <w:rFonts w:hint="eastAsia" w:asciiTheme="minorEastAsia" w:hAnsiTheme="minorEastAsia" w:eastAsiaTheme="minorEastAsia"/>
          <w:sz w:val="24"/>
        </w:rPr>
        <w:t>、</w:t>
      </w:r>
      <w:r>
        <w:rPr>
          <w:rFonts w:asciiTheme="minorEastAsia" w:hAnsiTheme="minorEastAsia" w:eastAsiaTheme="minorEastAsia"/>
          <w:sz w:val="24"/>
        </w:rPr>
        <w:t>工程均应符合国家强制性标准。</w:t>
      </w:r>
    </w:p>
    <w:p w14:paraId="20497A85">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9.</w:t>
      </w:r>
      <w:r>
        <w:rPr>
          <w:rFonts w:hint="eastAsia" w:asciiTheme="minorEastAsia" w:hAnsiTheme="minorEastAsia" w:eastAsiaTheme="minorEastAsia"/>
          <w:sz w:val="24"/>
        </w:rPr>
        <w:t>3</w:t>
      </w:r>
      <w:r>
        <w:rPr>
          <w:rFonts w:asciiTheme="minorEastAsia" w:hAnsiTheme="minorEastAsia" w:eastAsiaTheme="minorEastAsia"/>
          <w:sz w:val="24"/>
        </w:rPr>
        <w:t>供应商与采购代理机构之间与</w:t>
      </w:r>
      <w:r>
        <w:rPr>
          <w:rFonts w:hint="eastAsia" w:asciiTheme="minorEastAsia" w:hAnsiTheme="minorEastAsia" w:eastAsiaTheme="minorEastAsia"/>
          <w:sz w:val="24"/>
        </w:rPr>
        <w:t>竞争性磋商</w:t>
      </w:r>
      <w:r>
        <w:rPr>
          <w:rFonts w:asciiTheme="minorEastAsia" w:hAnsiTheme="minorEastAsia" w:eastAsiaTheme="minorEastAsia"/>
          <w:sz w:val="24"/>
        </w:rPr>
        <w:t>有关的所有往来通知、函件和响应文件均用中文表述。供应商随响应文件提供的证明文件和资料可以为其它语言，但必须附中文译文。翻译的中文资料与外文资料如果出现差异时，以中文为准。</w:t>
      </w:r>
    </w:p>
    <w:p w14:paraId="408733B4">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9.</w:t>
      </w:r>
      <w:r>
        <w:rPr>
          <w:rFonts w:hint="eastAsia" w:asciiTheme="minorEastAsia" w:hAnsiTheme="minorEastAsia" w:eastAsiaTheme="minorEastAsia"/>
          <w:sz w:val="24"/>
        </w:rPr>
        <w:t>4</w:t>
      </w:r>
      <w:r>
        <w:rPr>
          <w:rFonts w:asciiTheme="minorEastAsia" w:hAnsiTheme="minorEastAsia" w:eastAsiaTheme="minorEastAsia"/>
          <w:sz w:val="24"/>
        </w:rPr>
        <w:t>除</w:t>
      </w:r>
      <w:r>
        <w:rPr>
          <w:rFonts w:hint="eastAsia" w:asciiTheme="minorEastAsia" w:hAnsiTheme="minorEastAsia" w:eastAsiaTheme="minorEastAsia"/>
          <w:sz w:val="24"/>
        </w:rPr>
        <w:t>竞争性磋商文件</w:t>
      </w:r>
      <w:r>
        <w:rPr>
          <w:rFonts w:asciiTheme="minorEastAsia" w:hAnsiTheme="minorEastAsia" w:eastAsiaTheme="minorEastAsia"/>
          <w:sz w:val="24"/>
        </w:rPr>
        <w:t>中有特殊要求外，响应文件中所使用的计量单位，应采用中华人民共和国法定计量单位。</w:t>
      </w:r>
    </w:p>
    <w:p w14:paraId="39FEF21A">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0.</w:t>
      </w:r>
      <w:r>
        <w:rPr>
          <w:rFonts w:hint="eastAsia" w:asciiTheme="minorEastAsia" w:hAnsiTheme="minorEastAsia" w:eastAsiaTheme="minorEastAsia"/>
          <w:b/>
          <w:sz w:val="24"/>
        </w:rPr>
        <w:t>响应文件构成</w:t>
      </w:r>
    </w:p>
    <w:p w14:paraId="470C24FA">
      <w:pPr>
        <w:spacing w:line="360" w:lineRule="auto"/>
        <w:ind w:firstLine="437"/>
        <w:rPr>
          <w:rFonts w:asciiTheme="minorEastAsia" w:hAnsiTheme="minorEastAsia" w:eastAsiaTheme="minorEastAsia"/>
          <w:sz w:val="24"/>
        </w:rPr>
      </w:pPr>
      <w:r>
        <w:rPr>
          <w:rFonts w:asciiTheme="minorEastAsia" w:hAnsiTheme="minorEastAsia" w:eastAsiaTheme="minorEastAsia"/>
          <w:sz w:val="24"/>
        </w:rPr>
        <w:t>10.1供应商应完整地按</w:t>
      </w:r>
      <w:r>
        <w:rPr>
          <w:rFonts w:hint="eastAsia" w:asciiTheme="minorEastAsia" w:hAnsiTheme="minorEastAsia" w:eastAsiaTheme="minorEastAsia"/>
          <w:sz w:val="24"/>
        </w:rPr>
        <w:t>竞争性磋商文件</w:t>
      </w:r>
      <w:r>
        <w:rPr>
          <w:rFonts w:asciiTheme="minorEastAsia" w:hAnsiTheme="minorEastAsia" w:eastAsiaTheme="minorEastAsia"/>
          <w:sz w:val="24"/>
        </w:rPr>
        <w:t>提供的响应文件格式及要求编写响应文件，具体内容详见第六章响应文件格式的相关内容。</w:t>
      </w:r>
    </w:p>
    <w:p w14:paraId="0791436A">
      <w:pPr>
        <w:spacing w:line="360" w:lineRule="auto"/>
        <w:ind w:firstLine="437"/>
        <w:rPr>
          <w:rFonts w:asciiTheme="minorEastAsia" w:hAnsiTheme="minorEastAsia" w:eastAsiaTheme="minorEastAsia"/>
          <w:sz w:val="24"/>
        </w:rPr>
      </w:pPr>
      <w:r>
        <w:rPr>
          <w:rFonts w:asciiTheme="minorEastAsia" w:hAnsiTheme="minorEastAsia" w:eastAsiaTheme="minorEastAsia"/>
          <w:sz w:val="24"/>
        </w:rPr>
        <w:t>10.2上述文件应按照</w:t>
      </w:r>
      <w:r>
        <w:rPr>
          <w:rFonts w:hint="eastAsia" w:asciiTheme="minorEastAsia" w:hAnsiTheme="minorEastAsia" w:eastAsiaTheme="minorEastAsia"/>
          <w:sz w:val="24"/>
        </w:rPr>
        <w:t>竞争性磋商文件</w:t>
      </w:r>
      <w:r>
        <w:rPr>
          <w:rFonts w:asciiTheme="minorEastAsia" w:hAnsiTheme="minorEastAsia" w:eastAsiaTheme="minorEastAsia"/>
          <w:sz w:val="24"/>
        </w:rPr>
        <w:t>规定的格式填写、签署和盖章。</w:t>
      </w:r>
    </w:p>
    <w:p w14:paraId="3AD04307">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1.</w:t>
      </w:r>
      <w:r>
        <w:rPr>
          <w:rFonts w:hint="eastAsia" w:asciiTheme="minorEastAsia" w:hAnsiTheme="minorEastAsia" w:eastAsiaTheme="minorEastAsia"/>
          <w:b/>
          <w:sz w:val="24"/>
        </w:rPr>
        <w:t>证明标的的合格性和符合竞争性磋商文件规定的技术文件</w:t>
      </w:r>
    </w:p>
    <w:p w14:paraId="5647E797">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.1</w:t>
      </w:r>
      <w:r>
        <w:rPr>
          <w:rFonts w:hint="eastAsia" w:ascii="宋体" w:hAnsi="宋体" w:eastAsia="宋体"/>
          <w:sz w:val="24"/>
        </w:rPr>
        <w:t>供应商应提交竞争性磋商文件要求的证明文件，证明其响应内容符合竞争性磋商文件规定。该证明文件是响应文件的一部分</w:t>
      </w:r>
      <w:r>
        <w:rPr>
          <w:rFonts w:asciiTheme="minorEastAsia" w:hAnsiTheme="minorEastAsia" w:eastAsiaTheme="minorEastAsia"/>
          <w:sz w:val="24"/>
        </w:rPr>
        <w:t>。</w:t>
      </w:r>
    </w:p>
    <w:p w14:paraId="7F74F441">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.2上款所述的证明文件，可以是文字资料、图纸和数据</w:t>
      </w:r>
      <w:bookmarkStart w:id="6" w:name="_Hlk11703583"/>
      <w:r>
        <w:rPr>
          <w:rFonts w:hint="eastAsia" w:asciiTheme="minorEastAsia" w:hAnsiTheme="minorEastAsia" w:eastAsiaTheme="minorEastAsia"/>
          <w:sz w:val="24"/>
        </w:rPr>
        <w:t>。</w:t>
      </w:r>
    </w:p>
    <w:bookmarkEnd w:id="6"/>
    <w:p w14:paraId="22EB252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1.3</w:t>
      </w:r>
      <w:r>
        <w:rPr>
          <w:rFonts w:hint="eastAsia" w:asciiTheme="minorEastAsia" w:hAnsiTheme="minorEastAsia" w:eastAsiaTheme="minorEastAsia"/>
          <w:sz w:val="24"/>
        </w:rPr>
        <w:t>本条所指证明文件不包括对竞争性磋商文件相关部分的文字、图标的复制。</w:t>
      </w:r>
    </w:p>
    <w:p w14:paraId="75A357CC">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w:t>
      </w:r>
      <w:r>
        <w:rPr>
          <w:rFonts w:hint="eastAsia" w:asciiTheme="minorEastAsia" w:hAnsiTheme="minorEastAsia" w:eastAsiaTheme="minorEastAsia"/>
          <w:sz w:val="24"/>
        </w:rPr>
        <w:t>4供应商</w:t>
      </w:r>
      <w:r>
        <w:rPr>
          <w:rFonts w:asciiTheme="minorEastAsia" w:hAnsiTheme="minorEastAsia" w:eastAsiaTheme="minorEastAsia"/>
          <w:sz w:val="24"/>
        </w:rPr>
        <w:t>应</w:t>
      </w:r>
      <w:r>
        <w:rPr>
          <w:rFonts w:ascii="宋体" w:hAnsi="宋体" w:eastAsia="宋体"/>
          <w:sz w:val="24"/>
        </w:rPr>
        <w:t>注意</w:t>
      </w:r>
      <w:r>
        <w:rPr>
          <w:rFonts w:asciiTheme="minorEastAsia" w:hAnsiTheme="minorEastAsia" w:eastAsiaTheme="minorEastAsia"/>
          <w:sz w:val="24"/>
        </w:rPr>
        <w:t>采购人在</w:t>
      </w:r>
      <w:r>
        <w:rPr>
          <w:rFonts w:hint="eastAsia" w:asciiTheme="minorEastAsia" w:hAnsiTheme="minorEastAsia" w:eastAsiaTheme="minorEastAsia"/>
          <w:sz w:val="24"/>
        </w:rPr>
        <w:t>采购需求</w:t>
      </w:r>
      <w:r>
        <w:rPr>
          <w:rFonts w:asciiTheme="minorEastAsia" w:hAnsiTheme="minorEastAsia" w:eastAsiaTheme="minorEastAsia"/>
          <w:sz w:val="24"/>
        </w:rPr>
        <w:t>中</w:t>
      </w:r>
      <w:r>
        <w:rPr>
          <w:rFonts w:hint="eastAsia" w:asciiTheme="minorEastAsia" w:hAnsiTheme="minorEastAsia" w:eastAsiaTheme="minorEastAsia"/>
          <w:sz w:val="24"/>
        </w:rPr>
        <w:t>提供</w:t>
      </w:r>
      <w:r>
        <w:rPr>
          <w:rFonts w:asciiTheme="minorEastAsia" w:hAnsiTheme="minorEastAsia" w:eastAsiaTheme="minorEastAsia"/>
          <w:sz w:val="24"/>
        </w:rPr>
        <w:t>的工艺、材料和设备的</w:t>
      </w:r>
      <w:r>
        <w:rPr>
          <w:rFonts w:hint="eastAsia" w:asciiTheme="minorEastAsia" w:hAnsiTheme="minorEastAsia" w:eastAsiaTheme="minorEastAsia"/>
          <w:sz w:val="24"/>
        </w:rPr>
        <w:t>参考</w:t>
      </w:r>
      <w:r>
        <w:rPr>
          <w:rFonts w:asciiTheme="minorEastAsia" w:hAnsiTheme="minorEastAsia" w:eastAsiaTheme="minorEastAsia"/>
          <w:sz w:val="24"/>
        </w:rPr>
        <w:t>品牌型号或分类号仅起说明作用，并没有任何限制性。</w:t>
      </w:r>
      <w:r>
        <w:rPr>
          <w:rFonts w:hint="eastAsia" w:asciiTheme="minorEastAsia" w:hAnsiTheme="minorEastAsia" w:eastAsiaTheme="minorEastAsia"/>
          <w:sz w:val="24"/>
        </w:rPr>
        <w:t>供应商</w:t>
      </w:r>
      <w:r>
        <w:rPr>
          <w:rFonts w:asciiTheme="minorEastAsia" w:hAnsiTheme="minorEastAsia" w:eastAsiaTheme="minorEastAsia"/>
          <w:sz w:val="24"/>
        </w:rPr>
        <w:t>在</w:t>
      </w:r>
      <w:r>
        <w:rPr>
          <w:rFonts w:hint="eastAsia" w:asciiTheme="minorEastAsia" w:hAnsiTheme="minorEastAsia" w:eastAsiaTheme="minorEastAsia"/>
          <w:sz w:val="24"/>
        </w:rPr>
        <w:t>响应文件</w:t>
      </w:r>
      <w:r>
        <w:rPr>
          <w:rFonts w:asciiTheme="minorEastAsia" w:hAnsiTheme="minorEastAsia" w:eastAsiaTheme="minorEastAsia"/>
          <w:sz w:val="24"/>
        </w:rPr>
        <w:t>中可以选用替代品牌型号或分类号，但这些替代要实质上相当于技术规格的要求</w:t>
      </w:r>
      <w:r>
        <w:rPr>
          <w:rFonts w:hint="eastAsia" w:asciiTheme="minorEastAsia" w:hAnsiTheme="minorEastAsia" w:eastAsiaTheme="minorEastAsia"/>
          <w:sz w:val="24"/>
        </w:rPr>
        <w:t>，是否满足要求，由竞争性磋商小组来评判。</w:t>
      </w:r>
    </w:p>
    <w:p w14:paraId="0C0470F2">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2.</w:t>
      </w:r>
      <w:r>
        <w:rPr>
          <w:rFonts w:hint="eastAsia" w:asciiTheme="minorEastAsia" w:hAnsiTheme="minorEastAsia" w:eastAsiaTheme="minorEastAsia"/>
          <w:b/>
          <w:sz w:val="24"/>
        </w:rPr>
        <w:t>报价</w:t>
      </w:r>
    </w:p>
    <w:p w14:paraId="2B035F0A">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供应商</w:t>
      </w:r>
      <w:r>
        <w:rPr>
          <w:rFonts w:asciiTheme="minorEastAsia" w:hAnsiTheme="minorEastAsia" w:eastAsiaTheme="minorEastAsia"/>
          <w:sz w:val="24"/>
        </w:rPr>
        <w:t>的报价应当包括满足本次</w:t>
      </w:r>
      <w:r>
        <w:rPr>
          <w:rFonts w:hint="eastAsia" w:asciiTheme="minorEastAsia" w:hAnsiTheme="minorEastAsia" w:eastAsiaTheme="minorEastAsia"/>
          <w:sz w:val="24"/>
        </w:rPr>
        <w:t>竞争性磋商</w:t>
      </w:r>
      <w:r>
        <w:rPr>
          <w:rFonts w:asciiTheme="minorEastAsia" w:hAnsiTheme="minorEastAsia" w:eastAsiaTheme="minorEastAsia"/>
          <w:sz w:val="24"/>
        </w:rPr>
        <w:t>全部采购需求所应提供的</w:t>
      </w:r>
      <w:r>
        <w:rPr>
          <w:rFonts w:hint="eastAsia" w:asciiTheme="minorEastAsia" w:hAnsiTheme="minorEastAsia" w:eastAsiaTheme="minorEastAsia"/>
          <w:sz w:val="24"/>
        </w:rPr>
        <w:t>货物、工程、服务。所有内容均应以人民币报价，供应商的竞争性磋商报价应遵守《中华人民共和国价格法》。</w:t>
      </w:r>
    </w:p>
    <w:p w14:paraId="3DD2AD6D">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12.</w:t>
      </w:r>
      <w:r>
        <w:rPr>
          <w:rFonts w:hint="eastAsia" w:asciiTheme="minorEastAsia" w:hAnsiTheme="minorEastAsia" w:eastAsiaTheme="minorEastAsia"/>
          <w:sz w:val="24"/>
        </w:rPr>
        <w:t>2供应商应在投标报价表上标明所投货物、工程、服务的单价（如适用）和总价，未标明的视同包含在竞争性磋商报价中。</w:t>
      </w:r>
    </w:p>
    <w:p w14:paraId="25820B91">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12.</w:t>
      </w:r>
      <w:r>
        <w:rPr>
          <w:rFonts w:hint="eastAsia" w:asciiTheme="minorEastAsia" w:hAnsiTheme="minorEastAsia" w:eastAsiaTheme="minorEastAsia"/>
          <w:sz w:val="24"/>
        </w:rPr>
        <w:t>3最高限价具体详见供应商须知前附表</w:t>
      </w:r>
      <w:r>
        <w:rPr>
          <w:rFonts w:asciiTheme="minorEastAsia" w:hAnsiTheme="minorEastAsia" w:eastAsiaTheme="minorEastAsia"/>
          <w:sz w:val="24"/>
        </w:rPr>
        <w:t>。</w:t>
      </w:r>
    </w:p>
    <w:p w14:paraId="4F7D1AC6">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12.</w:t>
      </w:r>
      <w:r>
        <w:rPr>
          <w:rFonts w:hint="eastAsia" w:asciiTheme="minorEastAsia" w:hAnsiTheme="minorEastAsia" w:eastAsiaTheme="minorEastAsia"/>
          <w:sz w:val="24"/>
        </w:rPr>
        <w:t>4</w:t>
      </w:r>
      <w:r>
        <w:rPr>
          <w:rFonts w:asciiTheme="minorEastAsia" w:hAnsiTheme="minorEastAsia" w:eastAsiaTheme="minorEastAsia"/>
          <w:sz w:val="24"/>
        </w:rPr>
        <w:t>除非</w:t>
      </w:r>
      <w:r>
        <w:rPr>
          <w:rFonts w:hint="eastAsia" w:asciiTheme="minorEastAsia" w:hAnsiTheme="minorEastAsia" w:eastAsiaTheme="minorEastAsia"/>
          <w:sz w:val="24"/>
        </w:rPr>
        <w:t>竞争性磋商文件</w:t>
      </w:r>
      <w:r>
        <w:rPr>
          <w:rFonts w:asciiTheme="minorEastAsia" w:hAnsiTheme="minorEastAsia" w:eastAsiaTheme="minorEastAsia"/>
          <w:sz w:val="24"/>
        </w:rPr>
        <w:t>另有规定</w:t>
      </w:r>
      <w:r>
        <w:rPr>
          <w:rFonts w:hint="eastAsia" w:asciiTheme="minorEastAsia" w:hAnsiTheme="minorEastAsia" w:eastAsiaTheme="minorEastAsia"/>
          <w:sz w:val="24"/>
        </w:rPr>
        <w:t>，</w:t>
      </w:r>
      <w:r>
        <w:rPr>
          <w:rFonts w:asciiTheme="minorEastAsia" w:hAnsiTheme="minorEastAsia" w:eastAsiaTheme="minorEastAsia"/>
          <w:sz w:val="24"/>
        </w:rPr>
        <w:t>最后报价在合同履行过程中是固定不变，不得以任何理由予以变更</w:t>
      </w:r>
      <w:r>
        <w:rPr>
          <w:rFonts w:hint="eastAsia" w:asciiTheme="minorEastAsia" w:hAnsiTheme="minorEastAsia" w:eastAsiaTheme="minorEastAsia"/>
          <w:sz w:val="24"/>
        </w:rPr>
        <w:t>，</w:t>
      </w:r>
      <w:r>
        <w:rPr>
          <w:rFonts w:asciiTheme="minorEastAsia" w:hAnsiTheme="minorEastAsia" w:eastAsiaTheme="minorEastAsia"/>
          <w:sz w:val="24"/>
        </w:rPr>
        <w:t>任何包含价格调整要求的</w:t>
      </w:r>
      <w:r>
        <w:rPr>
          <w:rFonts w:hint="eastAsia" w:asciiTheme="minorEastAsia" w:hAnsiTheme="minorEastAsia" w:eastAsiaTheme="minorEastAsia"/>
          <w:sz w:val="24"/>
        </w:rPr>
        <w:t>响应文件将被认定为</w:t>
      </w:r>
      <w:r>
        <w:rPr>
          <w:rFonts w:hint="eastAsia" w:asciiTheme="minorEastAsia" w:hAnsiTheme="minorEastAsia" w:eastAsiaTheme="minorEastAsia"/>
          <w:b/>
          <w:bCs/>
          <w:sz w:val="24"/>
        </w:rPr>
        <w:t>响应无效</w:t>
      </w:r>
      <w:r>
        <w:rPr>
          <w:rFonts w:asciiTheme="minorEastAsia" w:hAnsiTheme="minorEastAsia" w:eastAsiaTheme="minorEastAsia"/>
          <w:sz w:val="24"/>
        </w:rPr>
        <w:t>。</w:t>
      </w:r>
    </w:p>
    <w:p w14:paraId="0E58FAE7">
      <w:pPr>
        <w:spacing w:line="360" w:lineRule="auto"/>
        <w:ind w:firstLine="435"/>
        <w:rPr>
          <w:rFonts w:hint="eastAsia" w:asciiTheme="minorEastAsia" w:hAnsiTheme="minorEastAsia" w:eastAsiaTheme="minorEastAsia"/>
          <w:b/>
          <w:bCs/>
          <w:sz w:val="24"/>
          <w:lang w:val="en-US" w:eastAsia="zh-CN"/>
        </w:rPr>
      </w:pPr>
      <w:r>
        <w:rPr>
          <w:rFonts w:hint="eastAsia" w:asciiTheme="minorEastAsia" w:hAnsiTheme="minorEastAsia" w:eastAsiaTheme="minorEastAsia"/>
          <w:sz w:val="24"/>
          <w:lang w:val="en-US" w:eastAsia="zh-CN"/>
        </w:rPr>
        <w:t>12.5</w:t>
      </w:r>
      <w:r>
        <w:rPr>
          <w:rFonts w:hint="eastAsia" w:asciiTheme="minorEastAsia" w:hAnsiTheme="minorEastAsia" w:eastAsiaTheme="minorEastAsia"/>
          <w:sz w:val="24"/>
        </w:rPr>
        <w:t>供应商的报价应含有所投工作服务、所有材料、报告成果制定、专家审查、成果审议、报告成果各顶汇报等阶段产生的费用、政策性文件规定及合同包含的所有风险、责任、义务等为元成</w:t>
      </w:r>
      <w:r>
        <w:rPr>
          <w:rFonts w:hint="eastAsia" w:asciiTheme="minorEastAsia" w:hAnsiTheme="minorEastAsia" w:eastAsiaTheme="minorEastAsia"/>
          <w:sz w:val="24"/>
          <w:lang w:val="en-US" w:eastAsia="zh-CN"/>
        </w:rPr>
        <w:t>磋商</w:t>
      </w:r>
      <w:r>
        <w:rPr>
          <w:rFonts w:hint="eastAsia" w:asciiTheme="minorEastAsia" w:hAnsiTheme="minorEastAsia" w:eastAsiaTheme="minorEastAsia"/>
          <w:sz w:val="24"/>
        </w:rPr>
        <w:t>文件要求的服务内容所包含的一切应有费用</w:t>
      </w:r>
      <w:r>
        <w:rPr>
          <w:rFonts w:hint="eastAsia" w:asciiTheme="minorEastAsia" w:hAnsiTheme="minorEastAsia" w:eastAsiaTheme="minorEastAsia"/>
          <w:b/>
          <w:bCs/>
          <w:sz w:val="24"/>
        </w:rPr>
        <w:t>(投标报价时须附具体的各顶费用明细)</w:t>
      </w:r>
      <w:r>
        <w:rPr>
          <w:rFonts w:asciiTheme="minorEastAsia" w:hAnsiTheme="minorEastAsia" w:eastAsiaTheme="minorEastAsia"/>
          <w:sz w:val="24"/>
        </w:rPr>
        <w:t>。</w:t>
      </w:r>
    </w:p>
    <w:p w14:paraId="4C62BA71">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lang w:val="en-US" w:eastAsia="zh-CN"/>
        </w:rPr>
        <w:t>6</w:t>
      </w:r>
      <w:r>
        <w:rPr>
          <w:rFonts w:asciiTheme="minorEastAsia" w:hAnsiTheme="minorEastAsia" w:eastAsiaTheme="minorEastAsia"/>
          <w:sz w:val="24"/>
        </w:rPr>
        <w:t>采购人不接受具有附加条件的报价。</w:t>
      </w:r>
    </w:p>
    <w:p w14:paraId="03CBB4DE">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3.</w:t>
      </w:r>
      <w:r>
        <w:rPr>
          <w:rFonts w:hint="eastAsia" w:asciiTheme="minorEastAsia" w:hAnsiTheme="minorEastAsia" w:eastAsiaTheme="minorEastAsia"/>
          <w:b/>
          <w:sz w:val="24"/>
        </w:rPr>
        <w:t>竞争性磋商保证金</w:t>
      </w:r>
    </w:p>
    <w:p w14:paraId="7AF0D026">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3</w:t>
      </w:r>
      <w:r>
        <w:rPr>
          <w:rFonts w:asciiTheme="minorEastAsia" w:hAnsiTheme="minorEastAsia" w:eastAsiaTheme="minorEastAsia"/>
          <w:sz w:val="24"/>
        </w:rPr>
        <w:t>.1</w:t>
      </w:r>
      <w:r>
        <w:rPr>
          <w:rFonts w:hint="eastAsia" w:ascii="宋体" w:hAnsi="宋体" w:eastAsia="宋体"/>
          <w:sz w:val="24"/>
        </w:rPr>
        <w:t>供应商应提交</w:t>
      </w:r>
      <w:r>
        <w:rPr>
          <w:rFonts w:hint="eastAsia" w:ascii="宋体" w:hAnsi="宋体" w:eastAsia="宋体"/>
          <w:sz w:val="24"/>
          <w:u w:val="single"/>
        </w:rPr>
        <w:t>供应商须知前附表</w:t>
      </w:r>
      <w:r>
        <w:rPr>
          <w:rFonts w:hint="eastAsia" w:ascii="宋体" w:hAnsi="宋体" w:eastAsia="宋体"/>
          <w:sz w:val="24"/>
        </w:rPr>
        <w:t>中规定的竞争性磋商保证金，并作为其响应文件的一部分。供应商未按规定提交竞争性磋商保证金的，其响应文件将被认定为</w:t>
      </w:r>
      <w:r>
        <w:rPr>
          <w:rFonts w:hint="eastAsia" w:ascii="宋体" w:hAnsi="宋体" w:eastAsia="宋体"/>
          <w:b/>
          <w:sz w:val="24"/>
        </w:rPr>
        <w:t>响应无效</w:t>
      </w:r>
      <w:r>
        <w:rPr>
          <w:rFonts w:hint="eastAsia" w:ascii="宋体" w:hAnsi="宋体" w:eastAsia="宋体"/>
          <w:sz w:val="24"/>
        </w:rPr>
        <w:t>。</w:t>
      </w:r>
    </w:p>
    <w:p w14:paraId="6483D7C1">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13.</w:t>
      </w:r>
      <w:r>
        <w:rPr>
          <w:rFonts w:hint="eastAsia" w:asciiTheme="minorEastAsia" w:hAnsiTheme="minorEastAsia" w:eastAsiaTheme="minorEastAsia"/>
          <w:sz w:val="24"/>
        </w:rPr>
        <w:t>2竞争性磋商</w:t>
      </w:r>
      <w:r>
        <w:rPr>
          <w:rFonts w:asciiTheme="minorEastAsia" w:hAnsiTheme="minorEastAsia" w:eastAsiaTheme="minorEastAsia"/>
          <w:sz w:val="24"/>
        </w:rPr>
        <w:t>保证金缴纳人名称与供应商名称应当一致。除非</w:t>
      </w:r>
      <w:r>
        <w:rPr>
          <w:rFonts w:hint="eastAsia" w:asciiTheme="minorEastAsia" w:hAnsiTheme="minorEastAsia" w:eastAsiaTheme="minorEastAsia"/>
          <w:sz w:val="24"/>
        </w:rPr>
        <w:t>竞争性磋商文件</w:t>
      </w:r>
      <w:r>
        <w:rPr>
          <w:rFonts w:asciiTheme="minorEastAsia" w:hAnsiTheme="minorEastAsia" w:eastAsiaTheme="minorEastAsia"/>
          <w:sz w:val="24"/>
        </w:rPr>
        <w:t>另有规定，分公司或子公司代缴</w:t>
      </w:r>
      <w:r>
        <w:rPr>
          <w:rFonts w:hint="eastAsia" w:asciiTheme="minorEastAsia" w:hAnsiTheme="minorEastAsia" w:eastAsiaTheme="minorEastAsia"/>
          <w:sz w:val="24"/>
        </w:rPr>
        <w:t>竞争性磋商</w:t>
      </w:r>
      <w:r>
        <w:rPr>
          <w:rFonts w:asciiTheme="minorEastAsia" w:hAnsiTheme="minorEastAsia" w:eastAsiaTheme="minorEastAsia"/>
          <w:sz w:val="24"/>
        </w:rPr>
        <w:t>保证金，视同名称不一致。</w:t>
      </w:r>
      <w:r>
        <w:rPr>
          <w:rFonts w:hint="eastAsia" w:asciiTheme="minorEastAsia" w:hAnsiTheme="minorEastAsia" w:eastAsiaTheme="minorEastAsia"/>
          <w:sz w:val="24"/>
        </w:rPr>
        <w:t>竞争性磋商</w:t>
      </w:r>
      <w:r>
        <w:rPr>
          <w:rFonts w:asciiTheme="minorEastAsia" w:hAnsiTheme="minorEastAsia" w:eastAsiaTheme="minorEastAsia"/>
          <w:sz w:val="24"/>
        </w:rPr>
        <w:t>保证金缴纳人名称与供应商名称不一致的，</w:t>
      </w:r>
      <w:r>
        <w:rPr>
          <w:rFonts w:hint="eastAsia" w:ascii="宋体" w:hAnsi="宋体" w:eastAsia="宋体"/>
          <w:sz w:val="24"/>
        </w:rPr>
        <w:t>其响应文件将被认定为</w:t>
      </w:r>
      <w:r>
        <w:rPr>
          <w:rFonts w:asciiTheme="minorEastAsia" w:hAnsiTheme="minorEastAsia" w:eastAsiaTheme="minorEastAsia"/>
          <w:b/>
          <w:sz w:val="24"/>
        </w:rPr>
        <w:t>响应无效</w:t>
      </w:r>
      <w:r>
        <w:rPr>
          <w:rFonts w:asciiTheme="minorEastAsia" w:hAnsiTheme="minorEastAsia" w:eastAsiaTheme="minorEastAsia"/>
          <w:sz w:val="24"/>
        </w:rPr>
        <w:t>。</w:t>
      </w:r>
    </w:p>
    <w:p w14:paraId="56530E9A">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13.</w:t>
      </w:r>
      <w:r>
        <w:rPr>
          <w:rFonts w:hint="eastAsia" w:asciiTheme="minorEastAsia" w:hAnsiTheme="minorEastAsia" w:eastAsiaTheme="minorEastAsia"/>
          <w:sz w:val="24"/>
        </w:rPr>
        <w:t>3</w:t>
      </w:r>
      <w:r>
        <w:rPr>
          <w:rFonts w:asciiTheme="minorEastAsia" w:hAnsiTheme="minorEastAsia" w:eastAsiaTheme="minorEastAsia"/>
          <w:sz w:val="24"/>
        </w:rPr>
        <w:t>联合体参加</w:t>
      </w:r>
      <w:r>
        <w:rPr>
          <w:rFonts w:hint="eastAsia" w:asciiTheme="minorEastAsia" w:hAnsiTheme="minorEastAsia" w:eastAsiaTheme="minorEastAsia"/>
          <w:sz w:val="24"/>
        </w:rPr>
        <w:t>竞争性磋商</w:t>
      </w:r>
      <w:r>
        <w:rPr>
          <w:rFonts w:asciiTheme="minorEastAsia" w:hAnsiTheme="minorEastAsia" w:eastAsiaTheme="minorEastAsia"/>
          <w:sz w:val="24"/>
        </w:rPr>
        <w:t>的，可以由联合体中的一方或者共同提交</w:t>
      </w:r>
      <w:r>
        <w:rPr>
          <w:rFonts w:hint="eastAsia" w:asciiTheme="minorEastAsia" w:hAnsiTheme="minorEastAsia" w:eastAsiaTheme="minorEastAsia"/>
          <w:sz w:val="24"/>
        </w:rPr>
        <w:t>竞争性磋商</w:t>
      </w:r>
      <w:r>
        <w:rPr>
          <w:rFonts w:asciiTheme="minorEastAsia" w:hAnsiTheme="minorEastAsia" w:eastAsiaTheme="minorEastAsia"/>
          <w:sz w:val="24"/>
        </w:rPr>
        <w:t>保证金。以一方名义提交</w:t>
      </w:r>
      <w:r>
        <w:rPr>
          <w:rFonts w:hint="eastAsia" w:asciiTheme="minorEastAsia" w:hAnsiTheme="minorEastAsia" w:eastAsiaTheme="minorEastAsia"/>
          <w:sz w:val="24"/>
        </w:rPr>
        <w:t>竞争性磋商</w:t>
      </w:r>
      <w:r>
        <w:rPr>
          <w:rFonts w:asciiTheme="minorEastAsia" w:hAnsiTheme="minorEastAsia" w:eastAsiaTheme="minorEastAsia"/>
          <w:sz w:val="24"/>
        </w:rPr>
        <w:t>保证金的，对联合体各方均具有约束力。</w:t>
      </w:r>
    </w:p>
    <w:p w14:paraId="2C4F2F8C">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13.</w:t>
      </w:r>
      <w:r>
        <w:rPr>
          <w:rFonts w:hint="eastAsia" w:asciiTheme="minorEastAsia" w:hAnsiTheme="minorEastAsia" w:eastAsiaTheme="minorEastAsia"/>
          <w:sz w:val="24"/>
        </w:rPr>
        <w:t>4</w:t>
      </w:r>
      <w:r>
        <w:rPr>
          <w:rFonts w:asciiTheme="minorEastAsia" w:hAnsiTheme="minorEastAsia" w:eastAsiaTheme="minorEastAsia"/>
          <w:sz w:val="24"/>
        </w:rPr>
        <w:t>采购代理机构将在成交通知书发出后五个工作日内退还未成交供应商的</w:t>
      </w:r>
      <w:r>
        <w:rPr>
          <w:rFonts w:hint="eastAsia" w:asciiTheme="minorEastAsia" w:hAnsiTheme="minorEastAsia" w:eastAsiaTheme="minorEastAsia"/>
          <w:sz w:val="24"/>
        </w:rPr>
        <w:t>竞争性磋商</w:t>
      </w:r>
      <w:r>
        <w:rPr>
          <w:rFonts w:asciiTheme="minorEastAsia" w:hAnsiTheme="minorEastAsia" w:eastAsiaTheme="minorEastAsia"/>
          <w:sz w:val="24"/>
        </w:rPr>
        <w:t>保证金，在采购合同签订后五个工作日内退还成交供应商的</w:t>
      </w:r>
      <w:r>
        <w:rPr>
          <w:rFonts w:hint="eastAsia" w:asciiTheme="minorEastAsia" w:hAnsiTheme="minorEastAsia" w:eastAsiaTheme="minorEastAsia"/>
          <w:sz w:val="24"/>
        </w:rPr>
        <w:t>竞争性磋商</w:t>
      </w:r>
      <w:r>
        <w:rPr>
          <w:rFonts w:asciiTheme="minorEastAsia" w:hAnsiTheme="minorEastAsia" w:eastAsiaTheme="minorEastAsia"/>
          <w:sz w:val="24"/>
        </w:rPr>
        <w:t>保证金；</w:t>
      </w:r>
    </w:p>
    <w:p w14:paraId="66633AB3">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13.</w:t>
      </w:r>
      <w:r>
        <w:rPr>
          <w:rFonts w:hint="eastAsia" w:asciiTheme="minorEastAsia" w:hAnsiTheme="minorEastAsia" w:eastAsiaTheme="minorEastAsia"/>
          <w:sz w:val="24"/>
        </w:rPr>
        <w:t>5</w:t>
      </w:r>
      <w:r>
        <w:rPr>
          <w:rFonts w:asciiTheme="minorEastAsia" w:hAnsiTheme="minorEastAsia" w:eastAsiaTheme="minorEastAsia"/>
          <w:sz w:val="24"/>
        </w:rPr>
        <w:t>因供应商自身原因导致无法及时退还的，采购人或采购代理机构将不承担相应责任。</w:t>
      </w:r>
    </w:p>
    <w:p w14:paraId="49D1461C">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13.</w:t>
      </w:r>
      <w:r>
        <w:rPr>
          <w:rFonts w:hint="eastAsia" w:asciiTheme="minorEastAsia" w:hAnsiTheme="minorEastAsia" w:eastAsiaTheme="minorEastAsia"/>
          <w:sz w:val="24"/>
        </w:rPr>
        <w:t>6有下列情形之一的，竞争性磋商</w:t>
      </w:r>
      <w:r>
        <w:rPr>
          <w:rFonts w:asciiTheme="minorEastAsia" w:hAnsiTheme="minorEastAsia" w:eastAsiaTheme="minorEastAsia"/>
          <w:sz w:val="24"/>
        </w:rPr>
        <w:t>保证金不予退还：</w:t>
      </w:r>
    </w:p>
    <w:p w14:paraId="58D0AEB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1）供应商在提交响应文件截止时间后撤回响应文件的；</w:t>
      </w:r>
    </w:p>
    <w:p w14:paraId="77B0A18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2）供应商在响应文件中提供虚假材料的；</w:t>
      </w:r>
    </w:p>
    <w:p w14:paraId="3792D4C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3）除因不可抗力或</w:t>
      </w:r>
      <w:r>
        <w:rPr>
          <w:rFonts w:hint="eastAsia" w:asciiTheme="minorEastAsia" w:hAnsiTheme="minorEastAsia" w:eastAsiaTheme="minorEastAsia"/>
          <w:sz w:val="24"/>
        </w:rPr>
        <w:t>竞争性磋商文件</w:t>
      </w:r>
      <w:r>
        <w:rPr>
          <w:rFonts w:asciiTheme="minorEastAsia" w:hAnsiTheme="minorEastAsia" w:eastAsiaTheme="minorEastAsia"/>
          <w:sz w:val="24"/>
        </w:rPr>
        <w:t>认可的情形以外，成交供应商不与采购人签订合同的；</w:t>
      </w:r>
    </w:p>
    <w:p w14:paraId="4380DEB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4）供应商与采购人、其他供应商或者采购代理机构恶意串通的</w:t>
      </w:r>
      <w:r>
        <w:rPr>
          <w:rFonts w:hint="eastAsia" w:asciiTheme="minorEastAsia" w:hAnsiTheme="minorEastAsia" w:eastAsiaTheme="minorEastAsia"/>
          <w:sz w:val="24"/>
        </w:rPr>
        <w:t>。</w:t>
      </w:r>
    </w:p>
    <w:p w14:paraId="0FF18A8D">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4.</w:t>
      </w:r>
      <w:r>
        <w:rPr>
          <w:rFonts w:hint="eastAsia" w:asciiTheme="minorEastAsia" w:hAnsiTheme="minorEastAsia" w:eastAsiaTheme="minorEastAsia"/>
          <w:b/>
          <w:sz w:val="24"/>
        </w:rPr>
        <w:t>竞争性磋商有效期</w:t>
      </w:r>
    </w:p>
    <w:p w14:paraId="4447FFB4">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14.1</w:t>
      </w:r>
      <w:r>
        <w:rPr>
          <w:rFonts w:hint="eastAsia" w:asciiTheme="minorEastAsia" w:hAnsiTheme="minorEastAsia" w:eastAsiaTheme="minorEastAsia"/>
          <w:sz w:val="24"/>
        </w:rPr>
        <w:t>竞争性磋商</w:t>
      </w:r>
      <w:r>
        <w:rPr>
          <w:rFonts w:asciiTheme="minorEastAsia" w:hAnsiTheme="minorEastAsia" w:eastAsiaTheme="minorEastAsia"/>
          <w:sz w:val="24"/>
        </w:rPr>
        <w:t>有效期为从响应文件提交截止之日算起的日历天数，</w:t>
      </w:r>
      <w:r>
        <w:rPr>
          <w:rFonts w:hint="eastAsia" w:asciiTheme="minorEastAsia" w:hAnsiTheme="minorEastAsia" w:eastAsiaTheme="minorEastAsia"/>
          <w:sz w:val="24"/>
        </w:rPr>
        <w:t>竞争性磋商</w:t>
      </w:r>
      <w:r>
        <w:rPr>
          <w:rFonts w:asciiTheme="minorEastAsia" w:hAnsiTheme="minorEastAsia" w:eastAsiaTheme="minorEastAsia"/>
          <w:sz w:val="24"/>
        </w:rPr>
        <w:t>有效期详见</w:t>
      </w:r>
      <w:r>
        <w:rPr>
          <w:rFonts w:asciiTheme="minorEastAsia" w:hAnsiTheme="minorEastAsia" w:eastAsiaTheme="minorEastAsia"/>
          <w:sz w:val="24"/>
          <w:u w:val="single"/>
        </w:rPr>
        <w:t>供应商须知前附表</w:t>
      </w:r>
      <w:r>
        <w:rPr>
          <w:rFonts w:asciiTheme="minorEastAsia" w:hAnsiTheme="minorEastAsia" w:eastAsiaTheme="minorEastAsia"/>
          <w:sz w:val="24"/>
        </w:rPr>
        <w:t>。</w:t>
      </w:r>
    </w:p>
    <w:p w14:paraId="5112CED1">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14.2在</w:t>
      </w:r>
      <w:r>
        <w:rPr>
          <w:rFonts w:hint="eastAsia" w:asciiTheme="minorEastAsia" w:hAnsiTheme="minorEastAsia" w:eastAsiaTheme="minorEastAsia"/>
          <w:sz w:val="24"/>
        </w:rPr>
        <w:t>竞争性磋商</w:t>
      </w:r>
      <w:r>
        <w:rPr>
          <w:rFonts w:asciiTheme="minorEastAsia" w:hAnsiTheme="minorEastAsia" w:eastAsiaTheme="minorEastAsia"/>
          <w:sz w:val="24"/>
        </w:rPr>
        <w:t>有效期内，供应商的</w:t>
      </w:r>
      <w:r>
        <w:rPr>
          <w:rFonts w:hint="eastAsia" w:asciiTheme="minorEastAsia" w:hAnsiTheme="minorEastAsia" w:eastAsiaTheme="minorEastAsia"/>
          <w:sz w:val="24"/>
        </w:rPr>
        <w:t>竞争性磋商</w:t>
      </w:r>
      <w:r>
        <w:rPr>
          <w:rFonts w:asciiTheme="minorEastAsia" w:hAnsiTheme="minorEastAsia" w:eastAsiaTheme="minorEastAsia"/>
          <w:sz w:val="24"/>
        </w:rPr>
        <w:t>保持有效，供应商不得要求撤销或修改其响应文件。</w:t>
      </w:r>
      <w:r>
        <w:rPr>
          <w:rFonts w:hint="eastAsia" w:asciiTheme="minorEastAsia" w:hAnsiTheme="minorEastAsia" w:eastAsiaTheme="minorEastAsia"/>
          <w:sz w:val="24"/>
        </w:rPr>
        <w:t>竞争性磋商</w:t>
      </w:r>
      <w:r>
        <w:rPr>
          <w:rFonts w:asciiTheme="minorEastAsia" w:hAnsiTheme="minorEastAsia" w:eastAsiaTheme="minorEastAsia"/>
          <w:sz w:val="24"/>
        </w:rPr>
        <w:t>有效期不满足要求的响应，其响应文件将被认定为</w:t>
      </w:r>
      <w:r>
        <w:rPr>
          <w:rFonts w:asciiTheme="minorEastAsia" w:hAnsiTheme="minorEastAsia" w:eastAsiaTheme="minorEastAsia"/>
          <w:b/>
          <w:sz w:val="24"/>
        </w:rPr>
        <w:t>响应无效</w:t>
      </w:r>
      <w:r>
        <w:rPr>
          <w:rFonts w:asciiTheme="minorEastAsia" w:hAnsiTheme="minorEastAsia" w:eastAsiaTheme="minorEastAsia"/>
          <w:sz w:val="24"/>
        </w:rPr>
        <w:t>。</w:t>
      </w:r>
    </w:p>
    <w:p w14:paraId="61F2C555">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14.3为保证有充分时间签订合同，采购人或采购代理机构可根据实际情况，在原</w:t>
      </w:r>
      <w:r>
        <w:rPr>
          <w:rFonts w:hint="eastAsia" w:asciiTheme="minorEastAsia" w:hAnsiTheme="minorEastAsia" w:eastAsiaTheme="minorEastAsia"/>
          <w:sz w:val="24"/>
        </w:rPr>
        <w:t>竞争性磋商</w:t>
      </w:r>
      <w:r>
        <w:rPr>
          <w:rFonts w:asciiTheme="minorEastAsia" w:hAnsiTheme="minorEastAsia" w:eastAsiaTheme="minorEastAsia"/>
          <w:sz w:val="24"/>
        </w:rPr>
        <w:t>有效期截止之前，要求供应商延长</w:t>
      </w:r>
      <w:r>
        <w:rPr>
          <w:rFonts w:hint="eastAsia" w:asciiTheme="minorEastAsia" w:hAnsiTheme="minorEastAsia" w:eastAsiaTheme="minorEastAsia"/>
          <w:sz w:val="24"/>
        </w:rPr>
        <w:t>竞争性磋商</w:t>
      </w:r>
      <w:r>
        <w:rPr>
          <w:rFonts w:asciiTheme="minorEastAsia" w:hAnsiTheme="minorEastAsia" w:eastAsiaTheme="minorEastAsia"/>
          <w:sz w:val="24"/>
        </w:rPr>
        <w:t>有效期。接受该要求的供应商将不会被要求和允许修正其响应文件。供应商可以拒绝延长</w:t>
      </w:r>
      <w:r>
        <w:rPr>
          <w:rFonts w:hint="eastAsia" w:asciiTheme="minorEastAsia" w:hAnsiTheme="minorEastAsia" w:eastAsiaTheme="minorEastAsia"/>
          <w:sz w:val="24"/>
        </w:rPr>
        <w:t>竞争性磋商</w:t>
      </w:r>
      <w:r>
        <w:rPr>
          <w:rFonts w:asciiTheme="minorEastAsia" w:hAnsiTheme="minorEastAsia" w:eastAsiaTheme="minorEastAsia"/>
          <w:sz w:val="24"/>
        </w:rPr>
        <w:t>有效期的要求，且不承担任何责任。上述要求和答复都应以书面形式提交。</w:t>
      </w:r>
    </w:p>
    <w:p w14:paraId="219B6501">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5.</w:t>
      </w:r>
      <w:r>
        <w:rPr>
          <w:rFonts w:hint="eastAsia" w:asciiTheme="minorEastAsia" w:hAnsiTheme="minorEastAsia" w:eastAsiaTheme="minorEastAsia"/>
          <w:b/>
          <w:sz w:val="24"/>
        </w:rPr>
        <w:t>响应文件的制作</w:t>
      </w:r>
    </w:p>
    <w:p w14:paraId="13E5D621">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15.1本项目要求提供</w:t>
      </w:r>
      <w:r>
        <w:rPr>
          <w:rFonts w:hint="eastAsia" w:asciiTheme="minorEastAsia" w:hAnsiTheme="minorEastAsia" w:eastAsiaTheme="minorEastAsia"/>
          <w:sz w:val="24"/>
          <w:lang w:val="en-US" w:eastAsia="zh-CN"/>
        </w:rPr>
        <w:t>现场递交</w:t>
      </w:r>
      <w:r>
        <w:rPr>
          <w:rFonts w:hint="eastAsia" w:asciiTheme="minorEastAsia" w:hAnsiTheme="minorEastAsia" w:eastAsiaTheme="minorEastAsia"/>
          <w:sz w:val="24"/>
        </w:rPr>
        <w:t>响应文件，响应文件的制作应满足以下规定：</w:t>
      </w:r>
    </w:p>
    <w:p w14:paraId="7FB0D4DE">
      <w:pPr>
        <w:spacing w:line="360" w:lineRule="auto"/>
        <w:ind w:firstLine="435"/>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（1）响应文件正本一份，副本数量详见供应商须知前附表。每份磋商响应文件须在封面上清楚标明“正本”或“副本”字样。一旦正本与副本不符，以正本为准。</w:t>
      </w:r>
    </w:p>
    <w:p w14:paraId="23825E84">
      <w:pPr>
        <w:spacing w:line="360" w:lineRule="auto"/>
        <w:ind w:firstLine="435"/>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（2）响应文件必须用不褪色的墨水填写或打印。报价函应按磋商文件规定的格式由供应商法定代表人（或其委托代理人）签字或盖章，标明单位盖章的位置应加盖供应商单位公章，副本可以是正本的复印件。</w:t>
      </w:r>
    </w:p>
    <w:p w14:paraId="0F6258FA">
      <w:pPr>
        <w:spacing w:line="360" w:lineRule="auto"/>
        <w:ind w:firstLine="435"/>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（3）响应文件不得涂改和增删，如要修改错漏处，必须由同一签署人在修改处签字或盖章。</w:t>
      </w:r>
    </w:p>
    <w:p w14:paraId="270CD821">
      <w:pPr>
        <w:spacing w:line="360" w:lineRule="auto"/>
        <w:ind w:firstLine="435"/>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（4）响应文件因字迹潦草或表达不清所引起的后果由供应商负责。</w:t>
      </w:r>
    </w:p>
    <w:p w14:paraId="0EE2F6BD">
      <w:pPr>
        <w:spacing w:line="360" w:lineRule="auto"/>
        <w:ind w:firstLine="435"/>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（5）响应文件应当标明页码，必须装订，建议胶粘成册。</w:t>
      </w:r>
    </w:p>
    <w:p w14:paraId="1D3B8B1C">
      <w:pPr>
        <w:spacing w:line="360" w:lineRule="auto"/>
        <w:ind w:firstLine="435"/>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15.2磋商响应文件的密封及标记</w:t>
      </w:r>
    </w:p>
    <w:p w14:paraId="5D53AE0C">
      <w:pPr>
        <w:spacing w:line="360" w:lineRule="auto"/>
        <w:ind w:firstLine="435"/>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响应文件密封及标记见供应商须知，未按规定密封的文件，采购人（代理机构）拒绝接收其响应文件。</w:t>
      </w:r>
    </w:p>
    <w:p w14:paraId="306AD485">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6.</w:t>
      </w:r>
      <w:r>
        <w:rPr>
          <w:rFonts w:hint="eastAsia" w:asciiTheme="minorEastAsia" w:hAnsiTheme="minorEastAsia" w:eastAsiaTheme="minorEastAsia"/>
          <w:b/>
          <w:sz w:val="24"/>
        </w:rPr>
        <w:t>响应文件提交截止时间</w:t>
      </w:r>
    </w:p>
    <w:p w14:paraId="1329CB62">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16.1供应商应</w:t>
      </w:r>
      <w:r>
        <w:rPr>
          <w:rFonts w:hint="eastAsia" w:asciiTheme="minorEastAsia" w:hAnsiTheme="minorEastAsia" w:eastAsiaTheme="minorEastAsia"/>
          <w:sz w:val="24"/>
        </w:rPr>
        <w:t>在</w:t>
      </w:r>
      <w:r>
        <w:rPr>
          <w:rFonts w:hint="eastAsia" w:asciiTheme="minorEastAsia" w:hAnsiTheme="minorEastAsia" w:eastAsiaTheme="minorEastAsia"/>
          <w:sz w:val="24"/>
          <w:u w:val="single"/>
        </w:rPr>
        <w:t>供应商须知前附表规定</w:t>
      </w:r>
      <w:r>
        <w:rPr>
          <w:rFonts w:hint="eastAsia" w:asciiTheme="minorEastAsia" w:hAnsiTheme="minorEastAsia" w:eastAsiaTheme="minorEastAsia"/>
          <w:sz w:val="24"/>
        </w:rPr>
        <w:t>的响应文件递交截止时间前送达到指定的地点</w:t>
      </w:r>
      <w:r>
        <w:rPr>
          <w:rFonts w:asciiTheme="minorEastAsia" w:hAnsiTheme="minorEastAsia" w:eastAsiaTheme="minorEastAsia"/>
          <w:sz w:val="24"/>
        </w:rPr>
        <w:t>。</w:t>
      </w:r>
    </w:p>
    <w:p w14:paraId="3CDC44A1">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16.2</w:t>
      </w:r>
      <w:r>
        <w:rPr>
          <w:rFonts w:hint="eastAsia" w:asciiTheme="minorEastAsia" w:hAnsiTheme="minorEastAsia" w:eastAsiaTheme="minorEastAsia"/>
          <w:sz w:val="24"/>
        </w:rPr>
        <w:t>采购人推迟竞响应文件递交截止时间时，应以公告的形式通知所有供应商。在这种情况下，采购人和供应商的权利和义务将受到新的响应文件递交截止时间的约束</w:t>
      </w:r>
      <w:r>
        <w:rPr>
          <w:rFonts w:asciiTheme="minorEastAsia" w:hAnsiTheme="minorEastAsia" w:eastAsiaTheme="minorEastAsia"/>
          <w:sz w:val="24"/>
        </w:rPr>
        <w:t>。</w:t>
      </w:r>
    </w:p>
    <w:p w14:paraId="47102710">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16.</w:t>
      </w:r>
      <w:r>
        <w:rPr>
          <w:rFonts w:hint="eastAsia" w:asciiTheme="minorEastAsia" w:hAnsiTheme="minorEastAsia" w:eastAsiaTheme="minorEastAsia"/>
          <w:sz w:val="24"/>
        </w:rPr>
        <w:t>3在响应文件递交截止时间以后送达的响应文件，采购人拒绝接收</w:t>
      </w:r>
      <w:r>
        <w:rPr>
          <w:rFonts w:asciiTheme="minorEastAsia" w:hAnsiTheme="minorEastAsia" w:eastAsiaTheme="minorEastAsia"/>
          <w:sz w:val="24"/>
        </w:rPr>
        <w:t>。</w:t>
      </w:r>
    </w:p>
    <w:p w14:paraId="675EAA4C">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7.</w:t>
      </w:r>
      <w:r>
        <w:rPr>
          <w:rFonts w:hint="eastAsia" w:asciiTheme="minorEastAsia" w:hAnsiTheme="minorEastAsia" w:eastAsiaTheme="minorEastAsia"/>
          <w:b/>
          <w:sz w:val="24"/>
        </w:rPr>
        <w:t>响应文件的提交、修改与撤回</w:t>
      </w:r>
    </w:p>
    <w:p w14:paraId="4A98A51A">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17</w:t>
      </w:r>
      <w:r>
        <w:rPr>
          <w:rFonts w:hint="eastAsia" w:asciiTheme="minorEastAsia" w:hAnsiTheme="minorEastAsia" w:eastAsiaTheme="minorEastAsia"/>
          <w:sz w:val="24"/>
        </w:rPr>
        <w:t>.1供应商应当在第一章“竞争性磋商公告</w:t>
      </w:r>
      <w:r>
        <w:rPr>
          <w:rFonts w:hint="eastAsia" w:ascii="宋体" w:hAnsi="宋体" w:eastAsia="宋体"/>
          <w:sz w:val="24"/>
        </w:rPr>
        <w:t>（邀请书）</w:t>
      </w:r>
      <w:r>
        <w:rPr>
          <w:rFonts w:hint="eastAsia" w:asciiTheme="minorEastAsia" w:hAnsiTheme="minorEastAsia" w:eastAsiaTheme="minorEastAsia"/>
          <w:sz w:val="24"/>
        </w:rPr>
        <w:t>”规定的响应文件提交截止时间前</w:t>
      </w:r>
      <w:r>
        <w:rPr>
          <w:rFonts w:asciiTheme="minorEastAsia" w:hAnsiTheme="minorEastAsia" w:eastAsiaTheme="minorEastAsia"/>
          <w:sz w:val="24"/>
        </w:rPr>
        <w:t>，将</w:t>
      </w:r>
      <w:r>
        <w:rPr>
          <w:rFonts w:hint="eastAsia" w:asciiTheme="minorEastAsia" w:hAnsiTheme="minorEastAsia" w:eastAsiaTheme="minorEastAsia"/>
          <w:sz w:val="24"/>
        </w:rPr>
        <w:t>响应</w:t>
      </w:r>
      <w:r>
        <w:rPr>
          <w:rFonts w:asciiTheme="minorEastAsia" w:hAnsiTheme="minorEastAsia" w:eastAsiaTheme="minorEastAsia"/>
          <w:sz w:val="24"/>
        </w:rPr>
        <w:t>文件</w:t>
      </w:r>
      <w:r>
        <w:rPr>
          <w:rFonts w:hint="eastAsia" w:asciiTheme="minorEastAsia" w:hAnsiTheme="minorEastAsia" w:eastAsiaTheme="minorEastAsia"/>
          <w:sz w:val="24"/>
        </w:rPr>
        <w:t>送达到指定的地点</w:t>
      </w:r>
      <w:r>
        <w:rPr>
          <w:rFonts w:asciiTheme="minorEastAsia" w:hAnsiTheme="minorEastAsia" w:eastAsiaTheme="minorEastAsia"/>
          <w:sz w:val="24"/>
        </w:rPr>
        <w:t>。</w:t>
      </w:r>
    </w:p>
    <w:p w14:paraId="498F593B">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17</w:t>
      </w:r>
      <w:r>
        <w:rPr>
          <w:rFonts w:hint="eastAsia" w:asciiTheme="minorEastAsia" w:hAnsiTheme="minorEastAsia" w:eastAsiaTheme="minorEastAsia"/>
          <w:sz w:val="24"/>
        </w:rPr>
        <w:t>.2在响应文件递交截止时间前，供应商可以书面形式补充、修改或撤回已递交的磋商响应文件。补充、修改的内容为磋商响应文件的组成部分。上述补充或修改若涉及报价，必须注明“最终唯一报价”字样及修改相应的报价表及其附件，否则将视为有选择报价。在响应文件递交截止时间以后，不得更改响应文件。</w:t>
      </w:r>
    </w:p>
    <w:p w14:paraId="4A0000B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17.3</w:t>
      </w:r>
      <w:r>
        <w:rPr>
          <w:rFonts w:hint="eastAsia" w:asciiTheme="minorEastAsia" w:hAnsiTheme="minorEastAsia" w:eastAsiaTheme="minorEastAsia"/>
          <w:sz w:val="24"/>
        </w:rPr>
        <w:t xml:space="preserve"> 供应商修改或撤回响应文件的书面材料，须按第1</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条的有关规定进行编制、密封、标记和送达，同时应在封套上标明“修改”或“撤回”字样。</w:t>
      </w:r>
    </w:p>
    <w:p w14:paraId="492CF379">
      <w:pPr>
        <w:spacing w:line="360" w:lineRule="auto"/>
        <w:ind w:firstLine="437"/>
        <w:outlineLvl w:val="3"/>
        <w:rPr>
          <w:rFonts w:hint="eastAsia" w:asciiTheme="minorEastAsia" w:hAnsiTheme="minorEastAsia" w:eastAsiaTheme="minorEastAsia"/>
          <w:b/>
          <w:sz w:val="24"/>
        </w:rPr>
      </w:pPr>
      <w:r>
        <w:rPr>
          <w:rFonts w:hint="eastAsia" w:asciiTheme="minorEastAsia" w:hAnsiTheme="minorEastAsia" w:eastAsiaTheme="minorEastAsia"/>
          <w:b/>
          <w:sz w:val="24"/>
        </w:rPr>
        <w:t>1</w:t>
      </w:r>
      <w:r>
        <w:rPr>
          <w:rFonts w:hint="eastAsia" w:asciiTheme="minorEastAsia" w:hAnsiTheme="minorEastAsia" w:eastAsiaTheme="minorEastAsia"/>
          <w:b/>
          <w:sz w:val="24"/>
          <w:lang w:val="en-US" w:eastAsia="zh-CN"/>
        </w:rPr>
        <w:t>8</w:t>
      </w:r>
      <w:r>
        <w:rPr>
          <w:rFonts w:hint="eastAsia" w:asciiTheme="minorEastAsia" w:hAnsiTheme="minorEastAsia" w:eastAsiaTheme="minorEastAsia"/>
          <w:b/>
          <w:sz w:val="24"/>
        </w:rPr>
        <w:t>.开启</w:t>
      </w:r>
    </w:p>
    <w:p w14:paraId="0D4A8501">
      <w:pPr>
        <w:spacing w:line="360" w:lineRule="auto"/>
        <w:ind w:firstLine="437"/>
        <w:outlineLvl w:val="3"/>
        <w:rPr>
          <w:rFonts w:hint="eastAsia" w:asciiTheme="minorEastAsia" w:hAnsiTheme="minorEastAsia" w:eastAsiaTheme="minorEastAsia"/>
          <w:b w:val="0"/>
          <w:bCs/>
          <w:sz w:val="24"/>
        </w:rPr>
      </w:pPr>
      <w:r>
        <w:rPr>
          <w:rFonts w:hint="eastAsia" w:asciiTheme="minorEastAsia" w:hAnsiTheme="minorEastAsia" w:eastAsiaTheme="minorEastAsia"/>
          <w:b w:val="0"/>
          <w:bCs/>
          <w:sz w:val="24"/>
        </w:rPr>
        <w:t>1</w:t>
      </w:r>
      <w:r>
        <w:rPr>
          <w:rFonts w:hint="eastAsia" w:asciiTheme="minorEastAsia" w:hAnsiTheme="minorEastAsia" w:eastAsiaTheme="minorEastAsia"/>
          <w:b w:val="0"/>
          <w:bCs/>
          <w:sz w:val="24"/>
          <w:lang w:val="en-US" w:eastAsia="zh-CN"/>
        </w:rPr>
        <w:t>8</w:t>
      </w:r>
      <w:r>
        <w:rPr>
          <w:rFonts w:hint="eastAsia" w:asciiTheme="minorEastAsia" w:hAnsiTheme="minorEastAsia" w:eastAsiaTheme="minorEastAsia"/>
          <w:b w:val="0"/>
          <w:bCs/>
          <w:sz w:val="24"/>
        </w:rPr>
        <w:t>.1 采购人按供应商须知前附表规定的开标时间、地点、顺序组织响应文件开启。</w:t>
      </w:r>
    </w:p>
    <w:p w14:paraId="35C2AAEB">
      <w:pPr>
        <w:spacing w:line="360" w:lineRule="auto"/>
        <w:ind w:firstLine="437"/>
        <w:outlineLvl w:val="3"/>
        <w:rPr>
          <w:rFonts w:hint="eastAsia" w:asciiTheme="minorEastAsia" w:hAnsiTheme="minorEastAsia" w:eastAsiaTheme="minorEastAsia"/>
          <w:b w:val="0"/>
          <w:bCs/>
          <w:sz w:val="24"/>
        </w:rPr>
      </w:pPr>
      <w:r>
        <w:rPr>
          <w:rFonts w:hint="eastAsia" w:asciiTheme="minorEastAsia" w:hAnsiTheme="minorEastAsia" w:eastAsiaTheme="minorEastAsia"/>
          <w:b w:val="0"/>
          <w:bCs/>
          <w:sz w:val="24"/>
        </w:rPr>
        <w:t>1</w:t>
      </w:r>
      <w:r>
        <w:rPr>
          <w:rFonts w:hint="eastAsia" w:asciiTheme="minorEastAsia" w:hAnsiTheme="minorEastAsia" w:eastAsiaTheme="minorEastAsia"/>
          <w:b w:val="0"/>
          <w:bCs/>
          <w:sz w:val="24"/>
          <w:lang w:val="en-US" w:eastAsia="zh-CN"/>
        </w:rPr>
        <w:t>8</w:t>
      </w:r>
      <w:r>
        <w:rPr>
          <w:rFonts w:hint="eastAsia" w:asciiTheme="minorEastAsia" w:hAnsiTheme="minorEastAsia" w:eastAsiaTheme="minorEastAsia"/>
          <w:b w:val="0"/>
          <w:bCs/>
          <w:sz w:val="24"/>
        </w:rPr>
        <w:t>.2 供应商应委派法定代表人或委托代理人携带供应商须知前附表规定的有关材料参加开启会议。</w:t>
      </w:r>
    </w:p>
    <w:p w14:paraId="15D82C46">
      <w:pPr>
        <w:spacing w:line="360" w:lineRule="auto"/>
        <w:ind w:firstLine="437"/>
        <w:outlineLvl w:val="3"/>
        <w:rPr>
          <w:rFonts w:hint="eastAsia" w:asciiTheme="minorEastAsia" w:hAnsiTheme="minorEastAsia" w:eastAsiaTheme="minorEastAsia"/>
          <w:b w:val="0"/>
          <w:bCs/>
          <w:sz w:val="24"/>
        </w:rPr>
      </w:pPr>
      <w:r>
        <w:rPr>
          <w:rFonts w:hint="eastAsia" w:asciiTheme="minorEastAsia" w:hAnsiTheme="minorEastAsia" w:eastAsiaTheme="minorEastAsia"/>
          <w:b w:val="0"/>
          <w:bCs/>
          <w:sz w:val="24"/>
        </w:rPr>
        <w:t>1</w:t>
      </w:r>
      <w:r>
        <w:rPr>
          <w:rFonts w:hint="eastAsia" w:asciiTheme="minorEastAsia" w:hAnsiTheme="minorEastAsia" w:eastAsiaTheme="minorEastAsia"/>
          <w:b w:val="0"/>
          <w:bCs/>
          <w:sz w:val="24"/>
          <w:lang w:val="en-US" w:eastAsia="zh-CN"/>
        </w:rPr>
        <w:t>8</w:t>
      </w:r>
      <w:r>
        <w:rPr>
          <w:rFonts w:hint="eastAsia" w:asciiTheme="minorEastAsia" w:hAnsiTheme="minorEastAsia" w:eastAsiaTheme="minorEastAsia"/>
          <w:b w:val="0"/>
          <w:bCs/>
          <w:sz w:val="24"/>
        </w:rPr>
        <w:t>.3 开启程序</w:t>
      </w:r>
    </w:p>
    <w:p w14:paraId="07B4E07C">
      <w:pPr>
        <w:spacing w:line="360" w:lineRule="auto"/>
        <w:ind w:firstLine="437"/>
        <w:outlineLvl w:val="9"/>
        <w:rPr>
          <w:rFonts w:hint="eastAsia" w:asciiTheme="minorEastAsia" w:hAnsiTheme="minorEastAsia" w:eastAsiaTheme="minorEastAsia"/>
          <w:b w:val="0"/>
          <w:bCs/>
          <w:sz w:val="24"/>
        </w:rPr>
      </w:pPr>
      <w:r>
        <w:rPr>
          <w:rFonts w:hint="eastAsia" w:asciiTheme="minorEastAsia" w:hAnsiTheme="minorEastAsia" w:eastAsiaTheme="minorEastAsia"/>
          <w:b w:val="0"/>
          <w:bCs/>
          <w:sz w:val="24"/>
        </w:rPr>
        <w:t>（1）宣布开启纪律；</w:t>
      </w:r>
    </w:p>
    <w:p w14:paraId="15E0FE55">
      <w:pPr>
        <w:spacing w:line="360" w:lineRule="auto"/>
        <w:ind w:firstLine="437"/>
        <w:outlineLvl w:val="9"/>
        <w:rPr>
          <w:rFonts w:hint="eastAsia" w:asciiTheme="minorEastAsia" w:hAnsiTheme="minorEastAsia" w:eastAsiaTheme="minorEastAsia"/>
          <w:b w:val="0"/>
          <w:bCs/>
          <w:sz w:val="24"/>
        </w:rPr>
      </w:pPr>
      <w:r>
        <w:rPr>
          <w:rFonts w:hint="eastAsia" w:asciiTheme="minorEastAsia" w:hAnsiTheme="minorEastAsia" w:eastAsiaTheme="minorEastAsia"/>
          <w:b w:val="0"/>
          <w:bCs/>
          <w:sz w:val="24"/>
        </w:rPr>
        <w:t>（2）公布在响应文件提交截止时间前递交响应文件的供应商名称，并点名确认供应商是否派人到现场；</w:t>
      </w:r>
    </w:p>
    <w:p w14:paraId="1A62599B">
      <w:pPr>
        <w:spacing w:line="360" w:lineRule="auto"/>
        <w:ind w:firstLine="437"/>
        <w:outlineLvl w:val="9"/>
        <w:rPr>
          <w:rFonts w:hint="eastAsia" w:asciiTheme="minorEastAsia" w:hAnsiTheme="minorEastAsia" w:eastAsiaTheme="minorEastAsia"/>
          <w:b w:val="0"/>
          <w:bCs/>
          <w:sz w:val="24"/>
        </w:rPr>
      </w:pPr>
      <w:r>
        <w:rPr>
          <w:rFonts w:hint="eastAsia" w:asciiTheme="minorEastAsia" w:hAnsiTheme="minorEastAsia" w:eastAsiaTheme="minorEastAsia"/>
          <w:b w:val="0"/>
          <w:bCs/>
          <w:sz w:val="24"/>
        </w:rPr>
        <w:t>（3）宣布开启人、唱读人、纪录人、监督人等有关人员姓名；</w:t>
      </w:r>
    </w:p>
    <w:p w14:paraId="566028E4">
      <w:pPr>
        <w:spacing w:line="360" w:lineRule="auto"/>
        <w:ind w:firstLine="437"/>
        <w:outlineLvl w:val="9"/>
        <w:rPr>
          <w:rFonts w:hint="eastAsia" w:asciiTheme="minorEastAsia" w:hAnsiTheme="minorEastAsia" w:eastAsiaTheme="minorEastAsia"/>
          <w:b w:val="0"/>
          <w:bCs/>
          <w:sz w:val="24"/>
        </w:rPr>
      </w:pPr>
      <w:r>
        <w:rPr>
          <w:rFonts w:hint="eastAsia" w:asciiTheme="minorEastAsia" w:hAnsiTheme="minorEastAsia" w:eastAsiaTheme="minorEastAsia"/>
          <w:b w:val="0"/>
          <w:bCs/>
          <w:sz w:val="24"/>
        </w:rPr>
        <w:t>（4）按照供应商须知前附表规定检查响应文件的密封情况；</w:t>
      </w:r>
    </w:p>
    <w:p w14:paraId="628B1CD2">
      <w:pPr>
        <w:spacing w:line="360" w:lineRule="auto"/>
        <w:ind w:firstLine="437"/>
        <w:outlineLvl w:val="9"/>
        <w:rPr>
          <w:rFonts w:hint="eastAsia" w:asciiTheme="minorEastAsia" w:hAnsiTheme="minorEastAsia" w:eastAsiaTheme="minorEastAsia"/>
          <w:b w:val="0"/>
          <w:bCs/>
          <w:sz w:val="24"/>
        </w:rPr>
      </w:pPr>
      <w:r>
        <w:rPr>
          <w:rFonts w:hint="eastAsia" w:asciiTheme="minorEastAsia" w:hAnsiTheme="minorEastAsia" w:eastAsiaTheme="minorEastAsia"/>
          <w:b w:val="0"/>
          <w:bCs/>
          <w:sz w:val="24"/>
        </w:rPr>
        <w:t>（5）按照供应商须知前附表的规定确定并宣布响应文件开启顺序；</w:t>
      </w:r>
    </w:p>
    <w:p w14:paraId="0BAF43DC">
      <w:pPr>
        <w:spacing w:line="360" w:lineRule="auto"/>
        <w:ind w:firstLine="437"/>
        <w:outlineLvl w:val="9"/>
        <w:rPr>
          <w:rFonts w:hint="eastAsia" w:asciiTheme="minorEastAsia" w:hAnsiTheme="minorEastAsia" w:eastAsiaTheme="minorEastAsia"/>
          <w:b w:val="0"/>
          <w:bCs/>
          <w:sz w:val="24"/>
        </w:rPr>
      </w:pPr>
      <w:r>
        <w:rPr>
          <w:rFonts w:hint="eastAsia" w:asciiTheme="minorEastAsia" w:hAnsiTheme="minorEastAsia" w:eastAsiaTheme="minorEastAsia"/>
          <w:b w:val="0"/>
          <w:bCs/>
          <w:sz w:val="24"/>
        </w:rPr>
        <w:t>（6）按照宣布的开启顺序当众开启，公布供应商名称、项目名称</w:t>
      </w:r>
      <w:r>
        <w:rPr>
          <w:rFonts w:hint="eastAsia" w:asciiTheme="minorEastAsia" w:hAnsiTheme="minorEastAsia" w:eastAsiaTheme="minorEastAsia"/>
          <w:b w:val="0"/>
          <w:bCs/>
          <w:sz w:val="24"/>
          <w:lang w:val="en-US" w:eastAsia="zh-CN"/>
        </w:rPr>
        <w:t>等</w:t>
      </w:r>
      <w:r>
        <w:rPr>
          <w:rFonts w:hint="eastAsia" w:asciiTheme="minorEastAsia" w:hAnsiTheme="minorEastAsia" w:eastAsiaTheme="minorEastAsia"/>
          <w:b w:val="0"/>
          <w:bCs/>
          <w:sz w:val="24"/>
        </w:rPr>
        <w:t>内容，并记录在案；</w:t>
      </w:r>
    </w:p>
    <w:p w14:paraId="30F4042B">
      <w:pPr>
        <w:spacing w:line="360" w:lineRule="auto"/>
        <w:ind w:firstLine="437"/>
        <w:outlineLvl w:val="9"/>
        <w:rPr>
          <w:rFonts w:hint="eastAsia" w:asciiTheme="minorEastAsia" w:hAnsiTheme="minorEastAsia" w:eastAsiaTheme="minorEastAsia"/>
          <w:b w:val="0"/>
          <w:bCs/>
          <w:sz w:val="24"/>
        </w:rPr>
      </w:pPr>
      <w:r>
        <w:rPr>
          <w:rFonts w:hint="eastAsia" w:asciiTheme="minorEastAsia" w:hAnsiTheme="minorEastAsia" w:eastAsiaTheme="minorEastAsia"/>
          <w:b w:val="0"/>
          <w:bCs/>
          <w:sz w:val="24"/>
        </w:rPr>
        <w:t>（7）供应商代表、采购人代表、监督人、记录人等有关人员在开启记录上签字确认；</w:t>
      </w:r>
    </w:p>
    <w:p w14:paraId="10B50B50">
      <w:pPr>
        <w:spacing w:line="360" w:lineRule="auto"/>
        <w:ind w:firstLine="437"/>
        <w:outlineLvl w:val="9"/>
        <w:rPr>
          <w:rFonts w:hint="eastAsia" w:asciiTheme="minorEastAsia" w:hAnsiTheme="minorEastAsia" w:eastAsiaTheme="minorEastAsia"/>
          <w:b w:val="0"/>
          <w:bCs/>
          <w:sz w:val="24"/>
        </w:rPr>
      </w:pPr>
      <w:r>
        <w:rPr>
          <w:rFonts w:hint="eastAsia" w:asciiTheme="minorEastAsia" w:hAnsiTheme="minorEastAsia" w:eastAsiaTheme="minorEastAsia"/>
          <w:b w:val="0"/>
          <w:bCs/>
          <w:sz w:val="24"/>
        </w:rPr>
        <w:t>（8）开启会议结束。</w:t>
      </w:r>
    </w:p>
    <w:p w14:paraId="41FC6329">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hint="eastAsia" w:asciiTheme="minorEastAsia" w:hAnsiTheme="minorEastAsia" w:eastAsiaTheme="minorEastAsia"/>
          <w:b/>
          <w:sz w:val="24"/>
          <w:lang w:val="en-US" w:eastAsia="zh-CN"/>
        </w:rPr>
        <w:t>9</w:t>
      </w:r>
      <w:r>
        <w:rPr>
          <w:rFonts w:asciiTheme="minorEastAsia" w:hAnsiTheme="minorEastAsia" w:eastAsiaTheme="minorEastAsia"/>
          <w:b/>
          <w:sz w:val="24"/>
        </w:rPr>
        <w:t>.</w:t>
      </w:r>
      <w:r>
        <w:rPr>
          <w:rFonts w:hint="eastAsia" w:asciiTheme="minorEastAsia" w:hAnsiTheme="minorEastAsia" w:eastAsiaTheme="minorEastAsia"/>
          <w:b/>
          <w:sz w:val="24"/>
        </w:rPr>
        <w:t>竞争性磋商小组</w:t>
      </w:r>
    </w:p>
    <w:p w14:paraId="2A1840E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9</w:t>
      </w:r>
      <w:r>
        <w:rPr>
          <w:rFonts w:asciiTheme="minorEastAsia" w:hAnsiTheme="minorEastAsia" w:eastAsiaTheme="minorEastAsia"/>
          <w:sz w:val="24"/>
        </w:rPr>
        <w:t>.1本项目将组建</w:t>
      </w:r>
      <w:r>
        <w:rPr>
          <w:rFonts w:hint="eastAsia" w:asciiTheme="minorEastAsia" w:hAnsiTheme="minorEastAsia" w:eastAsiaTheme="minorEastAsia"/>
          <w:sz w:val="24"/>
        </w:rPr>
        <w:t>竞争性磋商</w:t>
      </w:r>
      <w:r>
        <w:rPr>
          <w:rFonts w:asciiTheme="minorEastAsia" w:hAnsiTheme="minorEastAsia" w:eastAsiaTheme="minorEastAsia"/>
          <w:sz w:val="24"/>
        </w:rPr>
        <w:t>小组，</w:t>
      </w:r>
      <w:r>
        <w:rPr>
          <w:rFonts w:hint="eastAsia" w:asciiTheme="minorEastAsia" w:hAnsiTheme="minorEastAsia" w:eastAsiaTheme="minorEastAsia"/>
          <w:sz w:val="24"/>
        </w:rPr>
        <w:t>竞争性磋商</w:t>
      </w:r>
      <w:r>
        <w:rPr>
          <w:rFonts w:asciiTheme="minorEastAsia" w:hAnsiTheme="minorEastAsia" w:eastAsiaTheme="minorEastAsia"/>
          <w:sz w:val="24"/>
        </w:rPr>
        <w:t>小组成员由3人以上</w:t>
      </w:r>
      <w:r>
        <w:rPr>
          <w:rFonts w:hint="eastAsia" w:asciiTheme="minorEastAsia" w:hAnsiTheme="minorEastAsia" w:eastAsiaTheme="minorEastAsia"/>
          <w:sz w:val="24"/>
        </w:rPr>
        <w:t>（含）</w:t>
      </w:r>
      <w:r>
        <w:rPr>
          <w:rFonts w:asciiTheme="minorEastAsia" w:hAnsiTheme="minorEastAsia" w:eastAsiaTheme="minorEastAsia"/>
          <w:sz w:val="24"/>
        </w:rPr>
        <w:t>单数组成，</w:t>
      </w:r>
      <w:r>
        <w:rPr>
          <w:rFonts w:hint="eastAsia" w:asciiTheme="minorEastAsia" w:hAnsiTheme="minorEastAsia" w:eastAsiaTheme="minorEastAsia"/>
          <w:sz w:val="24"/>
        </w:rPr>
        <w:t>竞争性磋商</w:t>
      </w:r>
      <w:r>
        <w:rPr>
          <w:rFonts w:asciiTheme="minorEastAsia" w:hAnsiTheme="minorEastAsia" w:eastAsiaTheme="minorEastAsia"/>
          <w:sz w:val="24"/>
        </w:rPr>
        <w:t>小组及其成员应当依照有关规定履行相关职责和义务。</w:t>
      </w:r>
    </w:p>
    <w:p w14:paraId="4A783F4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9</w:t>
      </w:r>
      <w:r>
        <w:rPr>
          <w:rFonts w:asciiTheme="minorEastAsia" w:hAnsiTheme="minorEastAsia" w:eastAsiaTheme="minorEastAsia"/>
          <w:sz w:val="24"/>
        </w:rPr>
        <w:t>.2</w:t>
      </w:r>
      <w:r>
        <w:rPr>
          <w:rFonts w:hint="eastAsia" w:asciiTheme="minorEastAsia" w:hAnsiTheme="minorEastAsia" w:eastAsiaTheme="minorEastAsia"/>
          <w:sz w:val="24"/>
        </w:rPr>
        <w:t>竞争性磋商</w:t>
      </w:r>
      <w:r>
        <w:rPr>
          <w:rFonts w:asciiTheme="minorEastAsia" w:hAnsiTheme="minorEastAsia" w:eastAsiaTheme="minorEastAsia"/>
          <w:sz w:val="24"/>
        </w:rPr>
        <w:t>小组对响应文件进行评审，并根据</w:t>
      </w:r>
      <w:r>
        <w:rPr>
          <w:rFonts w:hint="eastAsia" w:asciiTheme="minorEastAsia" w:hAnsiTheme="minorEastAsia" w:eastAsiaTheme="minorEastAsia"/>
          <w:sz w:val="24"/>
        </w:rPr>
        <w:t>竞争性磋商文件</w:t>
      </w:r>
      <w:r>
        <w:rPr>
          <w:rFonts w:asciiTheme="minorEastAsia" w:hAnsiTheme="minorEastAsia" w:eastAsiaTheme="minorEastAsia"/>
          <w:sz w:val="24"/>
        </w:rPr>
        <w:t>规定的程序、评定成交的标准等事项与实质性响应</w:t>
      </w:r>
      <w:r>
        <w:rPr>
          <w:rFonts w:hint="eastAsia" w:asciiTheme="minorEastAsia" w:hAnsiTheme="minorEastAsia" w:eastAsiaTheme="minorEastAsia"/>
          <w:sz w:val="24"/>
        </w:rPr>
        <w:t>竞争性磋商文件</w:t>
      </w:r>
      <w:r>
        <w:rPr>
          <w:rFonts w:asciiTheme="minorEastAsia" w:hAnsiTheme="minorEastAsia" w:eastAsiaTheme="minorEastAsia"/>
          <w:sz w:val="24"/>
        </w:rPr>
        <w:t>要求的供应商进行</w:t>
      </w:r>
      <w:r>
        <w:rPr>
          <w:rFonts w:hint="eastAsia" w:asciiTheme="minorEastAsia" w:hAnsiTheme="minorEastAsia" w:eastAsiaTheme="minorEastAsia"/>
          <w:sz w:val="24"/>
        </w:rPr>
        <w:t>竞争性磋商</w:t>
      </w:r>
      <w:r>
        <w:rPr>
          <w:rFonts w:asciiTheme="minorEastAsia" w:hAnsiTheme="minorEastAsia" w:eastAsiaTheme="minorEastAsia"/>
          <w:sz w:val="24"/>
        </w:rPr>
        <w:t>。</w:t>
      </w:r>
    </w:p>
    <w:p w14:paraId="0B7285F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9</w:t>
      </w:r>
      <w:r>
        <w:rPr>
          <w:rFonts w:asciiTheme="minorEastAsia" w:hAnsiTheme="minorEastAsia" w:eastAsiaTheme="minorEastAsia"/>
          <w:sz w:val="24"/>
        </w:rPr>
        <w:t>.3</w:t>
      </w:r>
      <w:r>
        <w:rPr>
          <w:rFonts w:hint="eastAsia" w:asciiTheme="minorEastAsia" w:hAnsiTheme="minorEastAsia" w:eastAsiaTheme="minorEastAsia"/>
          <w:sz w:val="24"/>
        </w:rPr>
        <w:t>竞争性磋商</w:t>
      </w:r>
      <w:r>
        <w:rPr>
          <w:rFonts w:asciiTheme="minorEastAsia" w:hAnsiTheme="minorEastAsia" w:eastAsiaTheme="minorEastAsia"/>
          <w:sz w:val="24"/>
        </w:rPr>
        <w:t>小组应当从质量和服务均能满足</w:t>
      </w:r>
      <w:r>
        <w:rPr>
          <w:rFonts w:hint="eastAsia" w:asciiTheme="minorEastAsia" w:hAnsiTheme="minorEastAsia" w:eastAsiaTheme="minorEastAsia"/>
          <w:sz w:val="24"/>
        </w:rPr>
        <w:t>竞争性磋商文件</w:t>
      </w:r>
      <w:r>
        <w:rPr>
          <w:rFonts w:asciiTheme="minorEastAsia" w:hAnsiTheme="minorEastAsia" w:eastAsiaTheme="minorEastAsia"/>
          <w:sz w:val="24"/>
        </w:rPr>
        <w:t>实质性响应要求的供应商中，按照评审方法和标准</w:t>
      </w:r>
      <w:r>
        <w:rPr>
          <w:rFonts w:hint="eastAsia" w:asciiTheme="minorEastAsia" w:hAnsiTheme="minorEastAsia" w:eastAsiaTheme="minorEastAsia"/>
          <w:sz w:val="24"/>
        </w:rPr>
        <w:t>推荐</w:t>
      </w:r>
      <w:r>
        <w:rPr>
          <w:rFonts w:asciiTheme="minorEastAsia" w:hAnsiTheme="minorEastAsia" w:eastAsiaTheme="minorEastAsia"/>
          <w:sz w:val="24"/>
        </w:rPr>
        <w:t>成交候选供应商，并编写</w:t>
      </w:r>
      <w:r>
        <w:rPr>
          <w:rFonts w:hint="eastAsia" w:asciiTheme="minorEastAsia" w:hAnsiTheme="minorEastAsia" w:eastAsiaTheme="minorEastAsia"/>
          <w:sz w:val="24"/>
        </w:rPr>
        <w:t>评审</w:t>
      </w:r>
      <w:r>
        <w:rPr>
          <w:rFonts w:asciiTheme="minorEastAsia" w:hAnsiTheme="minorEastAsia" w:eastAsiaTheme="minorEastAsia"/>
          <w:sz w:val="24"/>
        </w:rPr>
        <w:t>报告。</w:t>
      </w:r>
    </w:p>
    <w:p w14:paraId="1D1B14C5">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lang w:val="en-US" w:eastAsia="zh-CN"/>
        </w:rPr>
        <w:t>20</w:t>
      </w:r>
      <w:r>
        <w:rPr>
          <w:rFonts w:asciiTheme="minorEastAsia" w:hAnsiTheme="minorEastAsia" w:eastAsiaTheme="minorEastAsia"/>
          <w:b/>
          <w:sz w:val="24"/>
        </w:rPr>
        <w:t>.响应文件的评审与</w:t>
      </w:r>
      <w:r>
        <w:rPr>
          <w:rFonts w:hint="eastAsia" w:asciiTheme="minorEastAsia" w:hAnsiTheme="minorEastAsia" w:eastAsiaTheme="minorEastAsia"/>
          <w:b/>
          <w:sz w:val="24"/>
        </w:rPr>
        <w:t>竞争性磋商</w:t>
      </w:r>
    </w:p>
    <w:p w14:paraId="30CD1A6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asciiTheme="minorEastAsia" w:hAnsiTheme="minorEastAsia" w:eastAsiaTheme="minorEastAsia"/>
          <w:sz w:val="24"/>
        </w:rPr>
        <w:t>.</w:t>
      </w:r>
      <w:r>
        <w:rPr>
          <w:rFonts w:hint="eastAsia" w:asciiTheme="minorEastAsia" w:hAnsiTheme="minorEastAsia" w:eastAsiaTheme="minorEastAsia"/>
          <w:sz w:val="24"/>
        </w:rPr>
        <w:t>1采购人和采购代理机构将在</w:t>
      </w:r>
      <w:r>
        <w:rPr>
          <w:rFonts w:asciiTheme="minorEastAsia" w:hAnsiTheme="minorEastAsia" w:eastAsiaTheme="minorEastAsia"/>
          <w:sz w:val="24"/>
          <w:u w:val="single"/>
        </w:rPr>
        <w:t>供应商须知前附表</w:t>
      </w:r>
      <w:r>
        <w:rPr>
          <w:rFonts w:hint="eastAsia" w:asciiTheme="minorEastAsia" w:hAnsiTheme="minorEastAsia" w:eastAsiaTheme="minorEastAsia"/>
          <w:sz w:val="24"/>
        </w:rPr>
        <w:t>规定的时间和地点组织竞争性磋商。</w:t>
      </w:r>
    </w:p>
    <w:p w14:paraId="778A6D7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.2竞争性磋商活动采用综合评分法评审。</w:t>
      </w:r>
    </w:p>
    <w:p w14:paraId="6CF40D5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综合评分法，是指响应文件满足竞争性磋商文件全部实质性要求且按评审因素的量化指标评审得分最高的供应商为成交候选供应商的评审方法。</w:t>
      </w:r>
    </w:p>
    <w:p w14:paraId="5F5C20B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.3竞争性磋商小组将按照竞争性磋商文件规定的评审方法和标准对供应商独立进行评审。评审程序如下：</w:t>
      </w:r>
    </w:p>
    <w:p w14:paraId="0F27189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.3.1</w:t>
      </w:r>
      <w:r>
        <w:rPr>
          <w:rFonts w:hint="eastAsia" w:asciiTheme="minorEastAsia" w:hAnsiTheme="minorEastAsia" w:eastAsiaTheme="minorEastAsia"/>
          <w:b/>
          <w:sz w:val="24"/>
        </w:rPr>
        <w:t>初审</w:t>
      </w:r>
    </w:p>
    <w:p w14:paraId="6EA9D73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竞争性磋商小组对供应商必须满足和实质性响应的内容进行评审，供应商未实质性响应竞争性磋商文件要求导致响应无效的，竞争性磋商小组将以书面询标的方式告知有关供应商。</w:t>
      </w:r>
    </w:p>
    <w:p w14:paraId="754C235B">
      <w:pPr>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采购人</w:t>
      </w:r>
      <w:r>
        <w:rPr>
          <w:rFonts w:asciiTheme="minorEastAsia" w:hAnsiTheme="minorEastAsia" w:eastAsiaTheme="minorEastAsia"/>
          <w:sz w:val="24"/>
        </w:rPr>
        <w:t>或采购代理机构</w:t>
      </w:r>
      <w:r>
        <w:rPr>
          <w:rFonts w:hint="eastAsia" w:asciiTheme="minorEastAsia" w:hAnsiTheme="minorEastAsia" w:eastAsiaTheme="minorEastAsia"/>
          <w:sz w:val="24"/>
        </w:rPr>
        <w:t>将在响应文件提交截止时间后至评审结束前查询供应商的信用记录。供应商存在不良信用记录的，其响应文件将被认定为</w:t>
      </w:r>
      <w:r>
        <w:rPr>
          <w:rFonts w:hint="eastAsia" w:asciiTheme="minorEastAsia" w:hAnsiTheme="minorEastAsia" w:eastAsiaTheme="minorEastAsia"/>
          <w:b/>
          <w:sz w:val="24"/>
        </w:rPr>
        <w:t>响应无效</w:t>
      </w:r>
      <w:r>
        <w:rPr>
          <w:rFonts w:hint="eastAsia" w:asciiTheme="minorEastAsia" w:hAnsiTheme="minorEastAsia" w:eastAsiaTheme="minorEastAsia"/>
          <w:sz w:val="24"/>
        </w:rPr>
        <w:t>。</w:t>
      </w:r>
    </w:p>
    <w:p w14:paraId="40056393">
      <w:pPr>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.3.1.1不良信用记录指：</w:t>
      </w:r>
    </w:p>
    <w:p w14:paraId="47D1A5C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（1）供应商被人民法院列入失信被执行人的；</w:t>
      </w:r>
    </w:p>
    <w:p w14:paraId="6F75801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（2）供应商被市场监督管理部门列入严重违法失信企业名单的；</w:t>
      </w:r>
    </w:p>
    <w:p w14:paraId="1352AE7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（3）供应商被税务部门列入重大税收违法案件当事人名单；</w:t>
      </w:r>
    </w:p>
    <w:p w14:paraId="7F06097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（4）供应商被政府采购监管部门列入政府采购严重违法失信行为记录名单。</w:t>
      </w:r>
    </w:p>
    <w:p w14:paraId="17C44730">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以联合体形式参加竞争性磋商的，联合体任何成员存在以上不良信用记录的，联合体竞争性磋商将被认定为</w:t>
      </w:r>
      <w:r>
        <w:rPr>
          <w:rFonts w:hint="eastAsia" w:asciiTheme="minorEastAsia" w:hAnsiTheme="minorEastAsia" w:eastAsiaTheme="minorEastAsia"/>
          <w:b/>
          <w:sz w:val="24"/>
        </w:rPr>
        <w:t>响应无效</w:t>
      </w:r>
      <w:r>
        <w:rPr>
          <w:rFonts w:hint="eastAsia" w:asciiTheme="minorEastAsia" w:hAnsiTheme="minorEastAsia" w:eastAsiaTheme="minorEastAsia"/>
          <w:sz w:val="24"/>
        </w:rPr>
        <w:t>。</w:t>
      </w:r>
    </w:p>
    <w:p w14:paraId="74A9FF96">
      <w:pPr>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.3.1.2信用信息查询渠道：中国政府采购网（www.ccgp.gov.cn）、“信用中国”网站（www.creditchina.gov.cn）、国家企业信用信息公示系统（</w:t>
      </w:r>
      <w:r>
        <w:rPr>
          <w:rFonts w:asciiTheme="minorEastAsia" w:hAnsiTheme="minorEastAsia" w:eastAsiaTheme="minorEastAsia"/>
          <w:sz w:val="24"/>
        </w:rPr>
        <w:t>www.gsxt.gov.cn</w:t>
      </w:r>
      <w:r>
        <w:rPr>
          <w:rFonts w:hint="eastAsia" w:asciiTheme="minorEastAsia" w:hAnsiTheme="minorEastAsia" w:eastAsiaTheme="minorEastAsia"/>
          <w:sz w:val="24"/>
        </w:rPr>
        <w:t>）。</w:t>
      </w:r>
    </w:p>
    <w:p w14:paraId="1AF957EE">
      <w:pPr>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.3.1.3信用信息记录方式：采购人或采购代理机构工作人员将查询网页打印、签字并存档备查。供应商不良信用记录以采购人或采购代理机构查询结果为准。</w:t>
      </w:r>
    </w:p>
    <w:p w14:paraId="52066F28">
      <w:pPr>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在本竞争性磋商文件规定的查询时间之外，网站信息发生的任何变更均不作为初审依据。</w:t>
      </w:r>
    </w:p>
    <w:p w14:paraId="6C569880">
      <w:pPr>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供应商自行提供的与网站信息不一致的其他证明材料亦不作为初审依据。</w:t>
      </w:r>
    </w:p>
    <w:p w14:paraId="2CB8710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.3.2</w:t>
      </w:r>
      <w:r>
        <w:rPr>
          <w:rFonts w:hint="eastAsia" w:asciiTheme="minorEastAsia" w:hAnsiTheme="minorEastAsia" w:eastAsiaTheme="minorEastAsia"/>
          <w:b/>
          <w:sz w:val="24"/>
        </w:rPr>
        <w:t>竞争性磋商</w:t>
      </w:r>
    </w:p>
    <w:p w14:paraId="73DA61E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初审合格后，竞争性磋商小组将响应文件提交顺序集中与单一供应商分别进行竞争性磋商，并给予所有参加竞争性磋商的供应商平等的竞争性磋商机会。</w:t>
      </w:r>
    </w:p>
    <w:p w14:paraId="2F2E033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.3.3</w:t>
      </w:r>
      <w:r>
        <w:rPr>
          <w:rFonts w:asciiTheme="minorEastAsia" w:hAnsiTheme="minorEastAsia" w:eastAsiaTheme="minorEastAsia"/>
          <w:b/>
          <w:sz w:val="24"/>
        </w:rPr>
        <w:t>报价</w:t>
      </w:r>
    </w:p>
    <w:p w14:paraId="3251C08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竞争性磋商</w:t>
      </w:r>
      <w:r>
        <w:rPr>
          <w:rFonts w:asciiTheme="minorEastAsia" w:hAnsiTheme="minorEastAsia" w:eastAsiaTheme="minorEastAsia"/>
          <w:sz w:val="24"/>
        </w:rPr>
        <w:t>结束后，</w:t>
      </w:r>
      <w:r>
        <w:rPr>
          <w:rFonts w:hint="eastAsia" w:asciiTheme="minorEastAsia" w:hAnsiTheme="minorEastAsia" w:eastAsiaTheme="minorEastAsia"/>
          <w:sz w:val="24"/>
        </w:rPr>
        <w:t>竞争性磋商</w:t>
      </w:r>
      <w:r>
        <w:rPr>
          <w:rFonts w:asciiTheme="minorEastAsia" w:hAnsiTheme="minorEastAsia" w:eastAsiaTheme="minorEastAsia"/>
          <w:sz w:val="24"/>
        </w:rPr>
        <w:t>小组应当要求所有</w:t>
      </w:r>
      <w:r>
        <w:rPr>
          <w:rFonts w:hint="eastAsia" w:asciiTheme="minorEastAsia" w:hAnsiTheme="minorEastAsia" w:eastAsiaTheme="minorEastAsia"/>
          <w:sz w:val="24"/>
        </w:rPr>
        <w:t>实质性响应</w:t>
      </w:r>
      <w:r>
        <w:rPr>
          <w:rFonts w:asciiTheme="minorEastAsia" w:hAnsiTheme="minorEastAsia" w:eastAsiaTheme="minorEastAsia"/>
          <w:sz w:val="24"/>
        </w:rPr>
        <w:t>的供应商在规定时间内提交最后报价</w:t>
      </w:r>
      <w:r>
        <w:rPr>
          <w:rFonts w:hint="eastAsia" w:ascii="宋体" w:hAnsi="宋体" w:eastAsia="宋体"/>
          <w:sz w:val="24"/>
        </w:rPr>
        <w:t>。</w:t>
      </w:r>
    </w:p>
    <w:p w14:paraId="2706523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.3.4</w:t>
      </w:r>
      <w:r>
        <w:rPr>
          <w:rFonts w:hint="eastAsia" w:asciiTheme="minorEastAsia" w:hAnsiTheme="minorEastAsia" w:eastAsiaTheme="minorEastAsia"/>
          <w:b/>
          <w:sz w:val="24"/>
        </w:rPr>
        <w:t>综合评分</w:t>
      </w:r>
    </w:p>
    <w:p w14:paraId="1D19FEA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竞争性磋商小组只对通过初审，实质上响应竞争性磋商文件要求的响应文件进行综合评分。经竞争性磋商确定最终采购需求和提交最后报价的供应商后，由竞争性磋商小组采用综合评分法对提交最后报价的供应商的响应文件和最后报价进行综合评分。</w:t>
      </w:r>
    </w:p>
    <w:p w14:paraId="55CA7FBA">
      <w:pPr>
        <w:spacing w:line="360" w:lineRule="auto"/>
        <w:ind w:firstLine="435"/>
        <w:rPr>
          <w:rFonts w:asciiTheme="minorEastAsia" w:hAnsiTheme="minorEastAsia" w:eastAsiaTheme="minorEastAsia"/>
          <w:b/>
          <w:bCs/>
          <w:sz w:val="24"/>
        </w:rPr>
      </w:pPr>
      <w:r>
        <w:rPr>
          <w:rFonts w:hint="eastAsia" w:asciiTheme="minorEastAsia" w:hAnsiTheme="minorEastAsia" w:eastAsiaTheme="minorEastAsia"/>
          <w:b/>
          <w:bCs/>
          <w:sz w:val="24"/>
          <w:lang w:val="en-US" w:eastAsia="zh-CN"/>
        </w:rPr>
        <w:t>20</w:t>
      </w:r>
      <w:r>
        <w:rPr>
          <w:rFonts w:hint="eastAsia" w:asciiTheme="minorEastAsia" w:hAnsiTheme="minorEastAsia" w:eastAsiaTheme="minorEastAsia"/>
          <w:b/>
          <w:bCs/>
          <w:sz w:val="24"/>
        </w:rPr>
        <w:t>.4相关说明</w:t>
      </w:r>
    </w:p>
    <w:p w14:paraId="3753A61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 xml:space="preserve">.4.1为保证竞争性磋商活动顺利进行，供应商可派相关技术人员进行网上答疑； </w:t>
      </w:r>
    </w:p>
    <w:p w14:paraId="0FC2855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.4.2竞争性磋商</w:t>
      </w:r>
      <w:r>
        <w:rPr>
          <w:rFonts w:asciiTheme="minorEastAsia" w:hAnsiTheme="minorEastAsia" w:eastAsiaTheme="minorEastAsia"/>
          <w:sz w:val="24"/>
        </w:rPr>
        <w:t>小组根据与</w:t>
      </w:r>
      <w:r>
        <w:rPr>
          <w:rFonts w:hint="eastAsia" w:asciiTheme="minorEastAsia" w:hAnsiTheme="minorEastAsia" w:eastAsiaTheme="minorEastAsia"/>
          <w:sz w:val="24"/>
        </w:rPr>
        <w:t>供应商竞争性磋商</w:t>
      </w:r>
      <w:r>
        <w:rPr>
          <w:rFonts w:asciiTheme="minorEastAsia" w:hAnsiTheme="minorEastAsia" w:eastAsiaTheme="minorEastAsia"/>
          <w:sz w:val="24"/>
        </w:rPr>
        <w:t>情况可能实质性变动</w:t>
      </w:r>
      <w:r>
        <w:rPr>
          <w:rFonts w:hint="eastAsia" w:asciiTheme="minorEastAsia" w:hAnsiTheme="minorEastAsia" w:eastAsiaTheme="minorEastAsia"/>
          <w:sz w:val="24"/>
        </w:rPr>
        <w:t>竞争性磋商文件</w:t>
      </w:r>
      <w:r>
        <w:rPr>
          <w:rFonts w:asciiTheme="minorEastAsia" w:hAnsiTheme="minorEastAsia" w:eastAsiaTheme="minorEastAsia"/>
          <w:sz w:val="24"/>
        </w:rPr>
        <w:t>的内容，包括采购需求中的技术、服务要求以及合同草案条款。</w:t>
      </w:r>
      <w:r>
        <w:rPr>
          <w:rFonts w:hint="eastAsia" w:asciiTheme="minorEastAsia" w:hAnsiTheme="minorEastAsia" w:eastAsiaTheme="minorEastAsia"/>
          <w:sz w:val="24"/>
        </w:rPr>
        <w:t>竞争性磋商文件</w:t>
      </w:r>
      <w:r>
        <w:rPr>
          <w:rFonts w:asciiTheme="minorEastAsia" w:hAnsiTheme="minorEastAsia" w:eastAsiaTheme="minorEastAsia"/>
          <w:sz w:val="24"/>
        </w:rPr>
        <w:t>有实质性变动的，</w:t>
      </w:r>
      <w:r>
        <w:rPr>
          <w:rFonts w:hint="eastAsia" w:asciiTheme="minorEastAsia" w:hAnsiTheme="minorEastAsia" w:eastAsiaTheme="minorEastAsia"/>
          <w:sz w:val="24"/>
        </w:rPr>
        <w:t>经采购人代表确认作为竞争性磋商文件的有效组成部分，竞争性磋商</w:t>
      </w:r>
      <w:r>
        <w:rPr>
          <w:rFonts w:asciiTheme="minorEastAsia" w:hAnsiTheme="minorEastAsia" w:eastAsiaTheme="minorEastAsia"/>
          <w:sz w:val="24"/>
        </w:rPr>
        <w:t>小组</w:t>
      </w:r>
      <w:r>
        <w:rPr>
          <w:rFonts w:hint="eastAsia" w:asciiTheme="minorEastAsia" w:hAnsiTheme="minorEastAsia" w:eastAsiaTheme="minorEastAsia"/>
          <w:sz w:val="24"/>
        </w:rPr>
        <w:t>将</w:t>
      </w:r>
      <w:r>
        <w:rPr>
          <w:rFonts w:asciiTheme="minorEastAsia" w:hAnsiTheme="minorEastAsia" w:eastAsiaTheme="minorEastAsia"/>
          <w:sz w:val="24"/>
        </w:rPr>
        <w:t>以书面形式通知所有参加</w:t>
      </w:r>
      <w:r>
        <w:rPr>
          <w:rFonts w:hint="eastAsia" w:asciiTheme="minorEastAsia" w:hAnsiTheme="minorEastAsia" w:eastAsiaTheme="minorEastAsia"/>
          <w:sz w:val="24"/>
        </w:rPr>
        <w:t>竞争性磋商</w:t>
      </w:r>
      <w:r>
        <w:rPr>
          <w:rFonts w:asciiTheme="minorEastAsia" w:hAnsiTheme="minorEastAsia" w:eastAsiaTheme="minorEastAsia"/>
          <w:sz w:val="24"/>
        </w:rPr>
        <w:t>的供应商。</w:t>
      </w:r>
    </w:p>
    <w:p w14:paraId="02FC360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asciiTheme="minorEastAsia" w:hAnsiTheme="minorEastAsia" w:eastAsiaTheme="minorEastAsia"/>
          <w:sz w:val="24"/>
        </w:rPr>
        <w:t>.4.3</w:t>
      </w:r>
      <w:r>
        <w:rPr>
          <w:rFonts w:hint="eastAsia" w:asciiTheme="minorEastAsia" w:hAnsiTheme="minorEastAsia" w:eastAsiaTheme="minorEastAsia"/>
          <w:sz w:val="24"/>
        </w:rPr>
        <w:t>竞争性磋商</w:t>
      </w:r>
      <w:r>
        <w:rPr>
          <w:rFonts w:asciiTheme="minorEastAsia" w:hAnsiTheme="minorEastAsia" w:eastAsiaTheme="minorEastAsia"/>
          <w:sz w:val="24"/>
        </w:rPr>
        <w:t>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asciiTheme="minorEastAsia" w:hAnsiTheme="minorEastAsia" w:eastAsiaTheme="minorEastAsia"/>
          <w:b/>
          <w:sz w:val="24"/>
        </w:rPr>
        <w:t>响应无效</w:t>
      </w:r>
      <w:r>
        <w:rPr>
          <w:rFonts w:asciiTheme="minorEastAsia" w:hAnsiTheme="minorEastAsia" w:eastAsiaTheme="minorEastAsia"/>
          <w:sz w:val="24"/>
        </w:rPr>
        <w:t>。</w:t>
      </w:r>
    </w:p>
    <w:p w14:paraId="5A1300C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.4.4</w:t>
      </w:r>
      <w:r>
        <w:rPr>
          <w:rFonts w:asciiTheme="minorEastAsia" w:hAnsiTheme="minorEastAsia" w:eastAsiaTheme="minorEastAsia"/>
          <w:sz w:val="24"/>
        </w:rPr>
        <w:t>无论何种原因，即使供应商</w:t>
      </w:r>
      <w:r>
        <w:rPr>
          <w:rFonts w:hint="eastAsia" w:asciiTheme="minorEastAsia" w:hAnsiTheme="minorEastAsia" w:eastAsiaTheme="minorEastAsia"/>
          <w:sz w:val="24"/>
        </w:rPr>
        <w:t>竞争性磋商</w:t>
      </w:r>
      <w:r>
        <w:rPr>
          <w:rFonts w:asciiTheme="minorEastAsia" w:hAnsiTheme="minorEastAsia" w:eastAsiaTheme="minorEastAsia"/>
          <w:sz w:val="24"/>
        </w:rPr>
        <w:t>时携带了证书材料的原件，但响应文件中未提供与之内容完全一致的</w:t>
      </w:r>
      <w:r>
        <w:rPr>
          <w:rFonts w:hint="eastAsia" w:asciiTheme="minorEastAsia" w:hAnsiTheme="minorEastAsia" w:eastAsiaTheme="minorEastAsia"/>
          <w:sz w:val="24"/>
        </w:rPr>
        <w:t>扫描件</w:t>
      </w:r>
      <w:r>
        <w:rPr>
          <w:rFonts w:asciiTheme="minorEastAsia" w:hAnsiTheme="minorEastAsia" w:eastAsiaTheme="minorEastAsia"/>
          <w:sz w:val="24"/>
        </w:rPr>
        <w:t>的，</w:t>
      </w:r>
      <w:r>
        <w:rPr>
          <w:rFonts w:hint="eastAsia" w:asciiTheme="minorEastAsia" w:hAnsiTheme="minorEastAsia" w:eastAsiaTheme="minorEastAsia"/>
          <w:sz w:val="24"/>
        </w:rPr>
        <w:t>竞争性磋商</w:t>
      </w:r>
      <w:r>
        <w:rPr>
          <w:rFonts w:asciiTheme="minorEastAsia" w:hAnsiTheme="minorEastAsia" w:eastAsiaTheme="minorEastAsia"/>
          <w:sz w:val="24"/>
        </w:rPr>
        <w:t>小组可以视同其未提供。</w:t>
      </w:r>
    </w:p>
    <w:p w14:paraId="5E5C084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.4.5竞争性磋商</w:t>
      </w:r>
      <w:r>
        <w:rPr>
          <w:rFonts w:asciiTheme="minorEastAsia" w:hAnsiTheme="minorEastAsia" w:eastAsiaTheme="minorEastAsia"/>
          <w:sz w:val="24"/>
        </w:rPr>
        <w:t>小组决定响应文件的响应性及符合性只根据响应文件本身的内容，而不寻求其他外部证据。</w:t>
      </w:r>
    </w:p>
    <w:p w14:paraId="2A0E276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供应商</w:t>
      </w:r>
      <w:r>
        <w:rPr>
          <w:rFonts w:hint="eastAsia" w:asciiTheme="minorEastAsia" w:hAnsiTheme="minorEastAsia" w:eastAsiaTheme="minorEastAsia"/>
          <w:sz w:val="24"/>
        </w:rPr>
        <w:t>授权</w:t>
      </w:r>
      <w:r>
        <w:rPr>
          <w:rFonts w:asciiTheme="minorEastAsia" w:hAnsiTheme="minorEastAsia" w:eastAsiaTheme="minorEastAsia"/>
          <w:sz w:val="24"/>
        </w:rPr>
        <w:t>代表对</w:t>
      </w:r>
      <w:r>
        <w:rPr>
          <w:rFonts w:hint="eastAsia" w:asciiTheme="minorEastAsia" w:hAnsiTheme="minorEastAsia" w:eastAsiaTheme="minorEastAsia"/>
          <w:sz w:val="24"/>
        </w:rPr>
        <w:t>竞争性磋商过程</w:t>
      </w:r>
      <w:r>
        <w:rPr>
          <w:rFonts w:asciiTheme="minorEastAsia" w:hAnsiTheme="minorEastAsia" w:eastAsiaTheme="minorEastAsia"/>
          <w:sz w:val="24"/>
        </w:rPr>
        <w:t>有疑义，以及认为采购人、采购代理机构相关工作人员有需要回避的情形的，应当场提出询问或者回避申请</w:t>
      </w:r>
      <w:r>
        <w:rPr>
          <w:rFonts w:hint="eastAsia" w:asciiTheme="minorEastAsia" w:hAnsiTheme="minorEastAsia" w:eastAsiaTheme="minorEastAsia"/>
          <w:sz w:val="24"/>
        </w:rPr>
        <w:t>，并说明理由。</w:t>
      </w:r>
      <w:r>
        <w:rPr>
          <w:rFonts w:asciiTheme="minorEastAsia" w:hAnsiTheme="minorEastAsia" w:eastAsiaTheme="minorEastAsia"/>
          <w:sz w:val="24"/>
        </w:rPr>
        <w:t xml:space="preserve"> </w:t>
      </w:r>
    </w:p>
    <w:p w14:paraId="142DE758">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2</w:t>
      </w:r>
      <w:r>
        <w:rPr>
          <w:rFonts w:hint="eastAsia" w:asciiTheme="minorEastAsia" w:hAnsiTheme="minorEastAsia" w:eastAsiaTheme="minorEastAsia"/>
          <w:b/>
          <w:sz w:val="24"/>
          <w:lang w:val="en-US" w:eastAsia="zh-CN"/>
        </w:rPr>
        <w:t>1</w:t>
      </w:r>
      <w:r>
        <w:rPr>
          <w:rFonts w:asciiTheme="minorEastAsia" w:hAnsiTheme="minorEastAsia" w:eastAsiaTheme="minorEastAsia"/>
          <w:b/>
          <w:sz w:val="24"/>
        </w:rPr>
        <w:t>.</w:t>
      </w:r>
      <w:r>
        <w:rPr>
          <w:rFonts w:hint="eastAsia" w:asciiTheme="minorEastAsia" w:hAnsiTheme="minorEastAsia" w:eastAsiaTheme="minorEastAsia"/>
          <w:b/>
          <w:sz w:val="24"/>
        </w:rPr>
        <w:t>特殊情形处理</w:t>
      </w:r>
    </w:p>
    <w:p w14:paraId="0EB8004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除供应商须知前附表另有约定外，按以下规定执行：</w:t>
      </w:r>
    </w:p>
    <w:p w14:paraId="5221122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递交响应文件的供应商数量不足</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家或通过初审的供应商数量不足2家时，采购人将终止竞争性磋商活动。通过初审的供应商数量为2家时，竞争性磋商活动继续。</w:t>
      </w:r>
    </w:p>
    <w:p w14:paraId="676E03DA">
      <w:pPr>
        <w:spacing w:line="360" w:lineRule="auto"/>
        <w:ind w:firstLine="437"/>
        <w:outlineLvl w:val="3"/>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lang w:val="en-US" w:eastAsia="zh-CN"/>
        </w:rPr>
        <w:t>2</w:t>
      </w:r>
      <w:r>
        <w:rPr>
          <w:rFonts w:asciiTheme="minorEastAsia" w:hAnsiTheme="minorEastAsia" w:eastAsiaTheme="minorEastAsia"/>
          <w:b/>
          <w:sz w:val="24"/>
        </w:rPr>
        <w:t>.响应文件的澄清、说明或</w:t>
      </w:r>
      <w:r>
        <w:rPr>
          <w:rFonts w:hint="eastAsia" w:asciiTheme="minorEastAsia" w:hAnsiTheme="minorEastAsia" w:eastAsiaTheme="minorEastAsia"/>
          <w:b/>
          <w:sz w:val="24"/>
        </w:rPr>
        <w:t>更正</w:t>
      </w:r>
    </w:p>
    <w:p w14:paraId="5CC73779">
      <w:pPr>
        <w:spacing w:line="360" w:lineRule="auto"/>
        <w:ind w:firstLine="470" w:firstLineChars="196"/>
        <w:rPr>
          <w:rFonts w:ascii="宋体" w:hAnsi="宋体" w:eastAsia="宋体"/>
          <w:sz w:val="24"/>
        </w:rPr>
      </w:pPr>
      <w:r>
        <w:rPr>
          <w:rFonts w:ascii="宋体" w:hAnsi="宋体" w:eastAsia="宋体"/>
          <w:sz w:val="24"/>
        </w:rPr>
        <w:t>2</w:t>
      </w:r>
      <w:r>
        <w:rPr>
          <w:rFonts w:hint="eastAsia" w:ascii="宋体" w:hAnsi="宋体" w:eastAsia="宋体"/>
          <w:sz w:val="24"/>
          <w:lang w:val="en-US" w:eastAsia="zh-CN"/>
        </w:rPr>
        <w:t>2</w:t>
      </w:r>
      <w:r>
        <w:rPr>
          <w:rFonts w:hint="eastAsia" w:ascii="宋体" w:hAnsi="宋体" w:eastAsia="宋体"/>
          <w:sz w:val="24"/>
        </w:rPr>
        <w:t>.1竞争性磋商小组将对响应文件的有效性、完整性和响应程度进行审查，审查时可以要求供应商对响应文件中含义不明确、同类问题表述不一致或者有明显文字和计算错误的内容等作出必要的澄清、说明或者更正。</w:t>
      </w:r>
      <w:r>
        <w:rPr>
          <w:rFonts w:hint="eastAsia" w:ascii="宋体" w:hAnsi="宋体" w:eastAsia="宋体"/>
          <w:b/>
          <w:bCs/>
          <w:sz w:val="24"/>
        </w:rPr>
        <w:t>供应商的澄清、说明或者更正不得超出响应文件的范围或者改变响应文件的实质性内容。</w:t>
      </w:r>
      <w:r>
        <w:rPr>
          <w:rFonts w:hint="eastAsia" w:ascii="宋体" w:hAnsi="宋体" w:eastAsia="宋体"/>
          <w:sz w:val="24"/>
        </w:rPr>
        <w:t>对不同文字文本响应文件的解释发生异议的，以中文文本为准。</w:t>
      </w:r>
    </w:p>
    <w:p w14:paraId="7259D292">
      <w:pPr>
        <w:spacing w:line="360" w:lineRule="auto"/>
        <w:ind w:firstLine="470" w:firstLineChars="196"/>
        <w:rPr>
          <w:rFonts w:ascii="宋体" w:hAnsi="宋体" w:eastAsia="宋体"/>
          <w:sz w:val="24"/>
        </w:rPr>
      </w:pPr>
      <w:r>
        <w:rPr>
          <w:rFonts w:ascii="宋体" w:hAnsi="宋体" w:eastAsia="宋体"/>
          <w:sz w:val="24"/>
        </w:rPr>
        <w:t>2</w:t>
      </w:r>
      <w:r>
        <w:rPr>
          <w:rFonts w:hint="eastAsia" w:ascii="宋体" w:hAnsi="宋体" w:eastAsia="宋体"/>
          <w:sz w:val="24"/>
          <w:lang w:val="en-US" w:eastAsia="zh-CN"/>
        </w:rPr>
        <w:t>2</w:t>
      </w:r>
      <w:r>
        <w:rPr>
          <w:rFonts w:hint="eastAsia" w:ascii="宋体" w:hAnsi="宋体" w:eastAsia="宋体"/>
          <w:sz w:val="24"/>
        </w:rPr>
        <w:t>.2竞争性磋商小组要求供应商澄清、说明或者更正响应文件应当以书面形式（询标）作出。供应商的澄清、说明或者更正应当由法定代表人或其授权代表签字或者加盖公章。</w:t>
      </w:r>
    </w:p>
    <w:p w14:paraId="128067D9">
      <w:pPr>
        <w:spacing w:line="360" w:lineRule="auto"/>
        <w:ind w:firstLine="435"/>
        <w:rPr>
          <w:rFonts w:ascii="宋体" w:hAnsi="宋体" w:eastAsia="宋体"/>
          <w:sz w:val="24"/>
        </w:rPr>
      </w:pPr>
      <w:r>
        <w:rPr>
          <w:rFonts w:hint="eastAsia" w:ascii="宋体" w:hAnsi="宋体" w:eastAsia="宋体"/>
          <w:b/>
          <w:sz w:val="24"/>
        </w:rPr>
        <w:t>如有询标，授权代表（或法定代表人）可通过供应商须知前附表规定的方式接受</w:t>
      </w:r>
      <w:r>
        <w:rPr>
          <w:rFonts w:hint="eastAsia" w:ascii="宋体" w:hAnsi="宋体" w:eastAsia="宋体"/>
          <w:b/>
          <w:sz w:val="24"/>
          <w:lang w:val="en-US" w:eastAsia="zh-CN"/>
        </w:rPr>
        <w:t>电话</w:t>
      </w:r>
      <w:r>
        <w:rPr>
          <w:rFonts w:hint="eastAsia" w:ascii="宋体" w:hAnsi="宋体" w:eastAsia="宋体"/>
          <w:b/>
          <w:sz w:val="24"/>
        </w:rPr>
        <w:t>询标。因授权代表联系不上</w:t>
      </w:r>
      <w:r>
        <w:rPr>
          <w:rFonts w:hint="eastAsia" w:ascii="宋体" w:hAnsi="宋体" w:eastAsia="宋体"/>
          <w:b/>
          <w:bCs/>
          <w:sz w:val="24"/>
        </w:rPr>
        <w:t>、没有及时</w:t>
      </w:r>
      <w:r>
        <w:rPr>
          <w:rFonts w:hint="eastAsia" w:ascii="宋体" w:hAnsi="宋体" w:eastAsia="宋体"/>
          <w:b/>
          <w:bCs/>
          <w:sz w:val="24"/>
          <w:lang w:val="en-US" w:eastAsia="zh-CN"/>
        </w:rPr>
        <w:t>接听电话</w:t>
      </w:r>
      <w:r>
        <w:rPr>
          <w:rFonts w:hint="eastAsia" w:ascii="宋体" w:hAnsi="宋体" w:eastAsia="宋体"/>
          <w:b/>
          <w:bCs/>
          <w:sz w:val="24"/>
        </w:rPr>
        <w:t>等情形</w:t>
      </w:r>
      <w:r>
        <w:rPr>
          <w:rFonts w:hint="eastAsia" w:ascii="宋体" w:hAnsi="宋体" w:eastAsia="宋体"/>
          <w:b/>
          <w:sz w:val="24"/>
        </w:rPr>
        <w:t>而无法接受竞争性磋商小组询标的，供应商自行承担相关风险。</w:t>
      </w:r>
    </w:p>
    <w:p w14:paraId="49819CC9">
      <w:pPr>
        <w:spacing w:line="360" w:lineRule="auto"/>
        <w:ind w:firstLine="437"/>
        <w:outlineLvl w:val="3"/>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lang w:val="en-US" w:eastAsia="zh-CN"/>
        </w:rPr>
        <w:t>3</w:t>
      </w:r>
      <w:r>
        <w:rPr>
          <w:rFonts w:asciiTheme="minorEastAsia" w:hAnsiTheme="minorEastAsia" w:eastAsiaTheme="minorEastAsia"/>
          <w:b/>
          <w:sz w:val="24"/>
        </w:rPr>
        <w:t>.最后报价</w:t>
      </w:r>
    </w:p>
    <w:p w14:paraId="7160D12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.1竞争性磋商</w:t>
      </w:r>
      <w:r>
        <w:rPr>
          <w:rFonts w:asciiTheme="minorEastAsia" w:hAnsiTheme="minorEastAsia" w:eastAsiaTheme="minorEastAsia"/>
          <w:sz w:val="24"/>
        </w:rPr>
        <w:t>并不限定只进行二轮报价，如果</w:t>
      </w:r>
      <w:r>
        <w:rPr>
          <w:rFonts w:hint="eastAsia" w:asciiTheme="minorEastAsia" w:hAnsiTheme="minorEastAsia" w:eastAsiaTheme="minorEastAsia"/>
          <w:sz w:val="24"/>
        </w:rPr>
        <w:t>竞争性磋商</w:t>
      </w:r>
      <w:r>
        <w:rPr>
          <w:rFonts w:asciiTheme="minorEastAsia" w:hAnsiTheme="minorEastAsia" w:eastAsiaTheme="minorEastAsia"/>
          <w:sz w:val="24"/>
        </w:rPr>
        <w:t>小组认为有必要，可以要求供应商进行多轮报价。</w:t>
      </w:r>
    </w:p>
    <w:p w14:paraId="3B0951B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.2</w:t>
      </w:r>
      <w:r>
        <w:rPr>
          <w:rFonts w:asciiTheme="minorEastAsia" w:hAnsiTheme="minorEastAsia" w:eastAsiaTheme="minorEastAsia"/>
          <w:sz w:val="24"/>
        </w:rPr>
        <w:t>在</w:t>
      </w:r>
      <w:r>
        <w:rPr>
          <w:rFonts w:hint="eastAsia" w:asciiTheme="minorEastAsia" w:hAnsiTheme="minorEastAsia" w:eastAsiaTheme="minorEastAsia"/>
          <w:sz w:val="24"/>
        </w:rPr>
        <w:t>竞争性磋商</w:t>
      </w:r>
      <w:r>
        <w:rPr>
          <w:rFonts w:asciiTheme="minorEastAsia" w:hAnsiTheme="minorEastAsia" w:eastAsiaTheme="minorEastAsia"/>
          <w:sz w:val="24"/>
        </w:rPr>
        <w:t>内容不做实质性变更或重大调整的前提下，供应商下轮报价不得高于上一轮报价</w:t>
      </w:r>
      <w:r>
        <w:rPr>
          <w:rFonts w:hint="eastAsia" w:asciiTheme="minorEastAsia" w:hAnsiTheme="minorEastAsia" w:eastAsiaTheme="minorEastAsia"/>
          <w:sz w:val="24"/>
        </w:rPr>
        <w:t>。</w:t>
      </w:r>
      <w:r>
        <w:rPr>
          <w:rFonts w:ascii="宋体" w:hAnsi="宋体" w:eastAsia="宋体" w:cs="宋体"/>
          <w:sz w:val="24"/>
          <w:szCs w:val="24"/>
        </w:rPr>
        <w:t>供应商没有参与下一轮报价的，其上一轮报价视为下一轮报价</w:t>
      </w:r>
      <w:r>
        <w:rPr>
          <w:rFonts w:hint="eastAsia" w:asciiTheme="minorEastAsia" w:hAnsiTheme="minorEastAsia" w:eastAsiaTheme="minorEastAsia"/>
          <w:sz w:val="24"/>
        </w:rPr>
        <w:t>。</w:t>
      </w:r>
    </w:p>
    <w:p w14:paraId="3DD4440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.3</w:t>
      </w:r>
      <w:r>
        <w:rPr>
          <w:rFonts w:asciiTheme="minorEastAsia" w:hAnsiTheme="minorEastAsia" w:eastAsiaTheme="minorEastAsia"/>
          <w:sz w:val="24"/>
        </w:rPr>
        <w:t>最后报价是供应商响应文件的有效组成部分，最后报价也是签订合同的依据。</w:t>
      </w:r>
    </w:p>
    <w:p w14:paraId="7578FBED">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lang w:val="en-US" w:eastAsia="zh-CN"/>
        </w:rPr>
        <w:t>3</w:t>
      </w:r>
      <w:r>
        <w:rPr>
          <w:rFonts w:asciiTheme="minorEastAsia" w:hAnsiTheme="minorEastAsia" w:eastAsiaTheme="minorEastAsia"/>
          <w:sz w:val="24"/>
        </w:rPr>
        <w:t>.4</w:t>
      </w:r>
      <w:r>
        <w:rPr>
          <w:rFonts w:hint="eastAsia" w:asciiTheme="minorEastAsia" w:hAnsiTheme="minorEastAsia" w:eastAsiaTheme="minorEastAsia"/>
          <w:sz w:val="24"/>
        </w:rPr>
        <w:t>如</w:t>
      </w:r>
      <w:r>
        <w:rPr>
          <w:rFonts w:asciiTheme="minorEastAsia" w:hAnsiTheme="minorEastAsia" w:eastAsiaTheme="minorEastAsia"/>
          <w:sz w:val="24"/>
        </w:rPr>
        <w:t>供应商须知前附表</w:t>
      </w:r>
      <w:r>
        <w:rPr>
          <w:rFonts w:hint="eastAsia" w:asciiTheme="minorEastAsia" w:hAnsiTheme="minorEastAsia" w:eastAsiaTheme="minorEastAsia"/>
          <w:sz w:val="24"/>
        </w:rPr>
        <w:t>接受小微企业价格扣除，</w:t>
      </w:r>
      <w:r>
        <w:rPr>
          <w:rFonts w:asciiTheme="minorEastAsia" w:hAnsiTheme="minorEastAsia" w:eastAsiaTheme="minorEastAsia"/>
          <w:sz w:val="24"/>
        </w:rPr>
        <w:t>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响应文件中提交了《中小企业声明函》、《残疾人福利性单位声明函》或省级以上监狱管理局、戒毒管理局（含新疆生产建设兵团）出具的属于监狱企业的证明文件的供应商，其最后报价按照供应商须知前附表中规定的标准扣除后的价格参与评审。对于同时属于小微企</w:t>
      </w:r>
      <w:r>
        <w:rPr>
          <w:rFonts w:hint="eastAsia" w:asciiTheme="minorEastAsia" w:hAnsiTheme="minorEastAsia" w:eastAsiaTheme="minorEastAsia"/>
          <w:sz w:val="24"/>
        </w:rPr>
        <w:t>业、监狱企业或残疾人福利性单位的，不重复进行最后报价扣除。</w:t>
      </w:r>
    </w:p>
    <w:p w14:paraId="1F92AC9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以联合体形式参加采购活动，联合体各方均为中小企业的，联合体视同中小企业。其中，联合体各方均为小微企业的，联合体视同小微企业。</w:t>
      </w:r>
    </w:p>
    <w:p w14:paraId="4A9BD6F7">
      <w:pPr>
        <w:spacing w:line="360" w:lineRule="auto"/>
        <w:ind w:firstLine="437"/>
        <w:outlineLvl w:val="3"/>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lang w:val="en-US" w:eastAsia="zh-CN"/>
        </w:rPr>
        <w:t>4</w:t>
      </w:r>
      <w:r>
        <w:rPr>
          <w:rFonts w:asciiTheme="minorEastAsia" w:hAnsiTheme="minorEastAsia" w:eastAsiaTheme="minorEastAsia"/>
          <w:b/>
          <w:sz w:val="24"/>
        </w:rPr>
        <w:t>.</w:t>
      </w:r>
      <w:r>
        <w:rPr>
          <w:rFonts w:hint="eastAsia" w:asciiTheme="minorEastAsia" w:hAnsiTheme="minorEastAsia" w:eastAsiaTheme="minorEastAsia"/>
          <w:b/>
          <w:sz w:val="24"/>
        </w:rPr>
        <w:t>成交候选供应商的推荐原则及标准</w:t>
      </w:r>
    </w:p>
    <w:p w14:paraId="378348D4">
      <w:pPr>
        <w:spacing w:line="360" w:lineRule="auto"/>
        <w:ind w:firstLine="435"/>
        <w:rPr>
          <w:rFonts w:ascii="宋体" w:hAnsi="宋体" w:eastAsia="宋体"/>
          <w:sz w:val="24"/>
        </w:rPr>
      </w:pPr>
      <w:r>
        <w:rPr>
          <w:rFonts w:asciiTheme="minorEastAsia" w:hAnsiTheme="minorEastAsia" w:eastAsiaTheme="minorEastAsia"/>
          <w:sz w:val="24"/>
        </w:rPr>
        <w:t>2</w:t>
      </w:r>
      <w:r>
        <w:rPr>
          <w:rFonts w:hint="eastAsia" w:asciiTheme="minorEastAsia" w:hAnsiTheme="minorEastAsia" w:eastAsiaTheme="minorEastAsia"/>
          <w:sz w:val="24"/>
          <w:lang w:val="en-US" w:eastAsia="zh-CN"/>
        </w:rPr>
        <w:t>4</w:t>
      </w: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如一个分包内只有一种产品，不同</w:t>
      </w:r>
      <w:r>
        <w:rPr>
          <w:rFonts w:hint="eastAsia" w:asciiTheme="minorEastAsia" w:hAnsiTheme="minorEastAsia" w:eastAsiaTheme="minorEastAsia"/>
          <w:sz w:val="24"/>
        </w:rPr>
        <w:t>供应商</w:t>
      </w:r>
      <w:r>
        <w:rPr>
          <w:rFonts w:asciiTheme="minorEastAsia" w:hAnsiTheme="minorEastAsia" w:eastAsiaTheme="minorEastAsia"/>
          <w:sz w:val="24"/>
        </w:rPr>
        <w:t>所投产品为同一品牌的，</w:t>
      </w:r>
      <w:r>
        <w:rPr>
          <w:rFonts w:ascii="宋体" w:hAnsi="宋体" w:eastAsia="宋体"/>
          <w:sz w:val="24"/>
        </w:rPr>
        <w:t>提供相同品牌产品且通过</w:t>
      </w:r>
      <w:r>
        <w:rPr>
          <w:rFonts w:hint="eastAsia" w:ascii="宋体" w:hAnsi="宋体" w:eastAsia="宋体"/>
          <w:sz w:val="24"/>
        </w:rPr>
        <w:t>初审</w:t>
      </w:r>
      <w:r>
        <w:rPr>
          <w:rFonts w:ascii="宋体" w:hAnsi="宋体" w:eastAsia="宋体"/>
          <w:sz w:val="24"/>
        </w:rPr>
        <w:t>的不同</w:t>
      </w:r>
      <w:r>
        <w:rPr>
          <w:rFonts w:hint="eastAsia" w:ascii="宋体" w:hAnsi="宋体" w:eastAsia="宋体"/>
          <w:sz w:val="24"/>
        </w:rPr>
        <w:t>供应商</w:t>
      </w:r>
      <w:r>
        <w:rPr>
          <w:rFonts w:ascii="宋体" w:hAnsi="宋体" w:eastAsia="宋体"/>
          <w:sz w:val="24"/>
        </w:rPr>
        <w:t>，按一家</w:t>
      </w:r>
      <w:r>
        <w:rPr>
          <w:rFonts w:hint="eastAsia" w:ascii="宋体" w:hAnsi="宋体" w:eastAsia="宋体"/>
          <w:sz w:val="24"/>
        </w:rPr>
        <w:t>供应商</w:t>
      </w:r>
      <w:r>
        <w:rPr>
          <w:rFonts w:ascii="宋体" w:hAnsi="宋体" w:eastAsia="宋体"/>
          <w:sz w:val="24"/>
        </w:rPr>
        <w:t>计算，评审后得分最高的同品牌</w:t>
      </w:r>
      <w:r>
        <w:rPr>
          <w:rFonts w:hint="eastAsia" w:ascii="宋体" w:hAnsi="宋体" w:eastAsia="宋体"/>
          <w:sz w:val="24"/>
        </w:rPr>
        <w:t>供应商</w:t>
      </w:r>
      <w:r>
        <w:rPr>
          <w:rFonts w:ascii="宋体" w:hAnsi="宋体" w:eastAsia="宋体"/>
          <w:sz w:val="24"/>
        </w:rPr>
        <w:t>获得</w:t>
      </w:r>
      <w:r>
        <w:rPr>
          <w:rFonts w:hint="eastAsia" w:ascii="宋体" w:hAnsi="宋体" w:eastAsia="宋体"/>
          <w:sz w:val="24"/>
        </w:rPr>
        <w:t>成交</w:t>
      </w:r>
      <w:r>
        <w:rPr>
          <w:rFonts w:ascii="宋体" w:hAnsi="宋体" w:eastAsia="宋体"/>
          <w:sz w:val="24"/>
        </w:rPr>
        <w:t>候选</w:t>
      </w:r>
      <w:r>
        <w:rPr>
          <w:rFonts w:hint="eastAsia" w:ascii="宋体" w:hAnsi="宋体" w:eastAsia="宋体"/>
          <w:sz w:val="24"/>
        </w:rPr>
        <w:t>供应商</w:t>
      </w:r>
      <w:r>
        <w:rPr>
          <w:rFonts w:ascii="宋体" w:hAnsi="宋体" w:eastAsia="宋体"/>
          <w:sz w:val="24"/>
        </w:rPr>
        <w:t>推荐资格；评审得分相同的，由采购人或者采购人</w:t>
      </w:r>
      <w:r>
        <w:rPr>
          <w:rFonts w:hint="eastAsia" w:ascii="宋体" w:hAnsi="宋体" w:eastAsia="宋体"/>
          <w:sz w:val="24"/>
        </w:rPr>
        <w:t>授权竞争性磋商小组</w:t>
      </w:r>
      <w:r>
        <w:rPr>
          <w:rFonts w:ascii="宋体" w:hAnsi="宋体" w:eastAsia="宋体"/>
          <w:sz w:val="24"/>
        </w:rPr>
        <w:t>按照</w:t>
      </w:r>
      <w:r>
        <w:rPr>
          <w:rFonts w:hint="eastAsia" w:ascii="宋体" w:hAnsi="宋体" w:eastAsia="宋体"/>
          <w:sz w:val="24"/>
        </w:rPr>
        <w:t>竞争性磋商文件</w:t>
      </w:r>
      <w:r>
        <w:rPr>
          <w:rFonts w:ascii="宋体" w:hAnsi="宋体" w:eastAsia="宋体"/>
          <w:sz w:val="24"/>
        </w:rPr>
        <w:t>中</w:t>
      </w:r>
      <w:r>
        <w:rPr>
          <w:rFonts w:hint="eastAsia" w:asciiTheme="minorEastAsia" w:hAnsiTheme="minorEastAsia" w:eastAsiaTheme="minorEastAsia"/>
          <w:sz w:val="24"/>
        </w:rPr>
        <w:t>评审</w:t>
      </w:r>
      <w:r>
        <w:rPr>
          <w:rFonts w:asciiTheme="minorEastAsia" w:hAnsiTheme="minorEastAsia" w:eastAsiaTheme="minorEastAsia"/>
          <w:sz w:val="24"/>
        </w:rPr>
        <w:t>方法</w:t>
      </w:r>
      <w:r>
        <w:rPr>
          <w:rFonts w:hint="eastAsia" w:asciiTheme="minorEastAsia" w:hAnsiTheme="minorEastAsia" w:eastAsiaTheme="minorEastAsia"/>
          <w:sz w:val="24"/>
        </w:rPr>
        <w:t>和标准</w:t>
      </w:r>
      <w:r>
        <w:rPr>
          <w:rFonts w:ascii="宋体" w:hAnsi="宋体" w:eastAsia="宋体"/>
          <w:sz w:val="24"/>
        </w:rPr>
        <w:t>规定的方式确定一个</w:t>
      </w:r>
      <w:r>
        <w:rPr>
          <w:rFonts w:hint="eastAsia" w:ascii="宋体" w:hAnsi="宋体" w:eastAsia="宋体"/>
          <w:sz w:val="24"/>
        </w:rPr>
        <w:t>供应商</w:t>
      </w:r>
      <w:r>
        <w:rPr>
          <w:rFonts w:ascii="宋体" w:hAnsi="宋体" w:eastAsia="宋体"/>
          <w:sz w:val="24"/>
        </w:rPr>
        <w:t>获得</w:t>
      </w:r>
      <w:r>
        <w:rPr>
          <w:rFonts w:hint="eastAsia" w:ascii="宋体" w:hAnsi="宋体" w:eastAsia="宋体"/>
          <w:sz w:val="24"/>
        </w:rPr>
        <w:t>成交</w:t>
      </w:r>
      <w:r>
        <w:rPr>
          <w:rFonts w:ascii="宋体" w:hAnsi="宋体" w:eastAsia="宋体"/>
          <w:sz w:val="24"/>
        </w:rPr>
        <w:t>候选</w:t>
      </w:r>
      <w:r>
        <w:rPr>
          <w:rFonts w:hint="eastAsia" w:ascii="宋体" w:hAnsi="宋体" w:eastAsia="宋体"/>
          <w:sz w:val="24"/>
        </w:rPr>
        <w:t>供应商</w:t>
      </w:r>
      <w:r>
        <w:rPr>
          <w:rFonts w:ascii="宋体" w:hAnsi="宋体" w:eastAsia="宋体"/>
          <w:sz w:val="24"/>
        </w:rPr>
        <w:t>推荐资格；未规定的采取随机抽取方式确定，其他同品牌</w:t>
      </w:r>
      <w:r>
        <w:rPr>
          <w:rFonts w:hint="eastAsia" w:ascii="宋体" w:hAnsi="宋体" w:eastAsia="宋体"/>
          <w:sz w:val="24"/>
        </w:rPr>
        <w:t>供应商</w:t>
      </w:r>
      <w:r>
        <w:rPr>
          <w:rFonts w:ascii="宋体" w:hAnsi="宋体" w:eastAsia="宋体"/>
          <w:sz w:val="24"/>
        </w:rPr>
        <w:t>不作为</w:t>
      </w:r>
      <w:r>
        <w:rPr>
          <w:rFonts w:hint="eastAsia" w:ascii="宋体" w:hAnsi="宋体" w:eastAsia="宋体"/>
          <w:sz w:val="24"/>
        </w:rPr>
        <w:t>成交</w:t>
      </w:r>
      <w:r>
        <w:rPr>
          <w:rFonts w:ascii="宋体" w:hAnsi="宋体" w:eastAsia="宋体"/>
          <w:sz w:val="24"/>
        </w:rPr>
        <w:t>候选</w:t>
      </w:r>
      <w:r>
        <w:rPr>
          <w:rFonts w:hint="eastAsia" w:ascii="宋体" w:hAnsi="宋体" w:eastAsia="宋体"/>
          <w:sz w:val="24"/>
        </w:rPr>
        <w:t>供应商</w:t>
      </w:r>
      <w:r>
        <w:rPr>
          <w:rFonts w:ascii="宋体" w:hAnsi="宋体" w:eastAsia="宋体"/>
          <w:sz w:val="24"/>
        </w:rPr>
        <w:t>。</w:t>
      </w:r>
    </w:p>
    <w:p w14:paraId="365DCC42">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lang w:val="en-US" w:eastAsia="zh-CN"/>
        </w:rPr>
        <w:t>4</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如一个分包内包含多种产品的，采购人或采购代理机构将在</w:t>
      </w:r>
      <w:r>
        <w:rPr>
          <w:rFonts w:hint="eastAsia" w:asciiTheme="minorEastAsia" w:hAnsiTheme="minorEastAsia" w:eastAsiaTheme="minorEastAsia"/>
          <w:sz w:val="24"/>
          <w:u w:val="single"/>
        </w:rPr>
        <w:t>供应商</w:t>
      </w:r>
      <w:r>
        <w:rPr>
          <w:rFonts w:asciiTheme="minorEastAsia" w:hAnsiTheme="minorEastAsia" w:eastAsiaTheme="minorEastAsia"/>
          <w:sz w:val="24"/>
          <w:u w:val="single"/>
        </w:rPr>
        <w:t>须知前附表</w:t>
      </w:r>
      <w:r>
        <w:rPr>
          <w:rFonts w:asciiTheme="minorEastAsia" w:hAnsiTheme="minorEastAsia" w:eastAsiaTheme="minorEastAsia"/>
          <w:sz w:val="24"/>
        </w:rPr>
        <w:t>中载明核心产品，多家</w:t>
      </w:r>
      <w:r>
        <w:rPr>
          <w:rFonts w:hint="eastAsia" w:asciiTheme="minorEastAsia" w:hAnsiTheme="minorEastAsia" w:eastAsiaTheme="minorEastAsia"/>
          <w:sz w:val="24"/>
        </w:rPr>
        <w:t>供应商</w:t>
      </w:r>
      <w:r>
        <w:rPr>
          <w:rFonts w:asciiTheme="minorEastAsia" w:hAnsiTheme="minorEastAsia" w:eastAsiaTheme="minorEastAsia"/>
          <w:sz w:val="24"/>
        </w:rPr>
        <w:t>提供的核心产品品牌相同的，按第2</w:t>
      </w: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sz w:val="24"/>
        </w:rPr>
        <w:t>1款</w:t>
      </w:r>
      <w:r>
        <w:rPr>
          <w:rFonts w:asciiTheme="minorEastAsia" w:hAnsiTheme="minorEastAsia" w:eastAsiaTheme="minorEastAsia"/>
          <w:sz w:val="24"/>
        </w:rPr>
        <w:t>规定处理。</w:t>
      </w:r>
    </w:p>
    <w:p w14:paraId="59DF496C">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lang w:val="en-US" w:eastAsia="zh-CN"/>
        </w:rPr>
        <w:t>4</w:t>
      </w:r>
      <w:r>
        <w:rPr>
          <w:rFonts w:asciiTheme="minorEastAsia" w:hAnsiTheme="minorEastAsia" w:eastAsiaTheme="minorEastAsia"/>
          <w:sz w:val="24"/>
        </w:rPr>
        <w:t>.</w:t>
      </w:r>
      <w:r>
        <w:rPr>
          <w:rFonts w:hint="eastAsia" w:asciiTheme="minorEastAsia" w:hAnsiTheme="minorEastAsia" w:eastAsiaTheme="minorEastAsia"/>
          <w:sz w:val="24"/>
        </w:rPr>
        <w:t>3竞争性磋商小组</w:t>
      </w:r>
      <w:r>
        <w:rPr>
          <w:rFonts w:asciiTheme="minorEastAsia" w:hAnsiTheme="minorEastAsia" w:eastAsiaTheme="minorEastAsia"/>
          <w:sz w:val="24"/>
        </w:rPr>
        <w:t>依据本项目</w:t>
      </w:r>
      <w:r>
        <w:rPr>
          <w:rFonts w:hint="eastAsia" w:asciiTheme="minorEastAsia" w:hAnsiTheme="minorEastAsia" w:eastAsiaTheme="minorEastAsia"/>
          <w:sz w:val="24"/>
        </w:rPr>
        <w:t>竞争性磋商文件</w:t>
      </w:r>
      <w:r>
        <w:rPr>
          <w:rFonts w:asciiTheme="minorEastAsia" w:hAnsiTheme="minorEastAsia" w:eastAsiaTheme="minorEastAsia"/>
          <w:sz w:val="24"/>
        </w:rPr>
        <w:t>所约定的</w:t>
      </w:r>
      <w:r>
        <w:rPr>
          <w:rFonts w:hint="eastAsia" w:asciiTheme="minorEastAsia" w:hAnsiTheme="minorEastAsia" w:eastAsiaTheme="minorEastAsia"/>
          <w:sz w:val="24"/>
        </w:rPr>
        <w:t>评审</w:t>
      </w:r>
      <w:r>
        <w:rPr>
          <w:rFonts w:asciiTheme="minorEastAsia" w:hAnsiTheme="minorEastAsia" w:eastAsiaTheme="minorEastAsia"/>
          <w:sz w:val="24"/>
        </w:rPr>
        <w:t>方法</w:t>
      </w:r>
      <w:r>
        <w:rPr>
          <w:rFonts w:hint="eastAsia" w:asciiTheme="minorEastAsia" w:hAnsiTheme="minorEastAsia" w:eastAsiaTheme="minorEastAsia"/>
          <w:sz w:val="24"/>
        </w:rPr>
        <w:t>和标准</w:t>
      </w:r>
      <w:r>
        <w:rPr>
          <w:rFonts w:asciiTheme="minorEastAsia" w:hAnsiTheme="minorEastAsia" w:eastAsiaTheme="minorEastAsia"/>
          <w:sz w:val="24"/>
        </w:rPr>
        <w:t>，</w:t>
      </w:r>
      <w:r>
        <w:rPr>
          <w:rFonts w:hint="eastAsia" w:asciiTheme="minorEastAsia" w:hAnsiTheme="minorEastAsia" w:eastAsiaTheme="minorEastAsia"/>
          <w:sz w:val="24"/>
        </w:rPr>
        <w:t>按照有效供应商</w:t>
      </w:r>
      <w:r>
        <w:rPr>
          <w:rFonts w:hint="eastAsia" w:asciiTheme="minorEastAsia" w:hAnsiTheme="minorEastAsia" w:eastAsiaTheme="minorEastAsia"/>
          <w:b/>
          <w:bCs/>
          <w:sz w:val="24"/>
        </w:rPr>
        <w:t>综合总得分由高到低</w:t>
      </w:r>
      <w:r>
        <w:rPr>
          <w:rFonts w:hint="eastAsia" w:asciiTheme="minorEastAsia" w:hAnsiTheme="minorEastAsia" w:eastAsiaTheme="minorEastAsia"/>
          <w:sz w:val="24"/>
        </w:rPr>
        <w:t>依次推荐成交候选供应商。综合总得分出现两家或两家以上相同者，按最后报价由低到高排序推荐成交候选供应商；综合总得分且最后报价均相同的，最后报价相同的，由竞争性磋商小组投票推荐成交候选供应商。</w:t>
      </w:r>
    </w:p>
    <w:p w14:paraId="546DE638">
      <w:pPr>
        <w:spacing w:line="360" w:lineRule="auto"/>
        <w:ind w:firstLine="437"/>
        <w:outlineLvl w:val="3"/>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lang w:val="en-US" w:eastAsia="zh-CN"/>
        </w:rPr>
        <w:t>5</w:t>
      </w:r>
      <w:r>
        <w:rPr>
          <w:rFonts w:asciiTheme="minorEastAsia" w:hAnsiTheme="minorEastAsia" w:eastAsiaTheme="minorEastAsia"/>
          <w:b/>
          <w:sz w:val="24"/>
        </w:rPr>
        <w:t>.</w:t>
      </w:r>
      <w:r>
        <w:rPr>
          <w:rFonts w:hint="eastAsia" w:asciiTheme="minorEastAsia" w:hAnsiTheme="minorEastAsia" w:eastAsiaTheme="minorEastAsia"/>
          <w:b/>
          <w:sz w:val="24"/>
        </w:rPr>
        <w:t>确定成交候选供应商</w:t>
      </w:r>
    </w:p>
    <w:p w14:paraId="2274515A">
      <w:pPr>
        <w:spacing w:line="360" w:lineRule="auto"/>
        <w:ind w:firstLine="470" w:firstLineChars="196"/>
        <w:rPr>
          <w:rFonts w:ascii="宋体" w:hAnsi="宋体" w:eastAsia="宋体"/>
          <w:sz w:val="24"/>
        </w:rPr>
      </w:pPr>
      <w:r>
        <w:rPr>
          <w:rFonts w:hint="eastAsia" w:ascii="宋体" w:hAnsi="宋体" w:eastAsia="宋体"/>
          <w:sz w:val="24"/>
        </w:rPr>
        <w:t>2</w:t>
      </w:r>
      <w:r>
        <w:rPr>
          <w:rFonts w:hint="eastAsia" w:ascii="宋体" w:hAnsi="宋体" w:eastAsia="宋体"/>
          <w:sz w:val="24"/>
          <w:lang w:val="en-US" w:eastAsia="zh-CN"/>
        </w:rPr>
        <w:t>5</w:t>
      </w:r>
      <w:r>
        <w:rPr>
          <w:rFonts w:hint="eastAsia" w:ascii="宋体" w:hAnsi="宋体" w:eastAsia="宋体"/>
          <w:sz w:val="24"/>
        </w:rPr>
        <w:t>.1竞争性磋商小组根据</w:t>
      </w:r>
      <w:r>
        <w:rPr>
          <w:rFonts w:hint="eastAsia" w:asciiTheme="minorEastAsia" w:hAnsiTheme="minorEastAsia" w:eastAsiaTheme="minorEastAsia"/>
          <w:b/>
          <w:bCs/>
          <w:sz w:val="24"/>
        </w:rPr>
        <w:t>综合评分的结果</w:t>
      </w:r>
      <w:r>
        <w:rPr>
          <w:rFonts w:hint="eastAsia" w:ascii="宋体" w:hAnsi="宋体" w:eastAsia="宋体"/>
          <w:sz w:val="24"/>
        </w:rPr>
        <w:t>和</w:t>
      </w:r>
      <w:r>
        <w:rPr>
          <w:rFonts w:hint="eastAsia" w:asciiTheme="minorEastAsia" w:hAnsiTheme="minorEastAsia" w:eastAsiaTheme="minorEastAsia"/>
          <w:sz w:val="24"/>
          <w:u w:val="single"/>
        </w:rPr>
        <w:t>供应商</w:t>
      </w:r>
      <w:r>
        <w:rPr>
          <w:rFonts w:asciiTheme="minorEastAsia" w:hAnsiTheme="minorEastAsia" w:eastAsiaTheme="minorEastAsia"/>
          <w:sz w:val="24"/>
          <w:u w:val="single"/>
        </w:rPr>
        <w:t>须知前附表</w:t>
      </w:r>
      <w:r>
        <w:rPr>
          <w:rFonts w:asciiTheme="minorEastAsia" w:hAnsiTheme="minorEastAsia" w:eastAsiaTheme="minorEastAsia"/>
          <w:sz w:val="24"/>
        </w:rPr>
        <w:t>中规定</w:t>
      </w:r>
      <w:r>
        <w:rPr>
          <w:rFonts w:hint="eastAsia" w:ascii="宋体" w:hAnsi="宋体" w:eastAsia="宋体"/>
          <w:sz w:val="24"/>
        </w:rPr>
        <w:t>确定成交候选供应商，并标明排列顺序。</w:t>
      </w:r>
    </w:p>
    <w:p w14:paraId="4C612CED">
      <w:pPr>
        <w:spacing w:line="360" w:lineRule="auto"/>
        <w:ind w:firstLine="437"/>
        <w:outlineLvl w:val="3"/>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lang w:val="en-US" w:eastAsia="zh-CN"/>
        </w:rPr>
        <w:t>6</w:t>
      </w:r>
      <w:r>
        <w:rPr>
          <w:rFonts w:asciiTheme="minorEastAsia" w:hAnsiTheme="minorEastAsia" w:eastAsiaTheme="minorEastAsia"/>
          <w:b/>
          <w:sz w:val="24"/>
        </w:rPr>
        <w:t>.编写评审报告</w:t>
      </w:r>
    </w:p>
    <w:p w14:paraId="0F0449E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1评审报告是根据全体竞争性磋商小组成员签字的原始评审记录和评审结果编写的报告，评审报告由竞争性磋商小组全体成员签字。对评审结论持有异议的竞争性磋商小组成员可以书面方式阐述其不同意见和理由。竞争性磋商小组成员拒绝在评审报告上签字且不陈述其不同意见和理由的，视为同意评审结论。</w:t>
      </w:r>
    </w:p>
    <w:p w14:paraId="064F97A2">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2</w:t>
      </w:r>
      <w:r>
        <w:rPr>
          <w:rFonts w:hint="eastAsia" w:asciiTheme="minorEastAsia" w:hAnsiTheme="minorEastAsia" w:eastAsiaTheme="minorEastAsia"/>
          <w:b/>
          <w:sz w:val="24"/>
          <w:lang w:val="en-US" w:eastAsia="zh-CN"/>
        </w:rPr>
        <w:t>7</w:t>
      </w:r>
      <w:r>
        <w:rPr>
          <w:rFonts w:asciiTheme="minorEastAsia" w:hAnsiTheme="minorEastAsia" w:eastAsiaTheme="minorEastAsia"/>
          <w:b/>
          <w:sz w:val="24"/>
        </w:rPr>
        <w:t>.</w:t>
      </w:r>
      <w:r>
        <w:rPr>
          <w:rFonts w:hint="eastAsia" w:asciiTheme="minorEastAsia" w:hAnsiTheme="minorEastAsia" w:eastAsiaTheme="minorEastAsia"/>
          <w:b/>
          <w:sz w:val="24"/>
        </w:rPr>
        <w:t>保密要求</w:t>
      </w:r>
    </w:p>
    <w:p w14:paraId="35D89C43">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lang w:val="en-US" w:eastAsia="zh-CN"/>
        </w:rPr>
        <w:t>7</w:t>
      </w:r>
      <w:r>
        <w:rPr>
          <w:rFonts w:hint="eastAsia" w:ascii="宋体" w:hAnsi="宋体" w:eastAsia="宋体"/>
          <w:sz w:val="24"/>
        </w:rPr>
        <w:t>.1评审将在严格保密的情况下进行。</w:t>
      </w:r>
    </w:p>
    <w:p w14:paraId="3973EE8B">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lang w:val="en-US" w:eastAsia="zh-CN"/>
        </w:rPr>
        <w:t>7</w:t>
      </w:r>
      <w:r>
        <w:rPr>
          <w:rFonts w:hint="eastAsia" w:ascii="宋体" w:hAnsi="宋体" w:eastAsia="宋体"/>
          <w:sz w:val="24"/>
        </w:rPr>
        <w:t>.2有关人员</w:t>
      </w:r>
      <w:r>
        <w:rPr>
          <w:rFonts w:ascii="宋体" w:hAnsi="宋体" w:eastAsia="宋体"/>
          <w:sz w:val="24"/>
        </w:rPr>
        <w:t>应当</w:t>
      </w:r>
      <w:r>
        <w:rPr>
          <w:rFonts w:hint="eastAsia" w:ascii="宋体" w:hAnsi="宋体" w:eastAsia="宋体"/>
          <w:sz w:val="24"/>
        </w:rPr>
        <w:t>遵</w:t>
      </w:r>
      <w:r>
        <w:rPr>
          <w:rFonts w:ascii="宋体" w:hAnsi="宋体" w:eastAsia="宋体"/>
          <w:sz w:val="24"/>
        </w:rPr>
        <w:t>守</w:t>
      </w:r>
      <w:r>
        <w:rPr>
          <w:rFonts w:hint="eastAsia" w:ascii="宋体" w:hAnsi="宋体" w:eastAsia="宋体"/>
          <w:sz w:val="24"/>
        </w:rPr>
        <w:t>评审</w:t>
      </w:r>
      <w:r>
        <w:rPr>
          <w:rFonts w:ascii="宋体" w:hAnsi="宋体" w:eastAsia="宋体"/>
          <w:sz w:val="24"/>
        </w:rPr>
        <w:t>工作纪律，不得</w:t>
      </w:r>
      <w:r>
        <w:rPr>
          <w:rFonts w:hint="eastAsia" w:ascii="宋体" w:hAnsi="宋体" w:eastAsia="宋体"/>
          <w:sz w:val="24"/>
        </w:rPr>
        <w:t>泄露评审文件</w:t>
      </w:r>
      <w:r>
        <w:rPr>
          <w:rFonts w:ascii="宋体" w:hAnsi="宋体" w:eastAsia="宋体"/>
          <w:sz w:val="24"/>
        </w:rPr>
        <w:t>、</w:t>
      </w:r>
      <w:r>
        <w:rPr>
          <w:rFonts w:hint="eastAsia" w:ascii="宋体" w:hAnsi="宋体" w:eastAsia="宋体"/>
          <w:sz w:val="24"/>
        </w:rPr>
        <w:t>评审</w:t>
      </w:r>
      <w:r>
        <w:rPr>
          <w:rFonts w:ascii="宋体" w:hAnsi="宋体" w:eastAsia="宋体"/>
          <w:sz w:val="24"/>
        </w:rPr>
        <w:t>情况和</w:t>
      </w:r>
      <w:r>
        <w:rPr>
          <w:rFonts w:hint="eastAsia" w:ascii="宋体" w:hAnsi="宋体" w:eastAsia="宋体"/>
          <w:sz w:val="24"/>
        </w:rPr>
        <w:t>评审</w:t>
      </w:r>
      <w:r>
        <w:rPr>
          <w:rFonts w:ascii="宋体" w:hAnsi="宋体" w:eastAsia="宋体"/>
          <w:sz w:val="24"/>
        </w:rPr>
        <w:t>中获悉的</w:t>
      </w:r>
      <w:r>
        <w:rPr>
          <w:rFonts w:hint="eastAsia" w:ascii="宋体" w:hAnsi="宋体" w:eastAsia="宋体"/>
          <w:sz w:val="24"/>
        </w:rPr>
        <w:t>国家秘密、</w:t>
      </w:r>
      <w:r>
        <w:rPr>
          <w:rFonts w:ascii="宋体" w:hAnsi="宋体" w:eastAsia="宋体"/>
          <w:sz w:val="24"/>
        </w:rPr>
        <w:t>商业秘密。</w:t>
      </w:r>
    </w:p>
    <w:p w14:paraId="5AB8F85E">
      <w:pPr>
        <w:spacing w:line="360" w:lineRule="auto"/>
        <w:ind w:firstLine="437"/>
        <w:outlineLvl w:val="3"/>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lang w:val="en-US" w:eastAsia="zh-CN"/>
        </w:rPr>
        <w:t>8</w:t>
      </w:r>
      <w:r>
        <w:rPr>
          <w:rFonts w:asciiTheme="minorEastAsia" w:hAnsiTheme="minorEastAsia" w:eastAsiaTheme="minorEastAsia"/>
          <w:b/>
          <w:sz w:val="24"/>
        </w:rPr>
        <w:t>.成交结果公告</w:t>
      </w:r>
    </w:p>
    <w:p w14:paraId="77554BCB">
      <w:pPr>
        <w:spacing w:line="360" w:lineRule="auto"/>
        <w:ind w:firstLine="470" w:firstLineChars="196"/>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lang w:val="en-US" w:eastAsia="zh-CN"/>
        </w:rPr>
        <w:t>8</w:t>
      </w:r>
      <w:r>
        <w:rPr>
          <w:rFonts w:asciiTheme="minorEastAsia" w:hAnsiTheme="minorEastAsia" w:eastAsiaTheme="minorEastAsia"/>
          <w:sz w:val="24"/>
        </w:rPr>
        <w:t>.1为体现“公开、公平、公正”的原则，</w:t>
      </w:r>
      <w:r>
        <w:rPr>
          <w:rFonts w:hint="eastAsia" w:asciiTheme="minorEastAsia" w:hAnsiTheme="minorEastAsia" w:eastAsiaTheme="minorEastAsia"/>
          <w:sz w:val="24"/>
        </w:rPr>
        <w:t>竞争性磋商</w:t>
      </w:r>
      <w:r>
        <w:rPr>
          <w:rFonts w:asciiTheme="minorEastAsia" w:hAnsiTheme="minorEastAsia" w:eastAsiaTheme="minorEastAsia"/>
          <w:sz w:val="24"/>
        </w:rPr>
        <w:t>结束后，</w:t>
      </w:r>
      <w:r>
        <w:rPr>
          <w:rFonts w:hint="eastAsia" w:asciiTheme="minorEastAsia" w:hAnsiTheme="minorEastAsia" w:eastAsiaTheme="minorEastAsia"/>
          <w:sz w:val="24"/>
        </w:rPr>
        <w:t>采购代理机构将在采购公告发布媒介</w:t>
      </w:r>
      <w:r>
        <w:rPr>
          <w:rFonts w:asciiTheme="minorEastAsia" w:hAnsiTheme="minorEastAsia" w:eastAsiaTheme="minorEastAsia"/>
          <w:sz w:val="24"/>
        </w:rPr>
        <w:t>上发布成交结果公告。</w:t>
      </w:r>
    </w:p>
    <w:p w14:paraId="283087E1">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lang w:val="en-US" w:eastAsia="zh-CN"/>
        </w:rPr>
        <w:t>8</w:t>
      </w:r>
      <w:r>
        <w:rPr>
          <w:rFonts w:asciiTheme="minorEastAsia" w:hAnsiTheme="minorEastAsia" w:eastAsiaTheme="minorEastAsia"/>
          <w:sz w:val="24"/>
        </w:rPr>
        <w:t>.2成交结果公告内容应当包括采购人及其委托的采购代理机构的名称、地址、联系方式，项目名称和项目编号，成交供应商名称、地址和成交金额，成交结果公告期限。</w:t>
      </w:r>
    </w:p>
    <w:p w14:paraId="2B97C16F">
      <w:pPr>
        <w:spacing w:line="360" w:lineRule="auto"/>
        <w:ind w:firstLine="437"/>
        <w:outlineLvl w:val="3"/>
        <w:rPr>
          <w:rFonts w:ascii="宋体" w:hAnsi="宋体" w:eastAsia="宋体"/>
          <w:b/>
          <w:sz w:val="24"/>
        </w:rPr>
      </w:pPr>
      <w:r>
        <w:rPr>
          <w:rFonts w:ascii="宋体" w:hAnsi="宋体" w:eastAsia="宋体"/>
          <w:b/>
          <w:sz w:val="24"/>
        </w:rPr>
        <w:t>2</w:t>
      </w:r>
      <w:r>
        <w:rPr>
          <w:rFonts w:hint="eastAsia" w:ascii="宋体" w:hAnsi="宋体" w:eastAsia="宋体"/>
          <w:b/>
          <w:sz w:val="24"/>
          <w:lang w:val="en-US" w:eastAsia="zh-CN"/>
        </w:rPr>
        <w:t>9</w:t>
      </w:r>
      <w:r>
        <w:rPr>
          <w:rFonts w:ascii="宋体" w:hAnsi="宋体" w:eastAsia="宋体"/>
          <w:b/>
          <w:sz w:val="24"/>
        </w:rPr>
        <w:t>.成交</w:t>
      </w:r>
      <w:r>
        <w:rPr>
          <w:rFonts w:asciiTheme="minorEastAsia" w:hAnsiTheme="minorEastAsia" w:eastAsiaTheme="minorEastAsia"/>
          <w:b/>
          <w:sz w:val="24"/>
        </w:rPr>
        <w:t>通知书</w:t>
      </w:r>
    </w:p>
    <w:p w14:paraId="18D7CEB6">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lang w:val="en-US" w:eastAsia="zh-CN"/>
        </w:rPr>
        <w:t>9</w:t>
      </w:r>
      <w:r>
        <w:rPr>
          <w:rFonts w:ascii="宋体" w:hAnsi="宋体" w:eastAsia="宋体"/>
          <w:sz w:val="24"/>
        </w:rPr>
        <w:t>.1采购代理机构发布成交结果公告的同时</w:t>
      </w:r>
      <w:r>
        <w:rPr>
          <w:rFonts w:asciiTheme="minorEastAsia" w:hAnsiTheme="minorEastAsia" w:eastAsiaTheme="minorEastAsia"/>
          <w:sz w:val="24"/>
        </w:rPr>
        <w:t>以</w:t>
      </w:r>
      <w:r>
        <w:rPr>
          <w:rFonts w:hint="eastAsia" w:asciiTheme="minorEastAsia" w:hAnsiTheme="minorEastAsia" w:eastAsiaTheme="minorEastAsia"/>
          <w:sz w:val="24"/>
          <w:u w:val="single"/>
        </w:rPr>
        <w:t>供应商须知前附表</w:t>
      </w:r>
      <w:r>
        <w:rPr>
          <w:rFonts w:hint="eastAsia" w:asciiTheme="minorEastAsia" w:hAnsiTheme="minorEastAsia" w:eastAsiaTheme="minorEastAsia"/>
          <w:sz w:val="24"/>
        </w:rPr>
        <w:t>规定的</w:t>
      </w:r>
      <w:r>
        <w:rPr>
          <w:rFonts w:asciiTheme="minorEastAsia" w:hAnsiTheme="minorEastAsia" w:eastAsiaTheme="minorEastAsia"/>
          <w:sz w:val="24"/>
        </w:rPr>
        <w:t>形式</w:t>
      </w:r>
      <w:r>
        <w:rPr>
          <w:rFonts w:ascii="宋体" w:hAnsi="宋体" w:eastAsia="宋体"/>
          <w:sz w:val="24"/>
        </w:rPr>
        <w:t>向成交供应商发出成交通知书。</w:t>
      </w:r>
    </w:p>
    <w:p w14:paraId="46436CFA">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lang w:val="en-US" w:eastAsia="zh-CN"/>
        </w:rPr>
        <w:t>9</w:t>
      </w:r>
      <w:r>
        <w:rPr>
          <w:rFonts w:ascii="宋体" w:hAnsi="宋体" w:eastAsia="宋体"/>
          <w:sz w:val="24"/>
        </w:rPr>
        <w:t>.2成交通知书对采购人和成交供应商具有同等法律效力。成交通知书发出以后，采购人改变成交结果或者成交供应商放弃成交资格，应当承担相应的法律责任。</w:t>
      </w:r>
    </w:p>
    <w:p w14:paraId="5F38BEC4">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lang w:val="en-US" w:eastAsia="zh-CN"/>
        </w:rPr>
        <w:t>9</w:t>
      </w:r>
      <w:r>
        <w:rPr>
          <w:rFonts w:ascii="宋体" w:hAnsi="宋体" w:eastAsia="宋体"/>
          <w:sz w:val="24"/>
        </w:rPr>
        <w:t>.3成交通知书是合同的组成部分。</w:t>
      </w:r>
    </w:p>
    <w:p w14:paraId="7346C452">
      <w:pPr>
        <w:spacing w:line="360" w:lineRule="auto"/>
        <w:ind w:firstLine="437"/>
        <w:outlineLvl w:val="3"/>
        <w:rPr>
          <w:rFonts w:ascii="宋体" w:hAnsi="宋体" w:eastAsia="宋体"/>
          <w:b/>
          <w:sz w:val="24"/>
        </w:rPr>
      </w:pPr>
      <w:r>
        <w:rPr>
          <w:rFonts w:hint="eastAsia" w:ascii="宋体" w:hAnsi="宋体" w:eastAsia="宋体"/>
          <w:b/>
          <w:sz w:val="24"/>
          <w:lang w:val="en-US" w:eastAsia="zh-CN"/>
        </w:rPr>
        <w:t>30</w:t>
      </w:r>
      <w:r>
        <w:rPr>
          <w:rFonts w:ascii="宋体" w:hAnsi="宋体" w:eastAsia="宋体"/>
          <w:b/>
          <w:sz w:val="24"/>
        </w:rPr>
        <w:t>.告知</w:t>
      </w:r>
      <w:r>
        <w:rPr>
          <w:rFonts w:hint="eastAsia" w:ascii="宋体" w:hAnsi="宋体" w:eastAsia="宋体"/>
          <w:b/>
          <w:sz w:val="24"/>
        </w:rPr>
        <w:t>竞争性磋商</w:t>
      </w:r>
      <w:r>
        <w:rPr>
          <w:rFonts w:ascii="宋体" w:hAnsi="宋体" w:eastAsia="宋体"/>
          <w:b/>
          <w:sz w:val="24"/>
        </w:rPr>
        <w:t>结果</w:t>
      </w:r>
    </w:p>
    <w:p w14:paraId="0CE4693D">
      <w:pPr>
        <w:spacing w:line="360" w:lineRule="auto"/>
        <w:ind w:firstLine="435"/>
        <w:rPr>
          <w:rFonts w:ascii="宋体" w:hAnsi="宋体" w:eastAsia="宋体"/>
          <w:sz w:val="24"/>
        </w:rPr>
      </w:pPr>
      <w:r>
        <w:rPr>
          <w:rFonts w:hint="eastAsia" w:ascii="宋体" w:hAnsi="宋体" w:eastAsia="宋体"/>
          <w:sz w:val="24"/>
          <w:lang w:val="en-US" w:eastAsia="zh-CN"/>
        </w:rPr>
        <w:t>30</w:t>
      </w:r>
      <w:r>
        <w:rPr>
          <w:rFonts w:ascii="宋体" w:hAnsi="宋体" w:eastAsia="宋体"/>
          <w:sz w:val="24"/>
        </w:rPr>
        <w:t>.1在公告</w:t>
      </w:r>
      <w:r>
        <w:rPr>
          <w:rFonts w:hint="eastAsia" w:ascii="宋体" w:hAnsi="宋体" w:eastAsia="宋体"/>
          <w:sz w:val="24"/>
        </w:rPr>
        <w:t>成交</w:t>
      </w:r>
      <w:r>
        <w:rPr>
          <w:rFonts w:ascii="宋体" w:hAnsi="宋体" w:eastAsia="宋体"/>
          <w:sz w:val="24"/>
        </w:rPr>
        <w:t>结果的同时，采购代理机构同时以</w:t>
      </w:r>
      <w:r>
        <w:rPr>
          <w:rFonts w:hint="eastAsia" w:ascii="宋体" w:hAnsi="宋体" w:eastAsia="宋体"/>
          <w:sz w:val="24"/>
          <w:u w:val="single"/>
        </w:rPr>
        <w:t>供应商</w:t>
      </w:r>
      <w:r>
        <w:rPr>
          <w:rFonts w:ascii="宋体" w:hAnsi="宋体" w:eastAsia="宋体"/>
          <w:sz w:val="24"/>
          <w:u w:val="single"/>
        </w:rPr>
        <w:t>须知前附表</w:t>
      </w:r>
      <w:r>
        <w:rPr>
          <w:rFonts w:ascii="宋体" w:hAnsi="宋体" w:eastAsia="宋体"/>
          <w:sz w:val="24"/>
        </w:rPr>
        <w:t>规定的形式告知</w:t>
      </w:r>
      <w:r>
        <w:rPr>
          <w:rFonts w:hint="eastAsia" w:ascii="宋体" w:hAnsi="宋体" w:eastAsia="宋体"/>
          <w:sz w:val="24"/>
        </w:rPr>
        <w:t>竞争性磋商结果</w:t>
      </w:r>
      <w:r>
        <w:rPr>
          <w:rFonts w:ascii="宋体" w:hAnsi="宋体" w:eastAsia="宋体"/>
          <w:sz w:val="24"/>
        </w:rPr>
        <w:t>。</w:t>
      </w:r>
    </w:p>
    <w:p w14:paraId="61E5E851">
      <w:pPr>
        <w:spacing w:line="360" w:lineRule="auto"/>
        <w:ind w:firstLine="480" w:firstLineChars="200"/>
        <w:rPr>
          <w:rFonts w:ascii="宋体" w:hAnsi="宋体" w:eastAsia="宋体"/>
          <w:sz w:val="24"/>
        </w:rPr>
      </w:pPr>
      <w:r>
        <w:rPr>
          <w:rFonts w:hint="eastAsia" w:ascii="宋体" w:hAnsi="宋体" w:eastAsia="宋体"/>
          <w:sz w:val="24"/>
          <w:lang w:val="en-US" w:eastAsia="zh-CN"/>
        </w:rPr>
        <w:t>30</w:t>
      </w:r>
      <w:r>
        <w:rPr>
          <w:rFonts w:ascii="宋体" w:hAnsi="宋体" w:eastAsia="宋体"/>
          <w:sz w:val="24"/>
        </w:rPr>
        <w:t>.</w:t>
      </w:r>
      <w:r>
        <w:rPr>
          <w:rFonts w:hint="eastAsia" w:ascii="宋体" w:hAnsi="宋体" w:eastAsia="宋体"/>
          <w:sz w:val="24"/>
        </w:rPr>
        <w:t>2</w:t>
      </w:r>
      <w:r>
        <w:rPr>
          <w:rFonts w:ascii="宋体" w:hAnsi="宋体" w:eastAsia="宋体"/>
          <w:sz w:val="24"/>
        </w:rPr>
        <w:t>采购代理机构对未成交的供应商不做未成交原因的解释。</w:t>
      </w:r>
    </w:p>
    <w:p w14:paraId="310EEC0C">
      <w:pPr>
        <w:spacing w:line="360" w:lineRule="auto"/>
        <w:ind w:firstLine="437"/>
        <w:outlineLvl w:val="3"/>
        <w:rPr>
          <w:rFonts w:ascii="宋体" w:hAnsi="宋体" w:eastAsia="宋体"/>
          <w:b/>
          <w:sz w:val="24"/>
        </w:rPr>
      </w:pPr>
      <w:r>
        <w:rPr>
          <w:rFonts w:hint="eastAsia" w:ascii="宋体" w:hAnsi="宋体" w:eastAsia="宋体"/>
          <w:b/>
          <w:sz w:val="24"/>
          <w:lang w:val="en-US" w:eastAsia="zh-CN"/>
        </w:rPr>
        <w:t>31</w:t>
      </w:r>
      <w:r>
        <w:rPr>
          <w:rFonts w:ascii="宋体" w:hAnsi="宋体" w:eastAsia="宋体"/>
          <w:b/>
          <w:sz w:val="24"/>
        </w:rPr>
        <w:t>.履约保证金</w:t>
      </w:r>
    </w:p>
    <w:p w14:paraId="31E1A67C">
      <w:pPr>
        <w:spacing w:line="360" w:lineRule="auto"/>
        <w:ind w:firstLine="435"/>
        <w:rPr>
          <w:rFonts w:ascii="宋体" w:hAnsi="宋体" w:eastAsia="宋体"/>
          <w:sz w:val="24"/>
        </w:rPr>
      </w:pPr>
      <w:r>
        <w:rPr>
          <w:rFonts w:hint="eastAsia" w:ascii="宋体" w:hAnsi="宋体" w:eastAsia="宋体"/>
          <w:sz w:val="24"/>
          <w:lang w:val="en-US" w:eastAsia="zh-CN"/>
        </w:rPr>
        <w:t>31</w:t>
      </w:r>
      <w:r>
        <w:rPr>
          <w:rFonts w:ascii="宋体" w:hAnsi="宋体" w:eastAsia="宋体"/>
          <w:sz w:val="24"/>
        </w:rPr>
        <w:t>.1成交供应商应按照</w:t>
      </w:r>
      <w:r>
        <w:rPr>
          <w:rFonts w:ascii="宋体" w:hAnsi="宋体" w:eastAsia="宋体"/>
          <w:sz w:val="24"/>
          <w:u w:val="single"/>
        </w:rPr>
        <w:t>供应商须知前附表</w:t>
      </w:r>
      <w:r>
        <w:rPr>
          <w:rFonts w:ascii="宋体" w:hAnsi="宋体" w:eastAsia="宋体"/>
          <w:sz w:val="24"/>
        </w:rPr>
        <w:t>规定</w:t>
      </w:r>
      <w:r>
        <w:rPr>
          <w:rFonts w:hint="eastAsia" w:ascii="宋体" w:hAnsi="宋体" w:eastAsia="宋体"/>
          <w:sz w:val="24"/>
        </w:rPr>
        <w:t>缴纳</w:t>
      </w:r>
      <w:r>
        <w:rPr>
          <w:rFonts w:ascii="宋体" w:hAnsi="宋体" w:eastAsia="宋体"/>
          <w:sz w:val="24"/>
        </w:rPr>
        <w:t>履约保证金。</w:t>
      </w:r>
    </w:p>
    <w:p w14:paraId="604F3F86">
      <w:pPr>
        <w:spacing w:line="360" w:lineRule="auto"/>
        <w:ind w:firstLine="435"/>
        <w:rPr>
          <w:rFonts w:ascii="宋体" w:hAnsi="宋体" w:eastAsia="宋体"/>
          <w:sz w:val="24"/>
        </w:rPr>
      </w:pPr>
      <w:r>
        <w:rPr>
          <w:rFonts w:hint="eastAsia" w:ascii="宋体" w:hAnsi="宋体" w:eastAsia="宋体"/>
          <w:sz w:val="24"/>
          <w:lang w:val="en-US" w:eastAsia="zh-CN"/>
        </w:rPr>
        <w:t>31</w:t>
      </w:r>
      <w:r>
        <w:rPr>
          <w:rFonts w:ascii="宋体" w:hAnsi="宋体" w:eastAsia="宋体"/>
          <w:sz w:val="24"/>
        </w:rPr>
        <w:t>.2如果成交供应商没有按照上述履约保证金的规定执行，将视为放弃成交资格。在此情况下，采购人可确定下一成交候选供应商为成交供应商，也可以重新开展采购活动。</w:t>
      </w:r>
    </w:p>
    <w:p w14:paraId="0448D0D0">
      <w:pPr>
        <w:spacing w:line="360" w:lineRule="auto"/>
        <w:ind w:firstLine="437"/>
        <w:outlineLvl w:val="3"/>
        <w:rPr>
          <w:rFonts w:ascii="宋体" w:hAnsi="宋体" w:eastAsia="宋体"/>
          <w:b/>
          <w:sz w:val="24"/>
        </w:rPr>
      </w:pPr>
      <w:r>
        <w:rPr>
          <w:rFonts w:hint="eastAsia" w:ascii="宋体" w:hAnsi="宋体" w:eastAsia="宋体"/>
          <w:b/>
          <w:sz w:val="24"/>
        </w:rPr>
        <w:t>3</w:t>
      </w:r>
      <w:r>
        <w:rPr>
          <w:rFonts w:hint="eastAsia" w:ascii="宋体" w:hAnsi="宋体" w:eastAsia="宋体"/>
          <w:b/>
          <w:sz w:val="24"/>
          <w:lang w:val="en-US" w:eastAsia="zh-CN"/>
        </w:rPr>
        <w:t>2</w:t>
      </w:r>
      <w:r>
        <w:rPr>
          <w:rFonts w:ascii="宋体" w:hAnsi="宋体" w:eastAsia="宋体"/>
          <w:b/>
          <w:sz w:val="24"/>
        </w:rPr>
        <w:t>.</w:t>
      </w:r>
      <w:r>
        <w:rPr>
          <w:rFonts w:hint="eastAsia" w:ascii="宋体" w:hAnsi="宋体" w:eastAsia="宋体"/>
          <w:b/>
          <w:sz w:val="24"/>
        </w:rPr>
        <w:t>采购代理服务费</w:t>
      </w:r>
    </w:p>
    <w:p w14:paraId="218F06F4">
      <w:pPr>
        <w:spacing w:line="360" w:lineRule="auto"/>
        <w:ind w:firstLine="435"/>
        <w:rPr>
          <w:rFonts w:ascii="宋体" w:hAnsi="宋体" w:eastAsia="宋体"/>
          <w:sz w:val="24"/>
        </w:rPr>
      </w:pPr>
      <w:r>
        <w:rPr>
          <w:rFonts w:hint="eastAsia" w:ascii="宋体" w:hAnsi="宋体" w:eastAsia="宋体"/>
          <w:sz w:val="24"/>
        </w:rPr>
        <w:t>31</w:t>
      </w:r>
      <w:r>
        <w:rPr>
          <w:rFonts w:ascii="宋体" w:hAnsi="宋体" w:eastAsia="宋体"/>
          <w:sz w:val="24"/>
        </w:rPr>
        <w:t>.1本项目</w:t>
      </w:r>
      <w:r>
        <w:rPr>
          <w:rFonts w:hint="eastAsia" w:ascii="宋体" w:hAnsi="宋体" w:eastAsia="宋体"/>
          <w:sz w:val="24"/>
        </w:rPr>
        <w:t>采购代理服务费</w:t>
      </w:r>
      <w:r>
        <w:rPr>
          <w:rFonts w:ascii="宋体" w:hAnsi="宋体" w:eastAsia="宋体"/>
          <w:sz w:val="24"/>
        </w:rPr>
        <w:t>的收取按</w:t>
      </w:r>
      <w:r>
        <w:rPr>
          <w:rFonts w:hint="eastAsia" w:ascii="宋体" w:hAnsi="宋体" w:eastAsia="宋体"/>
          <w:sz w:val="24"/>
          <w:u w:val="single"/>
        </w:rPr>
        <w:t>供应商</w:t>
      </w:r>
      <w:r>
        <w:rPr>
          <w:rFonts w:ascii="宋体" w:hAnsi="宋体" w:eastAsia="宋体"/>
          <w:sz w:val="24"/>
          <w:u w:val="single"/>
        </w:rPr>
        <w:t>须知前附表</w:t>
      </w:r>
      <w:r>
        <w:rPr>
          <w:rFonts w:ascii="宋体" w:hAnsi="宋体" w:eastAsia="宋体"/>
          <w:sz w:val="24"/>
        </w:rPr>
        <w:t>的规定执行。</w:t>
      </w:r>
    </w:p>
    <w:p w14:paraId="6D4A0E2A">
      <w:pPr>
        <w:spacing w:line="360" w:lineRule="auto"/>
        <w:ind w:firstLine="437"/>
        <w:outlineLvl w:val="3"/>
        <w:rPr>
          <w:rFonts w:ascii="宋体" w:hAnsi="宋体" w:eastAsia="宋体"/>
          <w:b/>
          <w:sz w:val="24"/>
        </w:rPr>
      </w:pPr>
      <w:r>
        <w:rPr>
          <w:rFonts w:hint="eastAsia" w:ascii="宋体" w:hAnsi="宋体" w:eastAsia="宋体"/>
          <w:b/>
          <w:sz w:val="24"/>
        </w:rPr>
        <w:t>3</w:t>
      </w:r>
      <w:r>
        <w:rPr>
          <w:rFonts w:hint="eastAsia" w:ascii="宋体" w:hAnsi="宋体" w:eastAsia="宋体"/>
          <w:b/>
          <w:sz w:val="24"/>
          <w:lang w:val="en-US" w:eastAsia="zh-CN"/>
        </w:rPr>
        <w:t>3</w:t>
      </w:r>
      <w:r>
        <w:rPr>
          <w:rFonts w:ascii="宋体" w:hAnsi="宋体" w:eastAsia="宋体"/>
          <w:b/>
          <w:sz w:val="24"/>
        </w:rPr>
        <w:t>.签订</w:t>
      </w:r>
      <w:r>
        <w:rPr>
          <w:rFonts w:asciiTheme="minorEastAsia" w:hAnsiTheme="minorEastAsia" w:eastAsiaTheme="minorEastAsia"/>
          <w:b/>
          <w:sz w:val="24"/>
        </w:rPr>
        <w:t>合同</w:t>
      </w:r>
    </w:p>
    <w:p w14:paraId="7A54BDE9">
      <w:pPr>
        <w:spacing w:line="360" w:lineRule="auto"/>
        <w:ind w:firstLine="435"/>
        <w:rPr>
          <w:rFonts w:ascii="宋体" w:hAnsi="宋体" w:eastAsia="宋体"/>
          <w:sz w:val="24"/>
        </w:rPr>
      </w:pPr>
      <w:r>
        <w:rPr>
          <w:rFonts w:hint="eastAsia" w:ascii="宋体" w:hAnsi="宋体" w:eastAsia="宋体"/>
          <w:sz w:val="24"/>
        </w:rPr>
        <w:t>3</w:t>
      </w:r>
      <w:r>
        <w:rPr>
          <w:rFonts w:hint="eastAsia" w:ascii="宋体" w:hAnsi="宋体" w:eastAsia="宋体"/>
          <w:sz w:val="24"/>
          <w:lang w:val="en-US" w:eastAsia="zh-CN"/>
        </w:rPr>
        <w:t>3</w:t>
      </w:r>
      <w:r>
        <w:rPr>
          <w:rFonts w:ascii="宋体" w:hAnsi="宋体" w:eastAsia="宋体"/>
          <w:sz w:val="24"/>
        </w:rPr>
        <w:t>.1</w:t>
      </w:r>
      <w:r>
        <w:rPr>
          <w:rFonts w:hint="eastAsia" w:ascii="宋体" w:hAnsi="宋体" w:eastAsia="宋体"/>
          <w:sz w:val="24"/>
        </w:rPr>
        <w:t>采购人与</w:t>
      </w:r>
      <w:r>
        <w:rPr>
          <w:rFonts w:ascii="宋体" w:hAnsi="宋体" w:eastAsia="宋体"/>
          <w:sz w:val="24"/>
        </w:rPr>
        <w:t>成交供应商应当自发出成交通知书之日起</w:t>
      </w:r>
      <w:r>
        <w:rPr>
          <w:rFonts w:hint="eastAsia" w:ascii="宋体" w:hAnsi="宋体" w:eastAsia="宋体"/>
          <w:sz w:val="24"/>
        </w:rPr>
        <w:t>7个工作日</w:t>
      </w:r>
      <w:r>
        <w:rPr>
          <w:rFonts w:ascii="宋体" w:hAnsi="宋体" w:eastAsia="宋体"/>
          <w:sz w:val="24"/>
        </w:rPr>
        <w:t>内签订合同。</w:t>
      </w:r>
    </w:p>
    <w:p w14:paraId="22E4A6AC">
      <w:pPr>
        <w:spacing w:line="360" w:lineRule="auto"/>
        <w:ind w:firstLine="435"/>
        <w:rPr>
          <w:rFonts w:ascii="宋体" w:hAnsi="宋体" w:eastAsia="宋体"/>
          <w:sz w:val="24"/>
        </w:rPr>
      </w:pPr>
      <w:r>
        <w:rPr>
          <w:rFonts w:hint="eastAsia" w:ascii="宋体" w:hAnsi="宋体" w:eastAsia="宋体"/>
          <w:sz w:val="24"/>
        </w:rPr>
        <w:t>3</w:t>
      </w:r>
      <w:r>
        <w:rPr>
          <w:rFonts w:hint="eastAsia" w:ascii="宋体" w:hAnsi="宋体" w:eastAsia="宋体"/>
          <w:sz w:val="24"/>
          <w:lang w:val="en-US" w:eastAsia="zh-CN"/>
        </w:rPr>
        <w:t>3</w:t>
      </w:r>
      <w:r>
        <w:rPr>
          <w:rFonts w:ascii="宋体" w:hAnsi="宋体" w:eastAsia="宋体"/>
          <w:sz w:val="24"/>
        </w:rPr>
        <w:t>.2</w:t>
      </w:r>
      <w:r>
        <w:rPr>
          <w:rFonts w:hint="eastAsia" w:ascii="宋体" w:hAnsi="宋体" w:eastAsia="宋体"/>
          <w:sz w:val="24"/>
        </w:rPr>
        <w:t>竞争性磋商文件</w:t>
      </w:r>
      <w:r>
        <w:rPr>
          <w:rFonts w:ascii="宋体" w:hAnsi="宋体" w:eastAsia="宋体"/>
          <w:sz w:val="24"/>
        </w:rPr>
        <w:t>、成交供应商的响应文件及其澄清文件等，均为签订合同的依据。</w:t>
      </w:r>
    </w:p>
    <w:p w14:paraId="0A1C0660">
      <w:pPr>
        <w:spacing w:line="360" w:lineRule="auto"/>
        <w:ind w:firstLine="470" w:firstLineChars="196"/>
        <w:rPr>
          <w:rFonts w:ascii="宋体" w:hAnsi="宋体" w:eastAsia="宋体"/>
          <w:sz w:val="24"/>
        </w:rPr>
      </w:pPr>
      <w:r>
        <w:rPr>
          <w:rFonts w:hint="eastAsia" w:ascii="宋体" w:hAnsi="宋体" w:eastAsia="宋体"/>
          <w:sz w:val="24"/>
        </w:rPr>
        <w:t>3</w:t>
      </w:r>
      <w:r>
        <w:rPr>
          <w:rFonts w:hint="eastAsia" w:ascii="宋体" w:hAnsi="宋体" w:eastAsia="宋体"/>
          <w:sz w:val="24"/>
          <w:lang w:val="en-US" w:eastAsia="zh-CN"/>
        </w:rPr>
        <w:t>3</w:t>
      </w:r>
      <w:r>
        <w:rPr>
          <w:rFonts w:ascii="宋体" w:hAnsi="宋体" w:eastAsia="宋体"/>
          <w:sz w:val="24"/>
        </w:rPr>
        <w:t>.3成交供应商拒绝与采购人签订合同的，采购人可以按照评审报告推荐的成交候选供应商名单排序，确定下一成交候选供应商为成交供应商，也可以重新开展采购活动。</w:t>
      </w:r>
      <w:r>
        <w:rPr>
          <w:rFonts w:hint="eastAsia" w:ascii="宋体" w:hAnsi="宋体" w:eastAsia="宋体"/>
          <w:sz w:val="24"/>
        </w:rPr>
        <w:t>成交供应商拒绝签订采购合同的不得参加对该项目重新开展的采购活动。</w:t>
      </w:r>
    </w:p>
    <w:p w14:paraId="1E08437F">
      <w:pPr>
        <w:spacing w:line="360" w:lineRule="auto"/>
        <w:ind w:firstLine="470" w:firstLineChars="196"/>
        <w:rPr>
          <w:rFonts w:ascii="宋体" w:hAnsi="宋体" w:eastAsia="宋体"/>
          <w:sz w:val="24"/>
        </w:rPr>
      </w:pPr>
      <w:r>
        <w:rPr>
          <w:rFonts w:hint="eastAsia" w:ascii="宋体" w:hAnsi="宋体" w:eastAsia="宋体"/>
          <w:sz w:val="24"/>
        </w:rPr>
        <w:t>3</w:t>
      </w:r>
      <w:r>
        <w:rPr>
          <w:rFonts w:hint="eastAsia" w:ascii="宋体" w:hAnsi="宋体" w:eastAsia="宋体"/>
          <w:sz w:val="24"/>
          <w:lang w:val="en-US" w:eastAsia="zh-CN"/>
        </w:rPr>
        <w:t>3</w:t>
      </w:r>
      <w:r>
        <w:rPr>
          <w:rFonts w:hint="eastAsia" w:ascii="宋体" w:hAnsi="宋体" w:eastAsia="宋体"/>
          <w:sz w:val="24"/>
        </w:rPr>
        <w:t>.</w:t>
      </w:r>
      <w:r>
        <w:rPr>
          <w:rFonts w:ascii="宋体" w:hAnsi="宋体" w:eastAsia="宋体"/>
          <w:sz w:val="24"/>
        </w:rPr>
        <w:t>4</w:t>
      </w:r>
      <w:r>
        <w:rPr>
          <w:rFonts w:hint="eastAsia" w:ascii="宋体" w:hAnsi="宋体" w:eastAsia="宋体"/>
          <w:sz w:val="24"/>
        </w:rPr>
        <w:t>享受小微企业价格扣除优惠的小微企业不得将合同分包给大中型企业，中型企业不得将合同分包给大型企业。</w:t>
      </w:r>
    </w:p>
    <w:p w14:paraId="48B5CC79">
      <w:pPr>
        <w:spacing w:line="360" w:lineRule="auto"/>
        <w:ind w:firstLine="437"/>
        <w:outlineLvl w:val="3"/>
        <w:rPr>
          <w:rFonts w:ascii="宋体" w:hAnsi="宋体" w:eastAsia="宋体"/>
          <w:b/>
          <w:sz w:val="24"/>
        </w:rPr>
      </w:pPr>
      <w:r>
        <w:rPr>
          <w:rFonts w:ascii="宋体" w:hAnsi="宋体" w:eastAsia="宋体"/>
          <w:b/>
          <w:sz w:val="24"/>
        </w:rPr>
        <w:t>3</w:t>
      </w:r>
      <w:r>
        <w:rPr>
          <w:rFonts w:hint="eastAsia" w:ascii="宋体" w:hAnsi="宋体" w:eastAsia="宋体"/>
          <w:b/>
          <w:sz w:val="24"/>
          <w:lang w:val="en-US" w:eastAsia="zh-CN"/>
        </w:rPr>
        <w:t>4</w:t>
      </w:r>
      <w:r>
        <w:rPr>
          <w:rFonts w:ascii="宋体" w:hAnsi="宋体" w:eastAsia="宋体"/>
          <w:b/>
          <w:sz w:val="24"/>
        </w:rPr>
        <w:t>.质疑的</w:t>
      </w:r>
      <w:r>
        <w:rPr>
          <w:rFonts w:asciiTheme="minorEastAsia" w:hAnsiTheme="minorEastAsia" w:eastAsiaTheme="minorEastAsia"/>
          <w:b/>
          <w:sz w:val="24"/>
        </w:rPr>
        <w:t>提出</w:t>
      </w:r>
      <w:r>
        <w:rPr>
          <w:rFonts w:ascii="宋体" w:hAnsi="宋体" w:eastAsia="宋体"/>
          <w:b/>
          <w:sz w:val="24"/>
        </w:rPr>
        <w:t>与接收</w:t>
      </w:r>
    </w:p>
    <w:p w14:paraId="68CFDE8F">
      <w:pPr>
        <w:spacing w:line="360" w:lineRule="auto"/>
        <w:ind w:firstLine="435"/>
        <w:rPr>
          <w:rFonts w:ascii="宋体" w:hAnsi="宋体" w:eastAsia="宋体"/>
          <w:sz w:val="24"/>
        </w:rPr>
      </w:pPr>
      <w:r>
        <w:rPr>
          <w:rFonts w:ascii="宋体" w:hAnsi="宋体" w:eastAsia="宋体"/>
          <w:sz w:val="24"/>
        </w:rPr>
        <w:t>3</w:t>
      </w:r>
      <w:r>
        <w:rPr>
          <w:rFonts w:hint="eastAsia" w:ascii="宋体" w:hAnsi="宋体" w:eastAsia="宋体"/>
          <w:sz w:val="24"/>
          <w:lang w:val="en-US" w:eastAsia="zh-CN"/>
        </w:rPr>
        <w:t>4</w:t>
      </w:r>
      <w:r>
        <w:rPr>
          <w:rFonts w:ascii="宋体" w:hAnsi="宋体" w:eastAsia="宋体"/>
          <w:sz w:val="24"/>
        </w:rPr>
        <w:t>.1供应商认为</w:t>
      </w:r>
      <w:r>
        <w:rPr>
          <w:rFonts w:hint="eastAsia" w:ascii="宋体" w:hAnsi="宋体" w:eastAsia="宋体"/>
          <w:sz w:val="24"/>
        </w:rPr>
        <w:t>竞争性磋商文件</w:t>
      </w:r>
      <w:r>
        <w:rPr>
          <w:rFonts w:ascii="宋体" w:hAnsi="宋体" w:eastAsia="宋体"/>
          <w:sz w:val="24"/>
        </w:rPr>
        <w:t>、采购过程、成交结果使自己的权益受到损害的，可以向采购人或其委托的采购代理机构提出质疑。</w:t>
      </w:r>
    </w:p>
    <w:p w14:paraId="20D60556">
      <w:pPr>
        <w:spacing w:line="360" w:lineRule="auto"/>
        <w:ind w:firstLine="470" w:firstLineChars="196"/>
        <w:rPr>
          <w:rFonts w:ascii="宋体" w:hAnsi="宋体" w:eastAsia="宋体"/>
          <w:sz w:val="24"/>
        </w:rPr>
      </w:pPr>
      <w:r>
        <w:rPr>
          <w:rFonts w:ascii="宋体" w:hAnsi="宋体" w:eastAsia="宋体"/>
          <w:sz w:val="24"/>
        </w:rPr>
        <w:t>3</w:t>
      </w:r>
      <w:r>
        <w:rPr>
          <w:rFonts w:hint="eastAsia" w:ascii="宋体" w:hAnsi="宋体" w:eastAsia="宋体"/>
          <w:sz w:val="24"/>
          <w:lang w:val="en-US" w:eastAsia="zh-CN"/>
        </w:rPr>
        <w:t>4</w:t>
      </w:r>
      <w:r>
        <w:rPr>
          <w:rFonts w:ascii="宋体" w:hAnsi="宋体" w:eastAsia="宋体"/>
          <w:sz w:val="24"/>
        </w:rPr>
        <w:t>.2质疑供应商</w:t>
      </w:r>
      <w:r>
        <w:rPr>
          <w:rFonts w:hint="eastAsia" w:ascii="宋体" w:hAnsi="宋体" w:eastAsia="宋体"/>
          <w:sz w:val="24"/>
        </w:rPr>
        <w:t>应在知道或者应知其权益受到损害之日起3日内，以书面形式向采购人、采购代理机构提出质疑</w:t>
      </w:r>
      <w:r>
        <w:rPr>
          <w:rFonts w:hint="eastAsia" w:asciiTheme="minorEastAsia" w:hAnsiTheme="minorEastAsia" w:eastAsiaTheme="minorEastAsia"/>
          <w:sz w:val="24"/>
        </w:rPr>
        <w:t>。</w:t>
      </w:r>
      <w:r>
        <w:rPr>
          <w:rFonts w:ascii="宋体" w:hAnsi="宋体" w:eastAsia="宋体"/>
          <w:sz w:val="24"/>
        </w:rPr>
        <w:t>针对同一采购程序环节的质疑应一次性提出。</w:t>
      </w:r>
      <w:r>
        <w:rPr>
          <w:rFonts w:hint="eastAsia" w:ascii="宋体" w:hAnsi="宋体" w:eastAsia="宋体"/>
          <w:sz w:val="24"/>
        </w:rPr>
        <w:t>采购人、采购代理机构自收到质疑之日起3日内作出答复。</w:t>
      </w:r>
    </w:p>
    <w:p w14:paraId="0C41FF27">
      <w:pPr>
        <w:spacing w:line="360" w:lineRule="auto"/>
        <w:ind w:firstLine="435"/>
        <w:rPr>
          <w:rFonts w:ascii="宋体" w:hAnsi="宋体" w:eastAsia="宋体"/>
          <w:sz w:val="24"/>
        </w:rPr>
      </w:pPr>
      <w:r>
        <w:rPr>
          <w:rFonts w:ascii="宋体" w:hAnsi="宋体" w:eastAsia="宋体"/>
          <w:sz w:val="24"/>
        </w:rPr>
        <w:t>3</w:t>
      </w:r>
      <w:r>
        <w:rPr>
          <w:rFonts w:hint="eastAsia" w:ascii="宋体" w:hAnsi="宋体" w:eastAsia="宋体"/>
          <w:sz w:val="24"/>
          <w:lang w:val="en-US" w:eastAsia="zh-CN"/>
        </w:rPr>
        <w:t>4</w:t>
      </w:r>
      <w:r>
        <w:rPr>
          <w:rFonts w:ascii="宋体" w:hAnsi="宋体" w:eastAsia="宋体"/>
          <w:sz w:val="24"/>
        </w:rPr>
        <w:t>.3</w:t>
      </w:r>
      <w:r>
        <w:rPr>
          <w:rFonts w:hint="eastAsia" w:ascii="宋体" w:hAnsi="宋体" w:eastAsia="宋体"/>
          <w:sz w:val="24"/>
        </w:rPr>
        <w:t>采购代理机构质疑函接收部门、联系电话和通讯地址</w:t>
      </w:r>
      <w:r>
        <w:rPr>
          <w:rFonts w:ascii="宋体" w:hAnsi="宋体" w:eastAsia="宋体"/>
          <w:sz w:val="24"/>
        </w:rPr>
        <w:t>，见</w:t>
      </w:r>
      <w:r>
        <w:rPr>
          <w:rFonts w:ascii="宋体" w:hAnsi="宋体" w:eastAsia="宋体"/>
          <w:sz w:val="24"/>
          <w:u w:val="single"/>
        </w:rPr>
        <w:t>供应商须知前附表</w:t>
      </w:r>
      <w:r>
        <w:rPr>
          <w:rFonts w:ascii="宋体" w:hAnsi="宋体" w:eastAsia="宋体"/>
          <w:sz w:val="24"/>
        </w:rPr>
        <w:t>。</w:t>
      </w:r>
    </w:p>
    <w:p w14:paraId="000F6CD1">
      <w:pPr>
        <w:pStyle w:val="6"/>
        <w:spacing w:line="360" w:lineRule="auto"/>
        <w:rPr>
          <w:rFonts w:hAnsi="宋体" w:cs="@仿宋_GB2312"/>
          <w:kern w:val="2"/>
        </w:rPr>
      </w:pPr>
      <w:r>
        <w:rPr>
          <w:rFonts w:hint="eastAsia" w:hAnsi="宋体" w:cs="@仿宋_GB2312"/>
          <w:kern w:val="2"/>
        </w:rPr>
        <w:t>3</w:t>
      </w:r>
      <w:r>
        <w:rPr>
          <w:rFonts w:hint="eastAsia" w:hAnsi="宋体" w:cs="@仿宋_GB2312"/>
          <w:kern w:val="2"/>
          <w:lang w:val="en-US" w:eastAsia="zh-CN"/>
        </w:rPr>
        <w:t>4</w:t>
      </w:r>
      <w:r>
        <w:rPr>
          <w:rFonts w:hint="eastAsia" w:hAnsi="宋体" w:cs="@仿宋_GB2312"/>
          <w:kern w:val="2"/>
        </w:rPr>
        <w:t>.4质疑供应商对采购代理机构的答复不满意，或者采购代理机构未在规定时间内作出答复的，可以在答复期满后7日内向本项目采购监督部门提起投诉。</w:t>
      </w:r>
    </w:p>
    <w:p w14:paraId="3DB7D20B">
      <w:pPr>
        <w:spacing w:line="360" w:lineRule="auto"/>
        <w:ind w:firstLine="437"/>
        <w:outlineLvl w:val="3"/>
        <w:rPr>
          <w:rFonts w:ascii="宋体" w:hAnsi="宋体" w:eastAsia="宋体"/>
          <w:b/>
          <w:sz w:val="24"/>
        </w:rPr>
      </w:pPr>
      <w:r>
        <w:rPr>
          <w:rFonts w:ascii="宋体" w:hAnsi="宋体" w:eastAsia="宋体"/>
          <w:b/>
          <w:sz w:val="24"/>
        </w:rPr>
        <w:t>3</w:t>
      </w:r>
      <w:r>
        <w:rPr>
          <w:rFonts w:hint="eastAsia" w:ascii="宋体" w:hAnsi="宋体" w:eastAsia="宋体"/>
          <w:b/>
          <w:sz w:val="24"/>
          <w:lang w:val="en-US" w:eastAsia="zh-CN"/>
        </w:rPr>
        <w:t>5</w:t>
      </w:r>
      <w:r>
        <w:rPr>
          <w:rFonts w:ascii="宋体" w:hAnsi="宋体" w:eastAsia="宋体"/>
          <w:b/>
          <w:sz w:val="24"/>
        </w:rPr>
        <w:t>.需要</w:t>
      </w:r>
      <w:r>
        <w:rPr>
          <w:rFonts w:asciiTheme="minorEastAsia" w:hAnsiTheme="minorEastAsia" w:eastAsiaTheme="minorEastAsia"/>
          <w:b/>
          <w:sz w:val="24"/>
        </w:rPr>
        <w:t>补充</w:t>
      </w:r>
      <w:r>
        <w:rPr>
          <w:rFonts w:ascii="宋体" w:hAnsi="宋体" w:eastAsia="宋体"/>
          <w:b/>
          <w:sz w:val="24"/>
        </w:rPr>
        <w:t>的其他内容</w:t>
      </w:r>
    </w:p>
    <w:p w14:paraId="33B1DA4D">
      <w:pPr>
        <w:spacing w:line="360" w:lineRule="auto"/>
        <w:ind w:firstLine="435"/>
        <w:rPr>
          <w:rFonts w:ascii="宋体" w:hAnsi="宋体" w:eastAsia="宋体"/>
          <w:sz w:val="24"/>
        </w:rPr>
      </w:pPr>
      <w:r>
        <w:rPr>
          <w:rFonts w:hint="eastAsia" w:ascii="宋体" w:hAnsi="宋体" w:eastAsia="宋体"/>
          <w:sz w:val="24"/>
        </w:rPr>
        <w:t>需要补充的其他内容，见</w:t>
      </w:r>
      <w:r>
        <w:rPr>
          <w:rFonts w:hint="eastAsia" w:ascii="宋体" w:hAnsi="宋体" w:eastAsia="宋体"/>
          <w:sz w:val="24"/>
          <w:u w:val="single"/>
        </w:rPr>
        <w:t>供应商须知前附表</w:t>
      </w:r>
      <w:r>
        <w:rPr>
          <w:rFonts w:hint="eastAsia" w:ascii="宋体" w:hAnsi="宋体" w:eastAsia="宋体"/>
          <w:sz w:val="24"/>
        </w:rPr>
        <w:t>。</w:t>
      </w:r>
    </w:p>
    <w:p w14:paraId="63C7A48A">
      <w:pPr>
        <w:widowControl/>
        <w:jc w:val="left"/>
        <w:rPr>
          <w:rFonts w:asciiTheme="minorEastAsia" w:hAnsiTheme="minorEastAsia" w:eastAsiaTheme="minorEastAsia"/>
          <w:b/>
          <w:sz w:val="28"/>
        </w:rPr>
      </w:pPr>
      <w:r>
        <w:rPr>
          <w:rFonts w:asciiTheme="minorEastAsia" w:hAnsiTheme="minorEastAsia" w:eastAsiaTheme="minorEastAsia"/>
          <w:sz w:val="24"/>
        </w:rPr>
        <w:br w:type="page"/>
      </w:r>
    </w:p>
    <w:p w14:paraId="766BB6C9">
      <w:pPr>
        <w:spacing w:line="360" w:lineRule="auto"/>
        <w:jc w:val="center"/>
        <w:outlineLvl w:val="1"/>
        <w:rPr>
          <w:rFonts w:asciiTheme="minorEastAsia" w:hAnsiTheme="minorEastAsia" w:eastAsiaTheme="minorEastAsia"/>
          <w:b/>
          <w:sz w:val="28"/>
        </w:rPr>
      </w:pPr>
      <w:bookmarkStart w:id="7" w:name="_Toc16022"/>
      <w:r>
        <w:rPr>
          <w:rFonts w:hint="eastAsia" w:asciiTheme="minorEastAsia" w:hAnsiTheme="minorEastAsia" w:eastAsiaTheme="minorEastAsia"/>
          <w:b/>
          <w:sz w:val="28"/>
        </w:rPr>
        <w:t>第三章  采购需求</w:t>
      </w:r>
      <w:bookmarkEnd w:id="7"/>
    </w:p>
    <w:p w14:paraId="45AA8A4C">
      <w:pPr>
        <w:spacing w:line="360" w:lineRule="auto"/>
        <w:rPr>
          <w:rFonts w:asciiTheme="minorEastAsia" w:hAnsiTheme="minorEastAsia" w:eastAsiaTheme="minorEastAsia"/>
          <w:b/>
          <w:color w:val="auto"/>
          <w:sz w:val="24"/>
          <w:highlight w:val="none"/>
        </w:rPr>
      </w:pPr>
      <w:bookmarkStart w:id="8" w:name="_Toc6085"/>
      <w:r>
        <w:rPr>
          <w:rFonts w:hint="eastAsia" w:asciiTheme="minorEastAsia" w:hAnsiTheme="minorEastAsia" w:eastAsiaTheme="minorEastAsia"/>
          <w:b/>
          <w:color w:val="auto"/>
          <w:sz w:val="24"/>
          <w:highlight w:val="none"/>
        </w:rPr>
        <w:t>前注：</w:t>
      </w:r>
    </w:p>
    <w:p w14:paraId="520B4E49">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本采购需求中提出的服务方案仅为参考，如无明确限制，</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可以进行优化，提供满足采购人实际需要的更优（或者性能实质上不低于的）服务方案，且此方案须经</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评审认可。</w:t>
      </w:r>
    </w:p>
    <w:p w14:paraId="5C3FB345">
      <w:pPr>
        <w:spacing w:line="360" w:lineRule="auto"/>
        <w:ind w:firstLine="437"/>
        <w:outlineLvl w:val="1"/>
        <w:rPr>
          <w:rFonts w:ascii="宋体" w:hAnsi="宋体" w:eastAsia="宋体"/>
          <w:b/>
          <w:color w:val="auto"/>
          <w:sz w:val="24"/>
          <w:szCs w:val="18"/>
          <w:highlight w:val="none"/>
        </w:rPr>
      </w:pPr>
      <w:bookmarkStart w:id="9" w:name="_Toc19075"/>
      <w:bookmarkStart w:id="10" w:name="_Toc26349"/>
      <w:bookmarkStart w:id="11" w:name="_Toc18325"/>
      <w:bookmarkStart w:id="12" w:name="_Toc7699"/>
      <w:r>
        <w:rPr>
          <w:rFonts w:hint="eastAsia" w:ascii="宋体" w:hAnsi="宋体" w:eastAsia="宋体"/>
          <w:b/>
          <w:color w:val="auto"/>
          <w:sz w:val="24"/>
          <w:szCs w:val="18"/>
          <w:highlight w:val="none"/>
        </w:rPr>
        <w:t>一、采购需求前附表</w:t>
      </w:r>
      <w:bookmarkEnd w:id="9"/>
      <w:bookmarkEnd w:id="10"/>
      <w:bookmarkEnd w:id="11"/>
      <w:bookmarkEnd w:id="12"/>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2216"/>
        <w:gridCol w:w="5980"/>
      </w:tblGrid>
      <w:tr w14:paraId="0AFC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85B4F02">
            <w:pPr>
              <w:pStyle w:val="47"/>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bookmarkStart w:id="13" w:name="_Hlk16461016"/>
            <w:r>
              <w:rPr>
                <w:rFonts w:hint="eastAsia" w:ascii="宋体" w:hAnsi="宋体" w:eastAsia="宋体"/>
                <w:b/>
                <w:color w:val="auto"/>
                <w:kern w:val="2"/>
                <w:highlight w:val="none"/>
              </w:rPr>
              <w:t>序号</w:t>
            </w:r>
          </w:p>
        </w:tc>
        <w:tc>
          <w:tcPr>
            <w:tcW w:w="1192" w:type="pct"/>
            <w:vAlign w:val="center"/>
          </w:tcPr>
          <w:p w14:paraId="70F15459">
            <w:pPr>
              <w:pStyle w:val="46"/>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17" w:type="pct"/>
            <w:vAlign w:val="center"/>
          </w:tcPr>
          <w:p w14:paraId="5A49A312">
            <w:pPr>
              <w:pStyle w:val="46"/>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39E5F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BEEF561">
            <w:pPr>
              <w:pStyle w:val="47"/>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1192" w:type="pct"/>
            <w:vAlign w:val="center"/>
          </w:tcPr>
          <w:p w14:paraId="3357EEAE">
            <w:pPr>
              <w:pStyle w:val="46"/>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17" w:type="pct"/>
            <w:vAlign w:val="center"/>
          </w:tcPr>
          <w:p w14:paraId="5B52924F">
            <w:pPr>
              <w:pStyle w:val="46"/>
              <w:widowControl w:val="0"/>
              <w:shd w:val="clear"/>
              <w:spacing w:before="0" w:beforeAutospacing="0" w:after="0" w:afterAutospacing="0" w:line="360" w:lineRule="auto"/>
              <w:jc w:val="both"/>
              <w:rPr>
                <w:rFonts w:ascii="宋体" w:hAnsi="宋体" w:eastAsia="宋体"/>
                <w:b w:val="0"/>
                <w:color w:val="auto"/>
                <w:sz w:val="24"/>
                <w:highlight w:val="none"/>
                <w:u w:val="single"/>
              </w:rPr>
            </w:pPr>
            <w:r>
              <w:rPr>
                <w:rFonts w:hint="eastAsia" w:ascii="宋体" w:hAnsi="宋体" w:eastAsia="宋体" w:cs="宋体"/>
                <w:b w:val="0"/>
                <w:bCs w:val="0"/>
                <w:color w:val="auto"/>
                <w:sz w:val="24"/>
                <w:szCs w:val="24"/>
                <w:highlight w:val="none"/>
                <w:u w:val="single"/>
                <w:lang w:val="en-US" w:eastAsia="zh-CN"/>
              </w:rPr>
              <w:t>根据项目实施进度，乙方向甲方递交支付申请，甲方按季度支付检测服务费，项目完工验收合格，支付至检测服务费的100%。</w:t>
            </w:r>
          </w:p>
        </w:tc>
      </w:tr>
      <w:tr w14:paraId="0809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E063009">
            <w:pPr>
              <w:pStyle w:val="47"/>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1192" w:type="pct"/>
            <w:vAlign w:val="center"/>
          </w:tcPr>
          <w:p w14:paraId="6F529519">
            <w:pPr>
              <w:pStyle w:val="46"/>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lang w:val="en-US" w:eastAsia="zh-CN"/>
              </w:rPr>
              <w:t>服务</w:t>
            </w:r>
            <w:r>
              <w:rPr>
                <w:rFonts w:hint="eastAsia" w:ascii="宋体" w:hAnsi="宋体" w:eastAsia="宋体"/>
                <w:b w:val="0"/>
                <w:color w:val="auto"/>
                <w:sz w:val="24"/>
                <w:highlight w:val="none"/>
              </w:rPr>
              <w:t>地点</w:t>
            </w:r>
          </w:p>
        </w:tc>
        <w:tc>
          <w:tcPr>
            <w:tcW w:w="3217" w:type="pct"/>
            <w:vAlign w:val="center"/>
          </w:tcPr>
          <w:p w14:paraId="33AE0E7B">
            <w:pPr>
              <w:pStyle w:val="46"/>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u w:val="single"/>
                <w:lang w:val="en-US" w:eastAsia="zh-CN"/>
              </w:rPr>
              <w:t>采购人指定地点</w:t>
            </w:r>
          </w:p>
        </w:tc>
      </w:tr>
      <w:tr w14:paraId="5020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2739A07">
            <w:pPr>
              <w:pStyle w:val="47"/>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1192" w:type="pct"/>
            <w:vAlign w:val="center"/>
          </w:tcPr>
          <w:p w14:paraId="1A27E6DD">
            <w:pPr>
              <w:pStyle w:val="46"/>
              <w:widowControl w:val="0"/>
              <w:spacing w:before="0" w:beforeAutospacing="0" w:after="0" w:afterAutospacing="0" w:line="360" w:lineRule="auto"/>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服务期限</w:t>
            </w:r>
          </w:p>
        </w:tc>
        <w:tc>
          <w:tcPr>
            <w:tcW w:w="3217" w:type="pct"/>
            <w:vAlign w:val="center"/>
          </w:tcPr>
          <w:p w14:paraId="6B249E69">
            <w:pPr>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b w:val="0"/>
                <w:color w:val="auto"/>
                <w:sz w:val="24"/>
                <w:highlight w:val="yellow"/>
                <w:u w:val="single"/>
                <w:lang w:eastAsia="zh-CN"/>
              </w:rPr>
            </w:pPr>
            <w:r>
              <w:rPr>
                <w:rFonts w:hint="eastAsia" w:ascii="宋体" w:hAnsi="宋体" w:eastAsia="宋体"/>
                <w:b w:val="0"/>
                <w:color w:val="auto"/>
                <w:sz w:val="24"/>
                <w:highlight w:val="none"/>
                <w:u w:val="single"/>
                <w:lang w:eastAsia="zh-CN"/>
              </w:rPr>
              <w:t>施工工期120天。检测服务期自检测合同签订之日起至全部工程竣工验收合格、移交完成止。</w:t>
            </w:r>
          </w:p>
        </w:tc>
      </w:tr>
      <w:bookmarkEnd w:id="13"/>
    </w:tbl>
    <w:p w14:paraId="3BE037BA">
      <w:pPr>
        <w:spacing w:line="360" w:lineRule="auto"/>
        <w:ind w:firstLine="437"/>
        <w:rPr>
          <w:rFonts w:hint="eastAsia" w:ascii="宋体" w:hAnsi="宋体" w:eastAsia="宋体"/>
          <w:b/>
          <w:bCs w:val="0"/>
          <w:sz w:val="24"/>
          <w:szCs w:val="18"/>
        </w:rPr>
      </w:pPr>
      <w:r>
        <w:rPr>
          <w:rFonts w:hint="eastAsia" w:ascii="宋体" w:hAnsi="宋体" w:eastAsia="宋体"/>
          <w:b/>
          <w:bCs w:val="0"/>
          <w:sz w:val="24"/>
          <w:szCs w:val="18"/>
          <w:lang w:val="en-US" w:eastAsia="zh-CN"/>
        </w:rPr>
        <w:t>二</w:t>
      </w:r>
      <w:r>
        <w:rPr>
          <w:rFonts w:hint="eastAsia" w:ascii="宋体" w:hAnsi="宋体" w:eastAsia="宋体"/>
          <w:b/>
          <w:bCs w:val="0"/>
          <w:sz w:val="24"/>
          <w:szCs w:val="18"/>
        </w:rPr>
        <w:t>、项目概况</w:t>
      </w:r>
    </w:p>
    <w:p w14:paraId="1E9F20FC">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项目位于六安市金安区，地块东至水利局办公大楼，西至天河东路，南至公共绿地，北至皖西大道，占地面积约2.2公顷，总建筑面积4530平方米，总立面改造面积6515平方米。项目建设内容主要包括：1.将淠史杭灌区调度中心改造为淠史杭水利文化展馆，其中一、二楼改造为淠史杭水利文化展厅，三楼局部改为智慧灌区展示空间，地下一层改为储藏室等辅助用房。2.建筑立面改造，包括淠史杭灌区调度中心、南北两侧辅楼共三栋建筑立面。3.周边环境改造，包括海绵城市建设、局部改造现有场地道路、拆除现有围墙、整体环境配套设施提升等。本项目总投资约3192万元。</w:t>
      </w:r>
    </w:p>
    <w:p w14:paraId="6BB6B4D9">
      <w:pPr>
        <w:spacing w:line="360" w:lineRule="auto"/>
        <w:ind w:firstLine="437"/>
        <w:rPr>
          <w:rFonts w:hint="eastAsia" w:ascii="宋体" w:hAnsi="宋体" w:eastAsia="宋体"/>
          <w:b/>
          <w:bCs w:val="0"/>
          <w:sz w:val="24"/>
          <w:szCs w:val="18"/>
        </w:rPr>
      </w:pPr>
      <w:r>
        <w:rPr>
          <w:rFonts w:hint="eastAsia" w:ascii="宋体" w:hAnsi="宋体" w:eastAsia="宋体"/>
          <w:b/>
          <w:bCs w:val="0"/>
          <w:sz w:val="24"/>
          <w:szCs w:val="18"/>
          <w:lang w:val="en-US" w:eastAsia="zh-CN"/>
        </w:rPr>
        <w:t>三、</w:t>
      </w:r>
      <w:r>
        <w:rPr>
          <w:rFonts w:hint="eastAsia" w:ascii="宋体" w:hAnsi="宋体" w:eastAsia="宋体"/>
          <w:b/>
          <w:bCs w:val="0"/>
          <w:sz w:val="24"/>
          <w:szCs w:val="18"/>
        </w:rPr>
        <w:t>检测内容：</w:t>
      </w:r>
    </w:p>
    <w:p w14:paraId="2CFE0B60">
      <w:pPr>
        <w:pStyle w:val="8"/>
        <w:spacing w:before="182" w:line="219" w:lineRule="auto"/>
        <w:ind w:left="54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本工程项目检测内容包括但不限于以下内容：</w:t>
      </w:r>
    </w:p>
    <w:p w14:paraId="2A3EEB93">
      <w:pPr>
        <w:pStyle w:val="8"/>
        <w:spacing w:before="183" w:line="219" w:lineRule="auto"/>
        <w:ind w:left="52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1.混凝土原材及相关检验；</w:t>
      </w:r>
    </w:p>
    <w:p w14:paraId="38ED23EB">
      <w:pPr>
        <w:pStyle w:val="8"/>
        <w:spacing w:before="183" w:line="219" w:lineRule="auto"/>
        <w:ind w:left="506"/>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2.钢筋原材及钢筋连接相关检验；</w:t>
      </w:r>
    </w:p>
    <w:p w14:paraId="5979744D">
      <w:pPr>
        <w:pStyle w:val="8"/>
        <w:spacing w:before="184" w:line="219" w:lineRule="auto"/>
        <w:ind w:left="508"/>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3.预拌砂浆相关检验；</w:t>
      </w:r>
    </w:p>
    <w:p w14:paraId="13A4FFA0">
      <w:pPr>
        <w:pStyle w:val="8"/>
        <w:spacing w:before="183" w:line="219" w:lineRule="auto"/>
        <w:ind w:left="50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4.防水材料相关检验；</w:t>
      </w:r>
    </w:p>
    <w:p w14:paraId="79F3F10F">
      <w:pPr>
        <w:pStyle w:val="8"/>
        <w:spacing w:before="182" w:line="219" w:lineRule="auto"/>
        <w:ind w:left="50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5.砌体材料相关检验；</w:t>
      </w:r>
    </w:p>
    <w:p w14:paraId="4AF5BCDF">
      <w:pPr>
        <w:pStyle w:val="8"/>
        <w:spacing w:before="183" w:line="219" w:lineRule="auto"/>
        <w:ind w:left="50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6.装饰装修材料相关检验；</w:t>
      </w:r>
    </w:p>
    <w:p w14:paraId="077FB170">
      <w:pPr>
        <w:pStyle w:val="8"/>
        <w:spacing w:before="184" w:line="219" w:lineRule="auto"/>
        <w:ind w:left="504"/>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7.保温节能材料相关检验；</w:t>
      </w:r>
    </w:p>
    <w:p w14:paraId="7F29BDC0">
      <w:pPr>
        <w:pStyle w:val="8"/>
        <w:spacing w:before="183" w:line="219" w:lineRule="auto"/>
        <w:ind w:left="504"/>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8.水电材料相关检验；</w:t>
      </w:r>
    </w:p>
    <w:p w14:paraId="07084025">
      <w:pPr>
        <w:pStyle w:val="8"/>
        <w:spacing w:before="184" w:line="219" w:lineRule="auto"/>
        <w:ind w:left="52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9.室内环境相关检验；</w:t>
      </w:r>
    </w:p>
    <w:p w14:paraId="40BD8948">
      <w:pPr>
        <w:pStyle w:val="8"/>
        <w:spacing w:before="184" w:line="219" w:lineRule="auto"/>
        <w:ind w:left="52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10.工程实体检测；</w:t>
      </w:r>
    </w:p>
    <w:p w14:paraId="4EA4CE47">
      <w:pPr>
        <w:pStyle w:val="8"/>
        <w:spacing w:before="182" w:line="219" w:lineRule="auto"/>
        <w:ind w:left="52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11.涉及直接影响工程质量的原材料、成品、半成品检测；</w:t>
      </w:r>
    </w:p>
    <w:p w14:paraId="61AAA664">
      <w:pPr>
        <w:pStyle w:val="8"/>
        <w:spacing w:before="184" w:line="219" w:lineRule="auto"/>
        <w:ind w:left="52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12.沉降观测监测；</w:t>
      </w:r>
    </w:p>
    <w:p w14:paraId="759D4130">
      <w:pPr>
        <w:pStyle w:val="8"/>
        <w:spacing w:before="184" w:line="219" w:lineRule="auto"/>
        <w:ind w:left="52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13.管道视频检测及管网测绘相关检测；</w:t>
      </w:r>
    </w:p>
    <w:p w14:paraId="199AACD0">
      <w:pPr>
        <w:pStyle w:val="8"/>
        <w:spacing w:before="182" w:line="290" w:lineRule="auto"/>
        <w:ind w:left="22" w:right="82" w:firstLine="498"/>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14.土建、安装、装修、水电气、智能化(网络及通讯)、绿建、室外景观及道路、人防、消防检测；</w:t>
      </w:r>
    </w:p>
    <w:p w14:paraId="13096625">
      <w:pPr>
        <w:pStyle w:val="8"/>
        <w:spacing w:before="182" w:line="219" w:lineRule="auto"/>
        <w:ind w:left="52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15.本项目材料、设备、元器件检测；</w:t>
      </w:r>
    </w:p>
    <w:p w14:paraId="10DED265">
      <w:pPr>
        <w:numPr>
          <w:ilvl w:val="0"/>
          <w:numId w:val="0"/>
        </w:numPr>
        <w:spacing w:line="360" w:lineRule="auto"/>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其他检测：楼层隔声材料、地砖防滑等其他未涉及项目按国家、省、市、区相关技术标准和管理规定以及采购人要求执行。上述检测数量及频率按照颁发的相关标准及规定取定，检测项目计划、检测数量及频率原则上为标准及规定范围的100%；施工过程中，采购人有权对工程质量有怀疑的部位增加检测频率。项目实施阶段的检测内容和数量，采购人根据需要在采购文件的基础上可适当增减。以下表格中的检测内容和项目为暂定，实际检测项目包括但不限于下表所述，含国家规定必须实行取样和送检的试块、试件和原材料等。</w:t>
      </w:r>
    </w:p>
    <w:tbl>
      <w:tblPr>
        <w:tblStyle w:val="89"/>
        <w:tblW w:w="98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9"/>
        <w:gridCol w:w="2099"/>
        <w:gridCol w:w="6019"/>
      </w:tblGrid>
      <w:tr w14:paraId="4AB99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1719" w:type="dxa"/>
            <w:vAlign w:val="top"/>
          </w:tcPr>
          <w:p w14:paraId="604B254F">
            <w:pPr>
              <w:pStyle w:val="88"/>
              <w:spacing w:before="145" w:line="219" w:lineRule="auto"/>
              <w:ind w:left="626"/>
            </w:pPr>
            <w:r>
              <w:rPr>
                <w:b/>
                <w:bCs/>
                <w:spacing w:val="-8"/>
              </w:rPr>
              <w:t>类型</w:t>
            </w:r>
          </w:p>
        </w:tc>
        <w:tc>
          <w:tcPr>
            <w:tcW w:w="2099" w:type="dxa"/>
            <w:vAlign w:val="top"/>
          </w:tcPr>
          <w:p w14:paraId="1481C283">
            <w:pPr>
              <w:pStyle w:val="88"/>
              <w:spacing w:before="145" w:line="219" w:lineRule="auto"/>
              <w:ind w:left="575"/>
            </w:pPr>
            <w:r>
              <w:rPr>
                <w:b/>
                <w:bCs/>
                <w:spacing w:val="-5"/>
              </w:rPr>
              <w:t>检测内容</w:t>
            </w:r>
          </w:p>
        </w:tc>
        <w:tc>
          <w:tcPr>
            <w:tcW w:w="6019" w:type="dxa"/>
            <w:vAlign w:val="top"/>
          </w:tcPr>
          <w:p w14:paraId="002A4B27">
            <w:pPr>
              <w:pStyle w:val="88"/>
              <w:spacing w:before="145" w:line="219" w:lineRule="auto"/>
              <w:ind w:left="2535"/>
            </w:pPr>
            <w:r>
              <w:rPr>
                <w:b/>
                <w:bCs/>
                <w:spacing w:val="-5"/>
              </w:rPr>
              <w:t>检测项目</w:t>
            </w:r>
          </w:p>
        </w:tc>
      </w:tr>
      <w:tr w14:paraId="024B9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Align w:val="top"/>
          </w:tcPr>
          <w:p w14:paraId="1ECD2ABE">
            <w:pPr>
              <w:rPr>
                <w:rFonts w:ascii="Arial"/>
                <w:sz w:val="21"/>
              </w:rPr>
            </w:pPr>
          </w:p>
        </w:tc>
        <w:tc>
          <w:tcPr>
            <w:tcW w:w="2099" w:type="dxa"/>
            <w:vAlign w:val="top"/>
          </w:tcPr>
          <w:p w14:paraId="43EA7DBF">
            <w:pPr>
              <w:pStyle w:val="88"/>
              <w:spacing w:before="115" w:line="237" w:lineRule="auto"/>
              <w:ind w:left="936"/>
            </w:pPr>
            <w:r>
              <w:t>土</w:t>
            </w:r>
          </w:p>
        </w:tc>
        <w:tc>
          <w:tcPr>
            <w:tcW w:w="6019" w:type="dxa"/>
            <w:vAlign w:val="top"/>
          </w:tcPr>
          <w:p w14:paraId="2F813DBA">
            <w:pPr>
              <w:pStyle w:val="88"/>
              <w:spacing w:before="114" w:line="219" w:lineRule="auto"/>
              <w:ind w:left="115"/>
            </w:pPr>
            <w:r>
              <w:rPr>
                <w:spacing w:val="-1"/>
              </w:rPr>
              <w:t>液限塑限、最大干密度、最佳含水量、密度、含水量</w:t>
            </w:r>
          </w:p>
        </w:tc>
      </w:tr>
      <w:tr w14:paraId="58201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719" w:type="dxa"/>
            <w:vAlign w:val="top"/>
          </w:tcPr>
          <w:p w14:paraId="05CD8760">
            <w:pPr>
              <w:rPr>
                <w:rFonts w:ascii="Arial"/>
                <w:sz w:val="21"/>
              </w:rPr>
            </w:pPr>
          </w:p>
        </w:tc>
        <w:tc>
          <w:tcPr>
            <w:tcW w:w="2099" w:type="dxa"/>
            <w:vAlign w:val="top"/>
          </w:tcPr>
          <w:p w14:paraId="30CF1C50">
            <w:pPr>
              <w:spacing w:line="270" w:lineRule="auto"/>
              <w:rPr>
                <w:rFonts w:ascii="Arial"/>
                <w:sz w:val="21"/>
              </w:rPr>
            </w:pPr>
          </w:p>
          <w:p w14:paraId="329AEB22">
            <w:pPr>
              <w:pStyle w:val="88"/>
              <w:spacing w:before="78" w:line="219" w:lineRule="auto"/>
              <w:ind w:left="815"/>
            </w:pPr>
            <w:r>
              <w:rPr>
                <w:spacing w:val="-5"/>
              </w:rPr>
              <w:t>集料</w:t>
            </w:r>
          </w:p>
        </w:tc>
        <w:tc>
          <w:tcPr>
            <w:tcW w:w="6019" w:type="dxa"/>
            <w:vAlign w:val="top"/>
          </w:tcPr>
          <w:p w14:paraId="341B60C7">
            <w:pPr>
              <w:pStyle w:val="88"/>
              <w:spacing w:before="116" w:line="313" w:lineRule="auto"/>
              <w:ind w:left="112" w:right="26"/>
            </w:pPr>
            <w:r>
              <w:rPr>
                <w:spacing w:val="-5"/>
              </w:rPr>
              <w:t>颗粒级配、压碎值、磨耗值、针片状颗粒含量、砂当量、</w:t>
            </w:r>
            <w:r>
              <w:rPr>
                <w:spacing w:val="-2"/>
              </w:rPr>
              <w:t>含泥量、泥块含量</w:t>
            </w:r>
          </w:p>
        </w:tc>
      </w:tr>
      <w:tr w14:paraId="22EC4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719" w:type="dxa"/>
            <w:vMerge w:val="restart"/>
            <w:vAlign w:val="top"/>
          </w:tcPr>
          <w:p w14:paraId="347FD907">
            <w:pPr>
              <w:spacing w:line="249" w:lineRule="auto"/>
              <w:rPr>
                <w:rFonts w:ascii="Arial"/>
                <w:sz w:val="21"/>
              </w:rPr>
            </w:pPr>
          </w:p>
          <w:p w14:paraId="63617408">
            <w:pPr>
              <w:spacing w:line="249" w:lineRule="auto"/>
              <w:rPr>
                <w:rFonts w:ascii="Arial"/>
                <w:sz w:val="21"/>
              </w:rPr>
            </w:pPr>
          </w:p>
          <w:p w14:paraId="40A7393F">
            <w:pPr>
              <w:spacing w:line="249" w:lineRule="auto"/>
              <w:rPr>
                <w:rFonts w:ascii="Arial"/>
                <w:sz w:val="21"/>
              </w:rPr>
            </w:pPr>
          </w:p>
          <w:p w14:paraId="17DEC9C4">
            <w:pPr>
              <w:spacing w:line="249" w:lineRule="auto"/>
              <w:rPr>
                <w:rFonts w:ascii="Arial"/>
                <w:sz w:val="21"/>
              </w:rPr>
            </w:pPr>
          </w:p>
          <w:p w14:paraId="325F8557">
            <w:pPr>
              <w:spacing w:line="249" w:lineRule="auto"/>
              <w:rPr>
                <w:rFonts w:ascii="Arial"/>
                <w:sz w:val="21"/>
              </w:rPr>
            </w:pPr>
          </w:p>
          <w:p w14:paraId="79AE19E5">
            <w:pPr>
              <w:spacing w:line="250" w:lineRule="auto"/>
              <w:rPr>
                <w:rFonts w:ascii="Arial"/>
                <w:sz w:val="21"/>
              </w:rPr>
            </w:pPr>
          </w:p>
          <w:p w14:paraId="292A71C5">
            <w:pPr>
              <w:spacing w:line="250" w:lineRule="auto"/>
              <w:rPr>
                <w:rFonts w:ascii="Arial"/>
                <w:sz w:val="21"/>
              </w:rPr>
            </w:pPr>
          </w:p>
          <w:p w14:paraId="6CECC2D9">
            <w:pPr>
              <w:spacing w:line="250" w:lineRule="auto"/>
              <w:rPr>
                <w:rFonts w:ascii="Arial"/>
                <w:sz w:val="21"/>
              </w:rPr>
            </w:pPr>
          </w:p>
          <w:p w14:paraId="3371724D">
            <w:pPr>
              <w:spacing w:line="250" w:lineRule="auto"/>
              <w:rPr>
                <w:rFonts w:ascii="Arial"/>
                <w:sz w:val="21"/>
              </w:rPr>
            </w:pPr>
          </w:p>
          <w:p w14:paraId="04CBC983">
            <w:pPr>
              <w:spacing w:line="250" w:lineRule="auto"/>
              <w:rPr>
                <w:rFonts w:ascii="Arial"/>
                <w:sz w:val="21"/>
              </w:rPr>
            </w:pPr>
          </w:p>
          <w:p w14:paraId="2AFD14F0">
            <w:pPr>
              <w:spacing w:line="250" w:lineRule="auto"/>
              <w:rPr>
                <w:rFonts w:ascii="Arial"/>
                <w:sz w:val="21"/>
              </w:rPr>
            </w:pPr>
          </w:p>
          <w:p w14:paraId="4706D7D6">
            <w:pPr>
              <w:spacing w:line="250" w:lineRule="auto"/>
              <w:rPr>
                <w:rFonts w:ascii="Arial"/>
                <w:sz w:val="21"/>
              </w:rPr>
            </w:pPr>
          </w:p>
          <w:p w14:paraId="69C3B3C6">
            <w:pPr>
              <w:spacing w:line="250" w:lineRule="auto"/>
              <w:rPr>
                <w:rFonts w:ascii="Arial"/>
                <w:sz w:val="21"/>
              </w:rPr>
            </w:pPr>
          </w:p>
          <w:p w14:paraId="5A6D454F">
            <w:pPr>
              <w:spacing w:line="250" w:lineRule="auto"/>
              <w:rPr>
                <w:rFonts w:ascii="Arial"/>
                <w:sz w:val="21"/>
              </w:rPr>
            </w:pPr>
          </w:p>
          <w:p w14:paraId="741FF55A">
            <w:pPr>
              <w:spacing w:line="250" w:lineRule="auto"/>
              <w:rPr>
                <w:rFonts w:ascii="Arial"/>
                <w:sz w:val="21"/>
              </w:rPr>
            </w:pPr>
          </w:p>
          <w:p w14:paraId="4BD59526">
            <w:pPr>
              <w:spacing w:line="250" w:lineRule="auto"/>
              <w:rPr>
                <w:rFonts w:ascii="Arial"/>
                <w:sz w:val="21"/>
              </w:rPr>
            </w:pPr>
          </w:p>
          <w:p w14:paraId="6D911C0D">
            <w:pPr>
              <w:spacing w:line="250" w:lineRule="auto"/>
              <w:rPr>
                <w:rFonts w:ascii="Arial"/>
                <w:sz w:val="21"/>
              </w:rPr>
            </w:pPr>
          </w:p>
          <w:p w14:paraId="6BDB3C21">
            <w:pPr>
              <w:spacing w:line="250" w:lineRule="auto"/>
              <w:rPr>
                <w:rFonts w:ascii="Arial"/>
                <w:sz w:val="21"/>
              </w:rPr>
            </w:pPr>
          </w:p>
          <w:p w14:paraId="1FB9D7A5">
            <w:pPr>
              <w:spacing w:line="250" w:lineRule="auto"/>
              <w:rPr>
                <w:rFonts w:ascii="Arial"/>
                <w:sz w:val="21"/>
              </w:rPr>
            </w:pPr>
          </w:p>
          <w:p w14:paraId="332A6FBE">
            <w:pPr>
              <w:spacing w:line="250" w:lineRule="auto"/>
              <w:rPr>
                <w:rFonts w:ascii="Arial"/>
                <w:sz w:val="21"/>
              </w:rPr>
            </w:pPr>
          </w:p>
          <w:p w14:paraId="62A3AAA3">
            <w:pPr>
              <w:spacing w:line="250" w:lineRule="auto"/>
              <w:rPr>
                <w:rFonts w:ascii="Arial"/>
                <w:sz w:val="21"/>
              </w:rPr>
            </w:pPr>
          </w:p>
          <w:p w14:paraId="785212FD">
            <w:pPr>
              <w:spacing w:line="250" w:lineRule="auto"/>
              <w:rPr>
                <w:rFonts w:ascii="Arial"/>
                <w:sz w:val="21"/>
              </w:rPr>
            </w:pPr>
          </w:p>
          <w:p w14:paraId="3C2A6789">
            <w:pPr>
              <w:pStyle w:val="88"/>
              <w:spacing w:before="78" w:line="365" w:lineRule="auto"/>
              <w:ind w:left="117" w:right="165"/>
            </w:pPr>
            <w:r>
              <w:rPr>
                <w:spacing w:val="-2"/>
              </w:rPr>
              <w:t>材料及试块检</w:t>
            </w:r>
            <w:r>
              <w:rPr>
                <w:spacing w:val="1"/>
              </w:rPr>
              <w:t xml:space="preserve"> </w:t>
            </w:r>
            <w:r>
              <w:t>验</w:t>
            </w:r>
          </w:p>
        </w:tc>
        <w:tc>
          <w:tcPr>
            <w:tcW w:w="2099" w:type="dxa"/>
            <w:vAlign w:val="top"/>
          </w:tcPr>
          <w:p w14:paraId="021B8A85">
            <w:pPr>
              <w:spacing w:line="270" w:lineRule="auto"/>
              <w:rPr>
                <w:rFonts w:ascii="Arial"/>
                <w:sz w:val="21"/>
              </w:rPr>
            </w:pPr>
          </w:p>
          <w:p w14:paraId="21EF6FB5">
            <w:pPr>
              <w:pStyle w:val="88"/>
              <w:spacing w:before="78" w:line="219" w:lineRule="auto"/>
              <w:ind w:left="818"/>
            </w:pPr>
            <w:r>
              <w:rPr>
                <w:spacing w:val="-7"/>
              </w:rPr>
              <w:t>水泥</w:t>
            </w:r>
          </w:p>
        </w:tc>
        <w:tc>
          <w:tcPr>
            <w:tcW w:w="6019" w:type="dxa"/>
            <w:vAlign w:val="top"/>
          </w:tcPr>
          <w:p w14:paraId="084EE493">
            <w:pPr>
              <w:pStyle w:val="88"/>
              <w:spacing w:before="116" w:line="313" w:lineRule="auto"/>
              <w:ind w:left="117" w:right="26" w:hanging="3"/>
            </w:pPr>
            <w:r>
              <w:rPr>
                <w:spacing w:val="-5"/>
              </w:rPr>
              <w:t>标准稠度用水量、安定性、凝结时间、抗折、抗压</w:t>
            </w:r>
            <w:r>
              <w:rPr>
                <w:spacing w:val="-6"/>
              </w:rPr>
              <w:t>强度、</w:t>
            </w:r>
            <w:r>
              <w:rPr>
                <w:spacing w:val="-2"/>
              </w:rPr>
              <w:t>安定性、细度、比表面积</w:t>
            </w:r>
          </w:p>
        </w:tc>
      </w:tr>
      <w:tr w14:paraId="155BD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continue"/>
            <w:vAlign w:val="top"/>
          </w:tcPr>
          <w:p w14:paraId="228029E0">
            <w:pPr>
              <w:rPr>
                <w:rFonts w:ascii="Arial"/>
                <w:sz w:val="21"/>
              </w:rPr>
            </w:pPr>
          </w:p>
        </w:tc>
        <w:tc>
          <w:tcPr>
            <w:tcW w:w="2099" w:type="dxa"/>
            <w:vAlign w:val="top"/>
          </w:tcPr>
          <w:p w14:paraId="0E76DC2F">
            <w:pPr>
              <w:pStyle w:val="88"/>
              <w:spacing w:before="118" w:line="222" w:lineRule="auto"/>
              <w:ind w:left="934"/>
            </w:pPr>
            <w:r>
              <w:t>砂</w:t>
            </w:r>
          </w:p>
        </w:tc>
        <w:tc>
          <w:tcPr>
            <w:tcW w:w="6019" w:type="dxa"/>
            <w:vAlign w:val="top"/>
          </w:tcPr>
          <w:p w14:paraId="1206EE77">
            <w:pPr>
              <w:pStyle w:val="88"/>
              <w:spacing w:before="118" w:line="219" w:lineRule="auto"/>
              <w:ind w:left="112"/>
            </w:pPr>
            <w:r>
              <w:rPr>
                <w:spacing w:val="-1"/>
              </w:rPr>
              <w:t>颗粒级配、含泥量、泥块含量、氯离子含量</w:t>
            </w:r>
          </w:p>
        </w:tc>
      </w:tr>
      <w:tr w14:paraId="5E18F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719" w:type="dxa"/>
            <w:vMerge w:val="continue"/>
            <w:vAlign w:val="top"/>
          </w:tcPr>
          <w:p w14:paraId="072C3F6D">
            <w:pPr>
              <w:rPr>
                <w:rFonts w:ascii="Arial"/>
                <w:sz w:val="21"/>
              </w:rPr>
            </w:pPr>
          </w:p>
        </w:tc>
        <w:tc>
          <w:tcPr>
            <w:tcW w:w="2099" w:type="dxa"/>
            <w:vAlign w:val="top"/>
          </w:tcPr>
          <w:p w14:paraId="1491D559">
            <w:pPr>
              <w:pStyle w:val="88"/>
              <w:spacing w:before="117" w:line="220" w:lineRule="auto"/>
              <w:ind w:left="816"/>
            </w:pPr>
            <w:r>
              <w:rPr>
                <w:spacing w:val="-6"/>
              </w:rPr>
              <w:t>石子</w:t>
            </w:r>
          </w:p>
        </w:tc>
        <w:tc>
          <w:tcPr>
            <w:tcW w:w="6019" w:type="dxa"/>
            <w:vAlign w:val="top"/>
          </w:tcPr>
          <w:p w14:paraId="4C915BDA">
            <w:pPr>
              <w:pStyle w:val="88"/>
              <w:spacing w:before="117" w:line="219" w:lineRule="auto"/>
              <w:ind w:left="112"/>
            </w:pPr>
            <w:r>
              <w:rPr>
                <w:spacing w:val="-1"/>
              </w:rPr>
              <w:t>颗粒级配、含泥量、泥块含量</w:t>
            </w:r>
          </w:p>
        </w:tc>
      </w:tr>
      <w:tr w14:paraId="44F73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continue"/>
            <w:vAlign w:val="top"/>
          </w:tcPr>
          <w:p w14:paraId="2A8C9655">
            <w:pPr>
              <w:rPr>
                <w:rFonts w:ascii="Arial"/>
                <w:sz w:val="21"/>
              </w:rPr>
            </w:pPr>
          </w:p>
        </w:tc>
        <w:tc>
          <w:tcPr>
            <w:tcW w:w="2099" w:type="dxa"/>
            <w:vAlign w:val="top"/>
          </w:tcPr>
          <w:p w14:paraId="5AA5EF23">
            <w:pPr>
              <w:pStyle w:val="88"/>
              <w:spacing w:before="117" w:line="221" w:lineRule="auto"/>
              <w:ind w:left="815"/>
            </w:pPr>
            <w:r>
              <w:rPr>
                <w:spacing w:val="-5"/>
              </w:rPr>
              <w:t>砌体</w:t>
            </w:r>
          </w:p>
        </w:tc>
        <w:tc>
          <w:tcPr>
            <w:tcW w:w="6019" w:type="dxa"/>
            <w:vAlign w:val="top"/>
          </w:tcPr>
          <w:p w14:paraId="55D25A85">
            <w:pPr>
              <w:pStyle w:val="88"/>
              <w:spacing w:before="118" w:line="219" w:lineRule="auto"/>
              <w:ind w:left="113"/>
            </w:pPr>
            <w:r>
              <w:rPr>
                <w:spacing w:val="-3"/>
              </w:rPr>
              <w:t>抗压强度</w:t>
            </w:r>
          </w:p>
        </w:tc>
      </w:tr>
      <w:tr w14:paraId="7F19A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continue"/>
            <w:vAlign w:val="top"/>
          </w:tcPr>
          <w:p w14:paraId="04E292A2">
            <w:pPr>
              <w:rPr>
                <w:rFonts w:ascii="Arial"/>
                <w:sz w:val="21"/>
              </w:rPr>
            </w:pPr>
          </w:p>
        </w:tc>
        <w:tc>
          <w:tcPr>
            <w:tcW w:w="2099" w:type="dxa"/>
            <w:vAlign w:val="top"/>
          </w:tcPr>
          <w:p w14:paraId="0C667FFC">
            <w:pPr>
              <w:pStyle w:val="88"/>
              <w:spacing w:before="117" w:line="219" w:lineRule="auto"/>
              <w:ind w:left="573"/>
            </w:pPr>
            <w:r>
              <w:rPr>
                <w:spacing w:val="-2"/>
              </w:rPr>
              <w:t>钢筋原材</w:t>
            </w:r>
          </w:p>
        </w:tc>
        <w:tc>
          <w:tcPr>
            <w:tcW w:w="6019" w:type="dxa"/>
            <w:vAlign w:val="top"/>
          </w:tcPr>
          <w:p w14:paraId="5D818FF6">
            <w:pPr>
              <w:pStyle w:val="88"/>
              <w:spacing w:before="118" w:line="219" w:lineRule="auto"/>
              <w:ind w:left="115"/>
            </w:pPr>
            <w:r>
              <w:rPr>
                <w:spacing w:val="-1"/>
              </w:rPr>
              <w:t>拉伸、冷弯、屈服强度、伸长率、反向弯曲、重量偏差</w:t>
            </w:r>
          </w:p>
        </w:tc>
      </w:tr>
      <w:tr w14:paraId="68F0D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continue"/>
            <w:vAlign w:val="top"/>
          </w:tcPr>
          <w:p w14:paraId="19BEA705">
            <w:pPr>
              <w:rPr>
                <w:rFonts w:ascii="Arial"/>
                <w:sz w:val="21"/>
              </w:rPr>
            </w:pPr>
          </w:p>
        </w:tc>
        <w:tc>
          <w:tcPr>
            <w:tcW w:w="2099" w:type="dxa"/>
            <w:vAlign w:val="top"/>
          </w:tcPr>
          <w:p w14:paraId="64641DC2">
            <w:pPr>
              <w:pStyle w:val="88"/>
              <w:spacing w:before="120" w:line="219" w:lineRule="auto"/>
              <w:ind w:left="573"/>
            </w:pPr>
            <w:r>
              <w:rPr>
                <w:spacing w:val="-2"/>
              </w:rPr>
              <w:t>钢筋焊接</w:t>
            </w:r>
          </w:p>
        </w:tc>
        <w:tc>
          <w:tcPr>
            <w:tcW w:w="6019" w:type="dxa"/>
            <w:vAlign w:val="top"/>
          </w:tcPr>
          <w:p w14:paraId="3AF1912D">
            <w:pPr>
              <w:pStyle w:val="88"/>
              <w:spacing w:before="119" w:line="220" w:lineRule="auto"/>
              <w:ind w:left="115"/>
            </w:pPr>
            <w:r>
              <w:rPr>
                <w:spacing w:val="-2"/>
              </w:rPr>
              <w:t>拉伸、冷弯、工艺性试验</w:t>
            </w:r>
          </w:p>
        </w:tc>
      </w:tr>
      <w:tr w14:paraId="594C5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continue"/>
            <w:vAlign w:val="top"/>
          </w:tcPr>
          <w:p w14:paraId="1BDB5B2B">
            <w:pPr>
              <w:rPr>
                <w:rFonts w:ascii="Arial"/>
                <w:sz w:val="21"/>
              </w:rPr>
            </w:pPr>
          </w:p>
        </w:tc>
        <w:tc>
          <w:tcPr>
            <w:tcW w:w="2099" w:type="dxa"/>
            <w:vAlign w:val="top"/>
          </w:tcPr>
          <w:p w14:paraId="6F989869">
            <w:pPr>
              <w:pStyle w:val="88"/>
              <w:spacing w:before="118" w:line="221" w:lineRule="auto"/>
              <w:ind w:left="698"/>
            </w:pPr>
            <w:r>
              <w:rPr>
                <w:spacing w:val="-5"/>
              </w:rPr>
              <w:t>混凝土</w:t>
            </w:r>
          </w:p>
        </w:tc>
        <w:tc>
          <w:tcPr>
            <w:tcW w:w="6019" w:type="dxa"/>
            <w:vAlign w:val="top"/>
          </w:tcPr>
          <w:p w14:paraId="4B4051B6">
            <w:pPr>
              <w:pStyle w:val="88"/>
              <w:spacing w:before="119" w:line="219" w:lineRule="auto"/>
              <w:ind w:left="113"/>
            </w:pPr>
            <w:r>
              <w:rPr>
                <w:spacing w:val="-3"/>
              </w:rPr>
              <w:t>抗压强度</w:t>
            </w:r>
          </w:p>
        </w:tc>
      </w:tr>
      <w:tr w14:paraId="66C99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continue"/>
            <w:vAlign w:val="top"/>
          </w:tcPr>
          <w:p w14:paraId="6AB9FEB9">
            <w:pPr>
              <w:rPr>
                <w:rFonts w:ascii="Arial"/>
                <w:sz w:val="21"/>
              </w:rPr>
            </w:pPr>
          </w:p>
        </w:tc>
        <w:tc>
          <w:tcPr>
            <w:tcW w:w="2099" w:type="dxa"/>
            <w:vAlign w:val="top"/>
          </w:tcPr>
          <w:p w14:paraId="23820868">
            <w:pPr>
              <w:pStyle w:val="88"/>
              <w:spacing w:before="118" w:line="221" w:lineRule="auto"/>
              <w:ind w:left="698"/>
            </w:pPr>
            <w:r>
              <w:rPr>
                <w:spacing w:val="-5"/>
              </w:rPr>
              <w:t>混凝土</w:t>
            </w:r>
          </w:p>
        </w:tc>
        <w:tc>
          <w:tcPr>
            <w:tcW w:w="6019" w:type="dxa"/>
            <w:vAlign w:val="top"/>
          </w:tcPr>
          <w:p w14:paraId="490F70BD">
            <w:pPr>
              <w:pStyle w:val="88"/>
              <w:spacing w:before="119" w:line="219" w:lineRule="auto"/>
              <w:ind w:left="113"/>
            </w:pPr>
            <w:r>
              <w:rPr>
                <w:spacing w:val="-5"/>
              </w:rPr>
              <w:t>抗渗</w:t>
            </w:r>
          </w:p>
        </w:tc>
      </w:tr>
      <w:tr w14:paraId="35336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719" w:type="dxa"/>
            <w:vMerge w:val="continue"/>
            <w:vAlign w:val="top"/>
          </w:tcPr>
          <w:p w14:paraId="3D370AC5">
            <w:pPr>
              <w:rPr>
                <w:rFonts w:ascii="Arial"/>
                <w:sz w:val="21"/>
              </w:rPr>
            </w:pPr>
          </w:p>
        </w:tc>
        <w:tc>
          <w:tcPr>
            <w:tcW w:w="2099" w:type="dxa"/>
            <w:vAlign w:val="top"/>
          </w:tcPr>
          <w:p w14:paraId="34CE8004">
            <w:pPr>
              <w:pStyle w:val="88"/>
              <w:spacing w:before="118" w:line="312" w:lineRule="auto"/>
              <w:ind w:left="935" w:right="106" w:hanging="823"/>
            </w:pPr>
            <w:r>
              <w:rPr>
                <w:spacing w:val="-6"/>
              </w:rPr>
              <w:t>砌筑砂浆、预拌砂</w:t>
            </w:r>
            <w:r>
              <w:rPr>
                <w:spacing w:val="1"/>
              </w:rPr>
              <w:t xml:space="preserve"> </w:t>
            </w:r>
            <w:r>
              <w:t>浆</w:t>
            </w:r>
          </w:p>
        </w:tc>
        <w:tc>
          <w:tcPr>
            <w:tcW w:w="6019" w:type="dxa"/>
            <w:vAlign w:val="top"/>
          </w:tcPr>
          <w:p w14:paraId="56EB0536">
            <w:pPr>
              <w:spacing w:line="274" w:lineRule="auto"/>
              <w:rPr>
                <w:rFonts w:ascii="Arial"/>
                <w:sz w:val="21"/>
              </w:rPr>
            </w:pPr>
          </w:p>
          <w:p w14:paraId="29DC25AD">
            <w:pPr>
              <w:pStyle w:val="88"/>
              <w:spacing w:before="78" w:line="219" w:lineRule="auto"/>
              <w:ind w:left="113"/>
            </w:pPr>
            <w:r>
              <w:rPr>
                <w:spacing w:val="-3"/>
              </w:rPr>
              <w:t>抗压强度</w:t>
            </w:r>
          </w:p>
        </w:tc>
      </w:tr>
      <w:tr w14:paraId="42146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continue"/>
            <w:vAlign w:val="top"/>
          </w:tcPr>
          <w:p w14:paraId="64B82C42">
            <w:pPr>
              <w:rPr>
                <w:rFonts w:ascii="Arial"/>
                <w:sz w:val="21"/>
              </w:rPr>
            </w:pPr>
          </w:p>
        </w:tc>
        <w:tc>
          <w:tcPr>
            <w:tcW w:w="2099" w:type="dxa"/>
            <w:vAlign w:val="top"/>
          </w:tcPr>
          <w:p w14:paraId="11FEE992">
            <w:pPr>
              <w:pStyle w:val="88"/>
              <w:spacing w:before="118" w:line="219" w:lineRule="auto"/>
              <w:ind w:left="590"/>
            </w:pPr>
            <w:r>
              <w:rPr>
                <w:spacing w:val="-7"/>
              </w:rPr>
              <w:t>防水材料</w:t>
            </w:r>
          </w:p>
        </w:tc>
        <w:tc>
          <w:tcPr>
            <w:tcW w:w="6019" w:type="dxa"/>
            <w:vAlign w:val="top"/>
          </w:tcPr>
          <w:p w14:paraId="0A449BF3">
            <w:pPr>
              <w:pStyle w:val="88"/>
              <w:spacing w:before="118" w:line="219" w:lineRule="auto"/>
              <w:ind w:left="128"/>
            </w:pPr>
            <w:r>
              <w:rPr>
                <w:spacing w:val="-2"/>
              </w:rPr>
              <w:t>防水卷材、水泥基防水涂料、聚合物水泥砂浆等</w:t>
            </w:r>
          </w:p>
        </w:tc>
      </w:tr>
      <w:tr w14:paraId="0F6EF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continue"/>
            <w:vAlign w:val="top"/>
          </w:tcPr>
          <w:p w14:paraId="043F69BE">
            <w:pPr>
              <w:rPr>
                <w:rFonts w:ascii="Arial"/>
                <w:sz w:val="21"/>
              </w:rPr>
            </w:pPr>
          </w:p>
        </w:tc>
        <w:tc>
          <w:tcPr>
            <w:tcW w:w="2099" w:type="dxa"/>
            <w:vAlign w:val="top"/>
          </w:tcPr>
          <w:p w14:paraId="5B80D723">
            <w:pPr>
              <w:pStyle w:val="88"/>
              <w:spacing w:before="118" w:line="221" w:lineRule="auto"/>
              <w:ind w:left="816"/>
            </w:pPr>
            <w:r>
              <w:rPr>
                <w:spacing w:val="-6"/>
              </w:rPr>
              <w:t>面砖</w:t>
            </w:r>
          </w:p>
        </w:tc>
        <w:tc>
          <w:tcPr>
            <w:tcW w:w="6019" w:type="dxa"/>
            <w:vAlign w:val="top"/>
          </w:tcPr>
          <w:p w14:paraId="16BCAFBC">
            <w:pPr>
              <w:pStyle w:val="88"/>
              <w:spacing w:before="119" w:line="219" w:lineRule="auto"/>
              <w:ind w:left="113"/>
            </w:pPr>
            <w:r>
              <w:rPr>
                <w:spacing w:val="-1"/>
              </w:rPr>
              <w:t>抗折强度、抗冻、断裂模数</w:t>
            </w:r>
          </w:p>
        </w:tc>
      </w:tr>
      <w:tr w14:paraId="45001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continue"/>
            <w:vAlign w:val="top"/>
          </w:tcPr>
          <w:p w14:paraId="2575217D">
            <w:pPr>
              <w:rPr>
                <w:rFonts w:ascii="Arial"/>
                <w:sz w:val="21"/>
              </w:rPr>
            </w:pPr>
          </w:p>
        </w:tc>
        <w:tc>
          <w:tcPr>
            <w:tcW w:w="2099" w:type="dxa"/>
            <w:vAlign w:val="top"/>
          </w:tcPr>
          <w:p w14:paraId="61C17210">
            <w:pPr>
              <w:pStyle w:val="88"/>
              <w:spacing w:before="120" w:line="219" w:lineRule="auto"/>
              <w:ind w:left="333"/>
            </w:pPr>
            <w:r>
              <w:rPr>
                <w:spacing w:val="-2"/>
              </w:rPr>
              <w:t>钢筋机械连接</w:t>
            </w:r>
          </w:p>
        </w:tc>
        <w:tc>
          <w:tcPr>
            <w:tcW w:w="6019" w:type="dxa"/>
            <w:vAlign w:val="top"/>
          </w:tcPr>
          <w:p w14:paraId="7E843FC2">
            <w:pPr>
              <w:pStyle w:val="88"/>
              <w:spacing w:before="120" w:line="220" w:lineRule="auto"/>
              <w:ind w:left="115"/>
            </w:pPr>
            <w:r>
              <w:rPr>
                <w:spacing w:val="-2"/>
              </w:rPr>
              <w:t>拉伸、工艺性试验</w:t>
            </w:r>
          </w:p>
        </w:tc>
      </w:tr>
      <w:tr w14:paraId="6196E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719" w:type="dxa"/>
            <w:vMerge w:val="continue"/>
            <w:vAlign w:val="top"/>
          </w:tcPr>
          <w:p w14:paraId="47B0ED87">
            <w:pPr>
              <w:rPr>
                <w:rFonts w:ascii="Arial"/>
                <w:sz w:val="21"/>
              </w:rPr>
            </w:pPr>
          </w:p>
        </w:tc>
        <w:tc>
          <w:tcPr>
            <w:tcW w:w="2099" w:type="dxa"/>
            <w:vAlign w:val="top"/>
          </w:tcPr>
          <w:p w14:paraId="28135101">
            <w:pPr>
              <w:pStyle w:val="88"/>
              <w:spacing w:before="120" w:line="235" w:lineRule="auto"/>
              <w:ind w:left="816"/>
            </w:pPr>
            <w:r>
              <w:rPr>
                <w:spacing w:val="-6"/>
              </w:rPr>
              <w:t>土工</w:t>
            </w:r>
          </w:p>
        </w:tc>
        <w:tc>
          <w:tcPr>
            <w:tcW w:w="6019" w:type="dxa"/>
            <w:vAlign w:val="top"/>
          </w:tcPr>
          <w:p w14:paraId="41DF39D6">
            <w:pPr>
              <w:pStyle w:val="88"/>
              <w:spacing w:before="119" w:line="219" w:lineRule="auto"/>
              <w:ind w:left="114"/>
            </w:pPr>
            <w:r>
              <w:rPr>
                <w:spacing w:val="-1"/>
              </w:rPr>
              <w:t>标准击实、滴定曲线、环刀、灌砂、水泥（石灰）剂量</w:t>
            </w:r>
          </w:p>
        </w:tc>
      </w:tr>
      <w:tr w14:paraId="6D192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continue"/>
            <w:vAlign w:val="top"/>
          </w:tcPr>
          <w:p w14:paraId="0E8C649C">
            <w:pPr>
              <w:rPr>
                <w:rFonts w:ascii="Arial"/>
                <w:sz w:val="21"/>
              </w:rPr>
            </w:pPr>
          </w:p>
        </w:tc>
        <w:tc>
          <w:tcPr>
            <w:tcW w:w="2099" w:type="dxa"/>
            <w:vAlign w:val="top"/>
          </w:tcPr>
          <w:p w14:paraId="6F0E130E">
            <w:pPr>
              <w:pStyle w:val="88"/>
              <w:spacing w:before="120" w:line="219" w:lineRule="auto"/>
              <w:ind w:left="455"/>
            </w:pPr>
            <w:r>
              <w:rPr>
                <w:spacing w:val="-2"/>
              </w:rPr>
              <w:t>地基承载力</w:t>
            </w:r>
          </w:p>
        </w:tc>
        <w:tc>
          <w:tcPr>
            <w:tcW w:w="6019" w:type="dxa"/>
            <w:vAlign w:val="top"/>
          </w:tcPr>
          <w:p w14:paraId="3542E302">
            <w:pPr>
              <w:pStyle w:val="88"/>
              <w:spacing w:before="120" w:line="219" w:lineRule="auto"/>
              <w:ind w:left="113"/>
            </w:pPr>
            <w:r>
              <w:rPr>
                <w:spacing w:val="-4"/>
              </w:rPr>
              <w:t>承载力</w:t>
            </w:r>
          </w:p>
        </w:tc>
      </w:tr>
      <w:tr w14:paraId="31AC1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continue"/>
            <w:vAlign w:val="top"/>
          </w:tcPr>
          <w:p w14:paraId="7435A7F8">
            <w:pPr>
              <w:rPr>
                <w:rFonts w:ascii="Arial"/>
                <w:sz w:val="21"/>
              </w:rPr>
            </w:pPr>
          </w:p>
        </w:tc>
        <w:tc>
          <w:tcPr>
            <w:tcW w:w="2099" w:type="dxa"/>
            <w:vAlign w:val="top"/>
          </w:tcPr>
          <w:p w14:paraId="58A74F67">
            <w:pPr>
              <w:pStyle w:val="88"/>
              <w:spacing w:before="119" w:line="220" w:lineRule="auto"/>
              <w:ind w:left="336"/>
            </w:pPr>
            <w:r>
              <w:rPr>
                <w:spacing w:val="-2"/>
              </w:rPr>
              <w:t>面砖现场试验</w:t>
            </w:r>
          </w:p>
        </w:tc>
        <w:tc>
          <w:tcPr>
            <w:tcW w:w="6019" w:type="dxa"/>
            <w:vAlign w:val="top"/>
          </w:tcPr>
          <w:p w14:paraId="73FAB2F9">
            <w:pPr>
              <w:pStyle w:val="88"/>
              <w:spacing w:before="119" w:line="220" w:lineRule="auto"/>
              <w:ind w:left="115"/>
            </w:pPr>
            <w:r>
              <w:rPr>
                <w:spacing w:val="-3"/>
              </w:rPr>
              <w:t>拉拔试验</w:t>
            </w:r>
          </w:p>
        </w:tc>
      </w:tr>
      <w:tr w14:paraId="22BEF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continue"/>
            <w:vAlign w:val="top"/>
          </w:tcPr>
          <w:p w14:paraId="3A710001">
            <w:pPr>
              <w:rPr>
                <w:rFonts w:ascii="Arial"/>
                <w:sz w:val="21"/>
              </w:rPr>
            </w:pPr>
          </w:p>
        </w:tc>
        <w:tc>
          <w:tcPr>
            <w:tcW w:w="2099" w:type="dxa"/>
            <w:vAlign w:val="top"/>
          </w:tcPr>
          <w:p w14:paraId="03BA2BA5">
            <w:pPr>
              <w:pStyle w:val="88"/>
              <w:spacing w:before="119" w:line="220" w:lineRule="auto"/>
              <w:ind w:left="335"/>
            </w:pPr>
            <w:r>
              <w:rPr>
                <w:spacing w:val="-2"/>
              </w:rPr>
              <w:t>地砖及釉面砖</w:t>
            </w:r>
          </w:p>
        </w:tc>
        <w:tc>
          <w:tcPr>
            <w:tcW w:w="6019" w:type="dxa"/>
            <w:vAlign w:val="top"/>
          </w:tcPr>
          <w:p w14:paraId="3988F2DD">
            <w:pPr>
              <w:pStyle w:val="88"/>
              <w:spacing w:before="119" w:line="220" w:lineRule="auto"/>
              <w:ind w:left="119"/>
            </w:pPr>
            <w:r>
              <w:rPr>
                <w:spacing w:val="-8"/>
              </w:rPr>
              <w:t>常规</w:t>
            </w:r>
          </w:p>
        </w:tc>
      </w:tr>
      <w:tr w14:paraId="0EE24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continue"/>
            <w:vAlign w:val="top"/>
          </w:tcPr>
          <w:p w14:paraId="144CED3D">
            <w:pPr>
              <w:rPr>
                <w:rFonts w:ascii="Arial"/>
                <w:sz w:val="21"/>
              </w:rPr>
            </w:pPr>
          </w:p>
        </w:tc>
        <w:tc>
          <w:tcPr>
            <w:tcW w:w="2099" w:type="dxa"/>
            <w:vAlign w:val="top"/>
          </w:tcPr>
          <w:p w14:paraId="34DC78FC">
            <w:pPr>
              <w:pStyle w:val="88"/>
              <w:spacing w:before="118" w:line="220" w:lineRule="auto"/>
              <w:ind w:left="458"/>
            </w:pPr>
            <w:r>
              <w:rPr>
                <w:spacing w:val="-3"/>
              </w:rPr>
              <w:t>涂料及油漆</w:t>
            </w:r>
          </w:p>
        </w:tc>
        <w:tc>
          <w:tcPr>
            <w:tcW w:w="6019" w:type="dxa"/>
            <w:vAlign w:val="top"/>
          </w:tcPr>
          <w:p w14:paraId="69457F31">
            <w:pPr>
              <w:pStyle w:val="88"/>
              <w:spacing w:before="118" w:line="220" w:lineRule="auto"/>
              <w:ind w:left="119"/>
            </w:pPr>
            <w:r>
              <w:rPr>
                <w:spacing w:val="-8"/>
              </w:rPr>
              <w:t>常规</w:t>
            </w:r>
          </w:p>
        </w:tc>
      </w:tr>
      <w:tr w14:paraId="14B71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continue"/>
            <w:vAlign w:val="top"/>
          </w:tcPr>
          <w:p w14:paraId="276C23F5">
            <w:pPr>
              <w:rPr>
                <w:rFonts w:ascii="Arial"/>
                <w:sz w:val="21"/>
              </w:rPr>
            </w:pPr>
          </w:p>
        </w:tc>
        <w:tc>
          <w:tcPr>
            <w:tcW w:w="2099" w:type="dxa"/>
            <w:vAlign w:val="top"/>
          </w:tcPr>
          <w:p w14:paraId="08D47FDC">
            <w:pPr>
              <w:pStyle w:val="88"/>
              <w:spacing w:before="121" w:line="219" w:lineRule="auto"/>
              <w:ind w:left="335"/>
            </w:pPr>
            <w:r>
              <w:rPr>
                <w:spacing w:val="-2"/>
              </w:rPr>
              <w:t>微膨胀混凝土</w:t>
            </w:r>
          </w:p>
        </w:tc>
        <w:tc>
          <w:tcPr>
            <w:tcW w:w="6019" w:type="dxa"/>
            <w:vAlign w:val="top"/>
          </w:tcPr>
          <w:p w14:paraId="01232240">
            <w:pPr>
              <w:pStyle w:val="88"/>
              <w:spacing w:before="121" w:line="219" w:lineRule="auto"/>
              <w:ind w:left="113"/>
            </w:pPr>
            <w:r>
              <w:rPr>
                <w:spacing w:val="-1"/>
              </w:rPr>
              <w:t>配合比试验及性能检验</w:t>
            </w:r>
          </w:p>
        </w:tc>
      </w:tr>
      <w:tr w14:paraId="27D57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continue"/>
            <w:vAlign w:val="top"/>
          </w:tcPr>
          <w:p w14:paraId="03B51349">
            <w:pPr>
              <w:rPr>
                <w:rFonts w:ascii="Arial"/>
                <w:sz w:val="21"/>
              </w:rPr>
            </w:pPr>
          </w:p>
        </w:tc>
        <w:tc>
          <w:tcPr>
            <w:tcW w:w="2099" w:type="dxa"/>
            <w:vAlign w:val="top"/>
          </w:tcPr>
          <w:p w14:paraId="302B8935">
            <w:pPr>
              <w:pStyle w:val="88"/>
              <w:spacing w:before="120" w:line="219" w:lineRule="auto"/>
              <w:ind w:left="214"/>
            </w:pPr>
            <w:r>
              <w:rPr>
                <w:spacing w:val="-2"/>
              </w:rPr>
              <w:t>遇水膨胀止水带</w:t>
            </w:r>
          </w:p>
        </w:tc>
        <w:tc>
          <w:tcPr>
            <w:tcW w:w="6019" w:type="dxa"/>
            <w:vAlign w:val="top"/>
          </w:tcPr>
          <w:p w14:paraId="3F09896C">
            <w:pPr>
              <w:pStyle w:val="88"/>
              <w:spacing w:before="120" w:line="220" w:lineRule="auto"/>
              <w:ind w:left="119"/>
            </w:pPr>
            <w:r>
              <w:rPr>
                <w:spacing w:val="-4"/>
              </w:rPr>
              <w:t>常规试验</w:t>
            </w:r>
          </w:p>
        </w:tc>
      </w:tr>
      <w:tr w14:paraId="6E1D1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continue"/>
            <w:vAlign w:val="top"/>
          </w:tcPr>
          <w:p w14:paraId="1FC14CEF">
            <w:pPr>
              <w:rPr>
                <w:rFonts w:ascii="Arial"/>
                <w:sz w:val="21"/>
              </w:rPr>
            </w:pPr>
          </w:p>
        </w:tc>
        <w:tc>
          <w:tcPr>
            <w:tcW w:w="2099" w:type="dxa"/>
            <w:vAlign w:val="top"/>
          </w:tcPr>
          <w:p w14:paraId="25C26E8B">
            <w:pPr>
              <w:pStyle w:val="88"/>
              <w:spacing w:before="119" w:line="220" w:lineRule="auto"/>
              <w:ind w:left="215"/>
            </w:pPr>
            <w:r>
              <w:rPr>
                <w:spacing w:val="-2"/>
              </w:rPr>
              <w:t>加气混凝土砌块</w:t>
            </w:r>
          </w:p>
        </w:tc>
        <w:tc>
          <w:tcPr>
            <w:tcW w:w="6019" w:type="dxa"/>
            <w:vAlign w:val="top"/>
          </w:tcPr>
          <w:p w14:paraId="3704665E">
            <w:pPr>
              <w:pStyle w:val="88"/>
              <w:spacing w:before="120" w:line="219" w:lineRule="auto"/>
              <w:ind w:left="114"/>
            </w:pPr>
            <w:r>
              <w:rPr>
                <w:spacing w:val="-2"/>
              </w:rPr>
              <w:t>密度及抗压强度</w:t>
            </w:r>
          </w:p>
        </w:tc>
      </w:tr>
      <w:tr w14:paraId="21D11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continue"/>
            <w:vAlign w:val="top"/>
          </w:tcPr>
          <w:p w14:paraId="55488780">
            <w:pPr>
              <w:rPr>
                <w:rFonts w:ascii="Arial"/>
                <w:sz w:val="21"/>
              </w:rPr>
            </w:pPr>
          </w:p>
        </w:tc>
        <w:tc>
          <w:tcPr>
            <w:tcW w:w="2099" w:type="dxa"/>
            <w:vAlign w:val="top"/>
          </w:tcPr>
          <w:p w14:paraId="50E36C42">
            <w:pPr>
              <w:pStyle w:val="88"/>
              <w:spacing w:before="119" w:line="219" w:lineRule="auto"/>
              <w:ind w:left="603"/>
            </w:pPr>
            <w:r>
              <w:rPr>
                <w:spacing w:val="-10"/>
              </w:rPr>
              <w:t>电线电缆</w:t>
            </w:r>
          </w:p>
        </w:tc>
        <w:tc>
          <w:tcPr>
            <w:tcW w:w="6019" w:type="dxa"/>
            <w:vAlign w:val="top"/>
          </w:tcPr>
          <w:p w14:paraId="6F9B8E41">
            <w:pPr>
              <w:pStyle w:val="88"/>
              <w:spacing w:before="119" w:line="219" w:lineRule="auto"/>
              <w:ind w:left="115"/>
            </w:pPr>
            <w:r>
              <w:rPr>
                <w:spacing w:val="-1"/>
              </w:rPr>
              <w:t>绝缘电阻、绝缘层厚度、20℃导体电阻</w:t>
            </w:r>
          </w:p>
        </w:tc>
      </w:tr>
      <w:tr w14:paraId="338D4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continue"/>
            <w:vAlign w:val="top"/>
          </w:tcPr>
          <w:p w14:paraId="17944E84">
            <w:pPr>
              <w:rPr>
                <w:rFonts w:ascii="Arial"/>
                <w:sz w:val="21"/>
              </w:rPr>
            </w:pPr>
          </w:p>
        </w:tc>
        <w:tc>
          <w:tcPr>
            <w:tcW w:w="2099" w:type="dxa"/>
            <w:vAlign w:val="top"/>
          </w:tcPr>
          <w:p w14:paraId="722574B6">
            <w:pPr>
              <w:pStyle w:val="88"/>
              <w:spacing w:before="118" w:line="219" w:lineRule="auto"/>
              <w:ind w:left="461"/>
            </w:pPr>
            <w:r>
              <w:rPr>
                <w:spacing w:val="-4"/>
              </w:rPr>
              <w:t>管材及管件</w:t>
            </w:r>
          </w:p>
        </w:tc>
        <w:tc>
          <w:tcPr>
            <w:tcW w:w="6019" w:type="dxa"/>
            <w:vAlign w:val="top"/>
          </w:tcPr>
          <w:p w14:paraId="5DC82478">
            <w:pPr>
              <w:pStyle w:val="88"/>
              <w:spacing w:before="119" w:line="219" w:lineRule="auto"/>
              <w:ind w:left="119"/>
            </w:pPr>
            <w:r>
              <w:rPr>
                <w:spacing w:val="-4"/>
              </w:rPr>
              <w:t>常规检测</w:t>
            </w:r>
          </w:p>
        </w:tc>
      </w:tr>
      <w:tr w14:paraId="05107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1719" w:type="dxa"/>
            <w:vMerge w:val="continue"/>
            <w:vAlign w:val="top"/>
          </w:tcPr>
          <w:p w14:paraId="33D8F9B9">
            <w:pPr>
              <w:rPr>
                <w:rFonts w:ascii="Arial"/>
                <w:sz w:val="21"/>
              </w:rPr>
            </w:pPr>
          </w:p>
        </w:tc>
        <w:tc>
          <w:tcPr>
            <w:tcW w:w="2099" w:type="dxa"/>
            <w:vAlign w:val="top"/>
          </w:tcPr>
          <w:p w14:paraId="7F4FCDFE">
            <w:pPr>
              <w:pStyle w:val="88"/>
              <w:spacing w:before="118" w:line="220" w:lineRule="auto"/>
              <w:ind w:left="455"/>
            </w:pPr>
            <w:r>
              <w:rPr>
                <w:spacing w:val="-2"/>
              </w:rPr>
              <w:t>井盖、井篦</w:t>
            </w:r>
          </w:p>
        </w:tc>
        <w:tc>
          <w:tcPr>
            <w:tcW w:w="6019" w:type="dxa"/>
            <w:vAlign w:val="top"/>
          </w:tcPr>
          <w:p w14:paraId="4B9DEF27">
            <w:pPr>
              <w:pStyle w:val="88"/>
              <w:spacing w:before="118" w:line="220" w:lineRule="auto"/>
              <w:ind w:left="119"/>
            </w:pPr>
            <w:r>
              <w:rPr>
                <w:spacing w:val="-4"/>
              </w:rPr>
              <w:t>常规试验</w:t>
            </w:r>
          </w:p>
        </w:tc>
      </w:tr>
      <w:tr w14:paraId="03690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1719" w:type="dxa"/>
            <w:vMerge w:val="continue"/>
            <w:vAlign w:val="top"/>
          </w:tcPr>
          <w:p w14:paraId="5056F280">
            <w:pPr>
              <w:rPr>
                <w:rFonts w:ascii="Arial"/>
                <w:sz w:val="21"/>
              </w:rPr>
            </w:pPr>
          </w:p>
        </w:tc>
        <w:tc>
          <w:tcPr>
            <w:tcW w:w="2099" w:type="dxa"/>
            <w:vAlign w:val="top"/>
          </w:tcPr>
          <w:p w14:paraId="5A7E1CD8">
            <w:pPr>
              <w:pStyle w:val="88"/>
              <w:spacing w:before="118" w:line="314" w:lineRule="auto"/>
              <w:ind w:left="815" w:right="110" w:hanging="699"/>
            </w:pPr>
            <w:r>
              <w:rPr>
                <w:spacing w:val="-7"/>
              </w:rPr>
              <w:t>级配碎石、水稳、</w:t>
            </w:r>
            <w:r>
              <w:rPr>
                <w:spacing w:val="1"/>
              </w:rPr>
              <w:t xml:space="preserve"> </w:t>
            </w:r>
            <w:r>
              <w:rPr>
                <w:spacing w:val="-5"/>
              </w:rPr>
              <w:t>沥青</w:t>
            </w:r>
          </w:p>
        </w:tc>
        <w:tc>
          <w:tcPr>
            <w:tcW w:w="6019" w:type="dxa"/>
            <w:vAlign w:val="top"/>
          </w:tcPr>
          <w:p w14:paraId="4405F5C9">
            <w:pPr>
              <w:spacing w:line="274" w:lineRule="auto"/>
              <w:rPr>
                <w:rFonts w:ascii="Arial"/>
                <w:sz w:val="21"/>
              </w:rPr>
            </w:pPr>
          </w:p>
          <w:p w14:paraId="5150EA7A">
            <w:pPr>
              <w:pStyle w:val="88"/>
              <w:spacing w:before="78" w:line="220" w:lineRule="auto"/>
              <w:ind w:left="119"/>
            </w:pPr>
            <w:r>
              <w:rPr>
                <w:spacing w:val="-4"/>
              </w:rPr>
              <w:t>常规试验</w:t>
            </w:r>
          </w:p>
        </w:tc>
      </w:tr>
      <w:tr w14:paraId="6EA60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1719" w:type="dxa"/>
            <w:vMerge w:val="continue"/>
            <w:vAlign w:val="top"/>
          </w:tcPr>
          <w:p w14:paraId="2251D1AA">
            <w:pPr>
              <w:rPr>
                <w:rFonts w:ascii="Arial"/>
                <w:sz w:val="21"/>
              </w:rPr>
            </w:pPr>
          </w:p>
        </w:tc>
        <w:tc>
          <w:tcPr>
            <w:tcW w:w="2099" w:type="dxa"/>
            <w:vAlign w:val="top"/>
          </w:tcPr>
          <w:p w14:paraId="2F4956CB">
            <w:pPr>
              <w:pStyle w:val="88"/>
              <w:spacing w:before="116" w:line="219" w:lineRule="auto"/>
              <w:ind w:left="465"/>
            </w:pPr>
            <w:r>
              <w:rPr>
                <w:spacing w:val="-4"/>
              </w:rPr>
              <w:t>聚氯乙烯板</w:t>
            </w:r>
          </w:p>
        </w:tc>
        <w:tc>
          <w:tcPr>
            <w:tcW w:w="6019" w:type="dxa"/>
            <w:vAlign w:val="top"/>
          </w:tcPr>
          <w:p w14:paraId="40682A9C">
            <w:pPr>
              <w:pStyle w:val="88"/>
              <w:spacing w:before="117" w:line="219" w:lineRule="auto"/>
              <w:ind w:left="119"/>
            </w:pPr>
            <w:r>
              <w:rPr>
                <w:spacing w:val="-4"/>
              </w:rPr>
              <w:t>常规检测</w:t>
            </w:r>
          </w:p>
        </w:tc>
      </w:tr>
      <w:tr w14:paraId="3484F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1719" w:type="dxa"/>
            <w:vMerge w:val="continue"/>
            <w:vAlign w:val="top"/>
          </w:tcPr>
          <w:p w14:paraId="5CCDBDB3">
            <w:pPr>
              <w:rPr>
                <w:rFonts w:ascii="Arial"/>
                <w:sz w:val="21"/>
              </w:rPr>
            </w:pPr>
          </w:p>
        </w:tc>
        <w:tc>
          <w:tcPr>
            <w:tcW w:w="2099" w:type="dxa"/>
            <w:vAlign w:val="top"/>
          </w:tcPr>
          <w:p w14:paraId="02A7C3DA">
            <w:pPr>
              <w:pStyle w:val="88"/>
              <w:spacing w:before="115" w:line="219" w:lineRule="auto"/>
              <w:ind w:left="117"/>
            </w:pPr>
            <w:r>
              <w:rPr>
                <w:spacing w:val="-2"/>
              </w:rPr>
              <w:t>外加剂（减水剂，</w:t>
            </w:r>
          </w:p>
          <w:p w14:paraId="7B7571E8">
            <w:pPr>
              <w:pStyle w:val="88"/>
              <w:spacing w:before="183" w:line="219" w:lineRule="auto"/>
              <w:ind w:left="575"/>
            </w:pPr>
            <w:r>
              <w:rPr>
                <w:spacing w:val="-3"/>
              </w:rPr>
              <w:t>膨胀剂）</w:t>
            </w:r>
          </w:p>
        </w:tc>
        <w:tc>
          <w:tcPr>
            <w:tcW w:w="6019" w:type="dxa"/>
            <w:vAlign w:val="top"/>
          </w:tcPr>
          <w:p w14:paraId="41465175">
            <w:pPr>
              <w:spacing w:line="269" w:lineRule="auto"/>
              <w:rPr>
                <w:rFonts w:ascii="Arial"/>
                <w:sz w:val="21"/>
              </w:rPr>
            </w:pPr>
          </w:p>
          <w:p w14:paraId="36BE6C94">
            <w:pPr>
              <w:pStyle w:val="88"/>
              <w:spacing w:before="78" w:line="219" w:lineRule="auto"/>
              <w:ind w:left="119"/>
            </w:pPr>
            <w:r>
              <w:rPr>
                <w:spacing w:val="-4"/>
              </w:rPr>
              <w:t>常规检测</w:t>
            </w:r>
          </w:p>
        </w:tc>
      </w:tr>
      <w:tr w14:paraId="71AF5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719" w:type="dxa"/>
            <w:vMerge w:val="restart"/>
            <w:tcBorders>
              <w:bottom w:val="nil"/>
            </w:tcBorders>
            <w:vAlign w:val="top"/>
          </w:tcPr>
          <w:p w14:paraId="3366908B">
            <w:pPr>
              <w:spacing w:line="244" w:lineRule="auto"/>
              <w:rPr>
                <w:rFonts w:ascii="Arial"/>
                <w:sz w:val="21"/>
              </w:rPr>
            </w:pPr>
          </w:p>
          <w:p w14:paraId="3204E1F8">
            <w:pPr>
              <w:spacing w:line="244" w:lineRule="auto"/>
              <w:rPr>
                <w:rFonts w:ascii="Arial"/>
                <w:sz w:val="21"/>
              </w:rPr>
            </w:pPr>
          </w:p>
          <w:p w14:paraId="024B998F">
            <w:pPr>
              <w:spacing w:line="244" w:lineRule="auto"/>
              <w:rPr>
                <w:rFonts w:ascii="Arial"/>
                <w:sz w:val="21"/>
              </w:rPr>
            </w:pPr>
          </w:p>
          <w:p w14:paraId="52775B74">
            <w:pPr>
              <w:spacing w:line="244" w:lineRule="auto"/>
              <w:rPr>
                <w:rFonts w:ascii="Arial"/>
                <w:sz w:val="21"/>
              </w:rPr>
            </w:pPr>
          </w:p>
          <w:p w14:paraId="5F99578A">
            <w:pPr>
              <w:spacing w:line="245" w:lineRule="auto"/>
              <w:rPr>
                <w:rFonts w:ascii="Arial"/>
                <w:sz w:val="21"/>
              </w:rPr>
            </w:pPr>
          </w:p>
          <w:p w14:paraId="18C91274">
            <w:pPr>
              <w:pStyle w:val="88"/>
              <w:spacing w:before="78" w:line="362" w:lineRule="auto"/>
              <w:ind w:left="132" w:right="165" w:hanging="9"/>
            </w:pPr>
            <w:r>
              <w:rPr>
                <w:spacing w:val="-3"/>
              </w:rPr>
              <w:t>结构检测含人</w:t>
            </w:r>
            <w:r>
              <w:rPr>
                <w:spacing w:val="1"/>
              </w:rPr>
              <w:t xml:space="preserve"> </w:t>
            </w:r>
            <w:r>
              <w:t>防</w:t>
            </w:r>
          </w:p>
        </w:tc>
        <w:tc>
          <w:tcPr>
            <w:tcW w:w="2099" w:type="dxa"/>
            <w:vAlign w:val="top"/>
          </w:tcPr>
          <w:p w14:paraId="0B4B3FE3">
            <w:pPr>
              <w:spacing w:line="271" w:lineRule="auto"/>
              <w:rPr>
                <w:rFonts w:ascii="Arial"/>
                <w:sz w:val="21"/>
              </w:rPr>
            </w:pPr>
          </w:p>
          <w:p w14:paraId="30458EA8">
            <w:pPr>
              <w:pStyle w:val="88"/>
              <w:spacing w:before="78" w:line="219" w:lineRule="auto"/>
              <w:ind w:left="581"/>
            </w:pPr>
            <w:r>
              <w:rPr>
                <w:spacing w:val="-4"/>
              </w:rPr>
              <w:t>结构检测</w:t>
            </w:r>
          </w:p>
        </w:tc>
        <w:tc>
          <w:tcPr>
            <w:tcW w:w="6019" w:type="dxa"/>
            <w:vAlign w:val="top"/>
          </w:tcPr>
          <w:p w14:paraId="6D4A81BD">
            <w:pPr>
              <w:pStyle w:val="88"/>
              <w:spacing w:before="116" w:line="313" w:lineRule="auto"/>
              <w:ind w:left="114" w:right="149" w:firstLine="1"/>
            </w:pPr>
            <w:r>
              <w:rPr>
                <w:spacing w:val="-1"/>
              </w:rPr>
              <w:t>混凝土强度、混凝土碳化深度，后置埋件的力学性能检</w:t>
            </w:r>
            <w:r>
              <w:rPr>
                <w:spacing w:val="-6"/>
              </w:rPr>
              <w:t>测。</w:t>
            </w:r>
          </w:p>
        </w:tc>
      </w:tr>
      <w:tr w14:paraId="73E7E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719" w:type="dxa"/>
            <w:vMerge w:val="continue"/>
            <w:tcBorders>
              <w:top w:val="nil"/>
              <w:bottom w:val="nil"/>
            </w:tcBorders>
            <w:vAlign w:val="top"/>
          </w:tcPr>
          <w:p w14:paraId="00B9D4B2">
            <w:pPr>
              <w:rPr>
                <w:rFonts w:ascii="Arial"/>
                <w:sz w:val="21"/>
              </w:rPr>
            </w:pPr>
          </w:p>
        </w:tc>
        <w:tc>
          <w:tcPr>
            <w:tcW w:w="2099" w:type="dxa"/>
            <w:vAlign w:val="top"/>
          </w:tcPr>
          <w:p w14:paraId="01EEDD44">
            <w:pPr>
              <w:spacing w:line="271" w:lineRule="auto"/>
              <w:rPr>
                <w:rFonts w:ascii="Arial"/>
                <w:sz w:val="21"/>
              </w:rPr>
            </w:pPr>
          </w:p>
          <w:p w14:paraId="6E7E425D">
            <w:pPr>
              <w:pStyle w:val="88"/>
              <w:spacing w:before="78" w:line="219" w:lineRule="auto"/>
              <w:ind w:left="581"/>
            </w:pPr>
            <w:r>
              <w:rPr>
                <w:spacing w:val="-4"/>
              </w:rPr>
              <w:t>结构检测</w:t>
            </w:r>
          </w:p>
        </w:tc>
        <w:tc>
          <w:tcPr>
            <w:tcW w:w="6019" w:type="dxa"/>
            <w:vAlign w:val="top"/>
          </w:tcPr>
          <w:p w14:paraId="70124523">
            <w:pPr>
              <w:pStyle w:val="88"/>
              <w:spacing w:before="116" w:line="313" w:lineRule="auto"/>
              <w:ind w:left="118" w:right="149" w:hanging="2"/>
            </w:pPr>
            <w:r>
              <w:rPr>
                <w:spacing w:val="-1"/>
              </w:rPr>
              <w:t>混凝土密实性（钢筋保护层厚度、楼板两面钢筋保护层</w:t>
            </w:r>
            <w:r>
              <w:rPr>
                <w:spacing w:val="-6"/>
              </w:rPr>
              <w:t>厚度）</w:t>
            </w:r>
          </w:p>
        </w:tc>
      </w:tr>
      <w:tr w14:paraId="57A18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jc w:val="center"/>
        </w:trPr>
        <w:tc>
          <w:tcPr>
            <w:tcW w:w="1719" w:type="dxa"/>
            <w:vMerge w:val="continue"/>
            <w:tcBorders>
              <w:top w:val="nil"/>
              <w:bottom w:val="nil"/>
            </w:tcBorders>
            <w:vAlign w:val="top"/>
          </w:tcPr>
          <w:p w14:paraId="234DE87E">
            <w:pPr>
              <w:rPr>
                <w:rFonts w:ascii="Arial"/>
                <w:sz w:val="21"/>
              </w:rPr>
            </w:pPr>
          </w:p>
        </w:tc>
        <w:tc>
          <w:tcPr>
            <w:tcW w:w="2099" w:type="dxa"/>
            <w:vAlign w:val="top"/>
          </w:tcPr>
          <w:p w14:paraId="5801AF6E">
            <w:pPr>
              <w:pStyle w:val="88"/>
              <w:spacing w:before="119" w:line="219" w:lineRule="auto"/>
              <w:ind w:left="581"/>
            </w:pPr>
            <w:r>
              <w:rPr>
                <w:spacing w:val="-4"/>
              </w:rPr>
              <w:t>结构检测</w:t>
            </w:r>
          </w:p>
        </w:tc>
        <w:tc>
          <w:tcPr>
            <w:tcW w:w="6019" w:type="dxa"/>
            <w:vAlign w:val="top"/>
          </w:tcPr>
          <w:p w14:paraId="5E457DE5">
            <w:pPr>
              <w:pStyle w:val="88"/>
              <w:spacing w:before="119" w:line="219" w:lineRule="auto"/>
              <w:ind w:left="111"/>
            </w:pPr>
            <w:r>
              <w:rPr>
                <w:spacing w:val="-1"/>
              </w:rPr>
              <w:t>钢筋配置、间距，混凝土预制构件结构性能检测</w:t>
            </w:r>
          </w:p>
        </w:tc>
      </w:tr>
      <w:tr w14:paraId="7A2E0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jc w:val="center"/>
        </w:trPr>
        <w:tc>
          <w:tcPr>
            <w:tcW w:w="1719" w:type="dxa"/>
            <w:vMerge w:val="continue"/>
            <w:tcBorders>
              <w:top w:val="nil"/>
              <w:bottom w:val="nil"/>
            </w:tcBorders>
            <w:vAlign w:val="top"/>
          </w:tcPr>
          <w:p w14:paraId="56D2E84D">
            <w:pPr>
              <w:rPr>
                <w:rFonts w:ascii="Arial"/>
                <w:sz w:val="21"/>
              </w:rPr>
            </w:pPr>
          </w:p>
        </w:tc>
        <w:tc>
          <w:tcPr>
            <w:tcW w:w="2099" w:type="dxa"/>
            <w:vAlign w:val="top"/>
          </w:tcPr>
          <w:p w14:paraId="33A9FC7D">
            <w:pPr>
              <w:pStyle w:val="88"/>
              <w:spacing w:before="118" w:line="219" w:lineRule="auto"/>
              <w:ind w:left="581"/>
            </w:pPr>
            <w:r>
              <w:rPr>
                <w:spacing w:val="-4"/>
              </w:rPr>
              <w:t>结构检测</w:t>
            </w:r>
          </w:p>
        </w:tc>
        <w:tc>
          <w:tcPr>
            <w:tcW w:w="6019" w:type="dxa"/>
            <w:vAlign w:val="top"/>
          </w:tcPr>
          <w:p w14:paraId="22BBACCD">
            <w:pPr>
              <w:pStyle w:val="88"/>
              <w:spacing w:before="117" w:line="219" w:lineRule="auto"/>
              <w:ind w:left="119"/>
            </w:pPr>
            <w:r>
              <w:rPr>
                <w:spacing w:val="-4"/>
              </w:rPr>
              <w:t>结构尺寸</w:t>
            </w:r>
          </w:p>
        </w:tc>
      </w:tr>
      <w:tr w14:paraId="54918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continue"/>
            <w:tcBorders>
              <w:top w:val="nil"/>
            </w:tcBorders>
            <w:vAlign w:val="top"/>
          </w:tcPr>
          <w:p w14:paraId="571D48FF">
            <w:pPr>
              <w:rPr>
                <w:rFonts w:ascii="Arial"/>
                <w:sz w:val="21"/>
              </w:rPr>
            </w:pPr>
          </w:p>
        </w:tc>
        <w:tc>
          <w:tcPr>
            <w:tcW w:w="2099" w:type="dxa"/>
            <w:vAlign w:val="top"/>
          </w:tcPr>
          <w:p w14:paraId="08C36B8E">
            <w:pPr>
              <w:pStyle w:val="88"/>
              <w:spacing w:before="118" w:line="219" w:lineRule="auto"/>
              <w:ind w:left="581"/>
            </w:pPr>
            <w:r>
              <w:rPr>
                <w:spacing w:val="-4"/>
              </w:rPr>
              <w:t>结构检测</w:t>
            </w:r>
          </w:p>
        </w:tc>
        <w:tc>
          <w:tcPr>
            <w:tcW w:w="6019" w:type="dxa"/>
            <w:vAlign w:val="top"/>
          </w:tcPr>
          <w:p w14:paraId="0CDF91B6">
            <w:pPr>
              <w:pStyle w:val="88"/>
              <w:spacing w:before="117" w:line="219" w:lineRule="auto"/>
              <w:ind w:left="137"/>
            </w:pPr>
            <w:r>
              <w:rPr>
                <w:spacing w:val="-3"/>
              </w:rPr>
              <w:t>回弹法、钻芯法（不合格项需检测）</w:t>
            </w:r>
          </w:p>
        </w:tc>
      </w:tr>
      <w:tr w14:paraId="4DEE0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jc w:val="center"/>
        </w:trPr>
        <w:tc>
          <w:tcPr>
            <w:tcW w:w="1719" w:type="dxa"/>
            <w:vAlign w:val="top"/>
          </w:tcPr>
          <w:p w14:paraId="03EAD54D">
            <w:pPr>
              <w:spacing w:line="271" w:lineRule="auto"/>
              <w:rPr>
                <w:rFonts w:ascii="Arial"/>
                <w:sz w:val="21"/>
              </w:rPr>
            </w:pPr>
          </w:p>
          <w:p w14:paraId="541CBEF6">
            <w:pPr>
              <w:pStyle w:val="88"/>
              <w:spacing w:before="78" w:line="219" w:lineRule="auto"/>
              <w:ind w:left="117"/>
            </w:pPr>
            <w:r>
              <w:rPr>
                <w:spacing w:val="-3"/>
              </w:rPr>
              <w:t>道路工程</w:t>
            </w:r>
          </w:p>
        </w:tc>
        <w:tc>
          <w:tcPr>
            <w:tcW w:w="2099" w:type="dxa"/>
            <w:vAlign w:val="top"/>
          </w:tcPr>
          <w:p w14:paraId="0B23E851">
            <w:pPr>
              <w:rPr>
                <w:rFonts w:ascii="Arial"/>
                <w:sz w:val="21"/>
              </w:rPr>
            </w:pPr>
          </w:p>
        </w:tc>
        <w:tc>
          <w:tcPr>
            <w:tcW w:w="6019" w:type="dxa"/>
            <w:vAlign w:val="top"/>
          </w:tcPr>
          <w:p w14:paraId="07EE810A">
            <w:pPr>
              <w:pStyle w:val="88"/>
              <w:spacing w:before="39" w:line="342" w:lineRule="auto"/>
              <w:ind w:left="139" w:right="149" w:hanging="25"/>
              <w:rPr>
                <w:rFonts w:hint="eastAsia" w:eastAsia="宋体"/>
                <w:spacing w:val="-3"/>
                <w:lang w:eastAsia="zh-CN"/>
              </w:rPr>
            </w:pPr>
            <w:r>
              <w:rPr>
                <w:spacing w:val="-1"/>
              </w:rPr>
              <w:t>压实度、灰剂量、路面厚度、弯沉、平整度、水稳配合</w:t>
            </w:r>
            <w:r>
              <w:rPr>
                <w:spacing w:val="-3"/>
              </w:rPr>
              <w:t>比、沥青配合比、无侧限抗压强度</w:t>
            </w:r>
            <w:r>
              <w:rPr>
                <w:rFonts w:hint="eastAsia"/>
                <w:spacing w:val="-3"/>
                <w:lang w:eastAsia="zh-CN"/>
              </w:rPr>
              <w:t>。</w:t>
            </w:r>
          </w:p>
        </w:tc>
      </w:tr>
      <w:tr w14:paraId="5555D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8" w:hRule="atLeast"/>
          <w:jc w:val="center"/>
        </w:trPr>
        <w:tc>
          <w:tcPr>
            <w:tcW w:w="1719" w:type="dxa"/>
            <w:vAlign w:val="center"/>
          </w:tcPr>
          <w:p w14:paraId="1AC1432F">
            <w:pPr>
              <w:pStyle w:val="88"/>
              <w:spacing w:before="78" w:line="219" w:lineRule="auto"/>
              <w:ind w:left="121"/>
              <w:jc w:val="center"/>
            </w:pPr>
            <w:r>
              <w:rPr>
                <w:spacing w:val="-3"/>
              </w:rPr>
              <w:t>室内环境检测</w:t>
            </w:r>
          </w:p>
        </w:tc>
        <w:tc>
          <w:tcPr>
            <w:tcW w:w="2099" w:type="dxa"/>
            <w:vAlign w:val="top"/>
          </w:tcPr>
          <w:p w14:paraId="625A8E23">
            <w:pPr>
              <w:spacing w:line="268" w:lineRule="auto"/>
              <w:rPr>
                <w:rFonts w:ascii="Arial"/>
                <w:sz w:val="21"/>
              </w:rPr>
            </w:pPr>
          </w:p>
          <w:p w14:paraId="2C9B7B69">
            <w:pPr>
              <w:pStyle w:val="88"/>
              <w:spacing w:before="78" w:line="219" w:lineRule="auto"/>
              <w:ind w:left="214"/>
            </w:pPr>
            <w:r>
              <w:rPr>
                <w:spacing w:val="-2"/>
              </w:rPr>
              <w:t>验收前室内环境</w:t>
            </w:r>
          </w:p>
          <w:p w14:paraId="2107735C">
            <w:pPr>
              <w:pStyle w:val="88"/>
              <w:spacing w:before="183" w:line="219" w:lineRule="auto"/>
              <w:ind w:left="215"/>
            </w:pPr>
            <w:r>
              <w:rPr>
                <w:spacing w:val="-2"/>
              </w:rPr>
              <w:t>检测及设施设备</w:t>
            </w:r>
          </w:p>
          <w:p w14:paraId="475A6438">
            <w:pPr>
              <w:pStyle w:val="88"/>
              <w:spacing w:before="183" w:line="219" w:lineRule="auto"/>
              <w:ind w:left="217"/>
            </w:pPr>
            <w:r>
              <w:rPr>
                <w:spacing w:val="-2"/>
              </w:rPr>
              <w:t>等全部到位后综</w:t>
            </w:r>
          </w:p>
          <w:p w14:paraId="167EB219">
            <w:pPr>
              <w:pStyle w:val="88"/>
              <w:spacing w:before="183" w:line="219" w:lineRule="auto"/>
              <w:ind w:left="456"/>
            </w:pPr>
            <w:r>
              <w:rPr>
                <w:spacing w:val="-3"/>
              </w:rPr>
              <w:t>合环境检测</w:t>
            </w:r>
          </w:p>
        </w:tc>
        <w:tc>
          <w:tcPr>
            <w:tcW w:w="6019" w:type="dxa"/>
            <w:vAlign w:val="top"/>
          </w:tcPr>
          <w:p w14:paraId="15790E3F">
            <w:pPr>
              <w:pStyle w:val="88"/>
              <w:spacing w:before="38" w:line="219" w:lineRule="auto"/>
              <w:ind w:left="115"/>
            </w:pPr>
            <w:r>
              <w:rPr>
                <w:spacing w:val="-1"/>
              </w:rPr>
              <w:t>按照《民用建筑工程室内环境污染控制标准》</w:t>
            </w:r>
          </w:p>
          <w:p w14:paraId="59016065">
            <w:pPr>
              <w:pStyle w:val="88"/>
              <w:spacing w:before="181" w:line="359" w:lineRule="auto"/>
              <w:ind w:left="114" w:right="26" w:firstLine="10"/>
            </w:pPr>
            <w:r>
              <w:rPr>
                <w:spacing w:val="-11"/>
              </w:rPr>
              <w:t>（GB50325-2020，对室内空气中氡、甲醛、苯、氨、</w:t>
            </w:r>
            <w:r>
              <w:rPr>
                <w:spacing w:val="-12"/>
              </w:rPr>
              <w:t>TVOC、</w:t>
            </w:r>
            <w:r>
              <w:rPr>
                <w:spacing w:val="-1"/>
              </w:rPr>
              <w:t>二甲苯及甲苯浓度检测;土壤氡浓度检测;室内装饰材料</w:t>
            </w:r>
            <w:r>
              <w:rPr>
                <w:spacing w:val="6"/>
              </w:rPr>
              <w:t xml:space="preserve">  </w:t>
            </w:r>
            <w:r>
              <w:rPr>
                <w:spacing w:val="-1"/>
              </w:rPr>
              <w:t>有害物质浓度检测。必要时按《室内空气质量标准》</w:t>
            </w:r>
          </w:p>
          <w:p w14:paraId="0159F35D">
            <w:pPr>
              <w:pStyle w:val="88"/>
              <w:spacing w:line="219" w:lineRule="auto"/>
              <w:ind w:left="110"/>
            </w:pPr>
            <w:r>
              <w:rPr>
                <w:spacing w:val="-1"/>
              </w:rPr>
              <w:t>GB/T18883-2002</w:t>
            </w:r>
            <w:r>
              <w:rPr>
                <w:spacing w:val="-47"/>
              </w:rPr>
              <w:t xml:space="preserve"> </w:t>
            </w:r>
            <w:r>
              <w:rPr>
                <w:spacing w:val="-1"/>
              </w:rPr>
              <w:t>做好各项检测。</w:t>
            </w:r>
          </w:p>
        </w:tc>
      </w:tr>
      <w:tr w14:paraId="386DF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1719" w:type="dxa"/>
            <w:vMerge w:val="restart"/>
            <w:vAlign w:val="center"/>
          </w:tcPr>
          <w:p w14:paraId="11837C4C">
            <w:pPr>
              <w:pStyle w:val="88"/>
              <w:spacing w:before="119" w:line="219" w:lineRule="auto"/>
              <w:ind w:left="120"/>
              <w:jc w:val="center"/>
            </w:pPr>
            <w:r>
              <w:rPr>
                <w:spacing w:val="-3"/>
              </w:rPr>
              <w:t>建筑节能检测</w:t>
            </w:r>
          </w:p>
        </w:tc>
        <w:tc>
          <w:tcPr>
            <w:tcW w:w="2099" w:type="dxa"/>
            <w:vMerge w:val="restart"/>
            <w:vAlign w:val="top"/>
          </w:tcPr>
          <w:p w14:paraId="263B7B58">
            <w:pPr>
              <w:rPr>
                <w:rFonts w:ascii="Arial"/>
                <w:sz w:val="21"/>
              </w:rPr>
            </w:pPr>
          </w:p>
        </w:tc>
        <w:tc>
          <w:tcPr>
            <w:tcW w:w="6019" w:type="dxa"/>
            <w:vAlign w:val="top"/>
          </w:tcPr>
          <w:p w14:paraId="0ACFFD14">
            <w:pPr>
              <w:pStyle w:val="88"/>
              <w:spacing w:before="39" w:line="219" w:lineRule="auto"/>
              <w:ind w:left="116"/>
            </w:pPr>
            <w:r>
              <w:rPr>
                <w:spacing w:val="-2"/>
              </w:rPr>
              <w:t>建筑外门、外窗的“三性</w:t>
            </w:r>
            <w:r>
              <w:rPr>
                <w:spacing w:val="-86"/>
              </w:rPr>
              <w:t xml:space="preserve"> </w:t>
            </w:r>
            <w:r>
              <w:rPr>
                <w:spacing w:val="-2"/>
              </w:rPr>
              <w:t>”及传热系数检测；建筑构件</w:t>
            </w:r>
          </w:p>
        </w:tc>
      </w:tr>
      <w:tr w14:paraId="40AB3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0" w:hRule="atLeast"/>
          <w:jc w:val="center"/>
        </w:trPr>
        <w:tc>
          <w:tcPr>
            <w:tcW w:w="1719" w:type="dxa"/>
            <w:vMerge w:val="continue"/>
            <w:vAlign w:val="top"/>
          </w:tcPr>
          <w:p w14:paraId="78C17A5E">
            <w:pPr>
              <w:rPr>
                <w:rFonts w:ascii="Arial"/>
                <w:sz w:val="21"/>
              </w:rPr>
            </w:pPr>
          </w:p>
        </w:tc>
        <w:tc>
          <w:tcPr>
            <w:tcW w:w="2099" w:type="dxa"/>
            <w:vMerge w:val="continue"/>
            <w:vAlign w:val="top"/>
          </w:tcPr>
          <w:p w14:paraId="02482E9B">
            <w:pPr>
              <w:rPr>
                <w:rFonts w:ascii="Arial"/>
                <w:sz w:val="21"/>
              </w:rPr>
            </w:pPr>
          </w:p>
        </w:tc>
        <w:tc>
          <w:tcPr>
            <w:tcW w:w="6019" w:type="dxa"/>
            <w:vAlign w:val="top"/>
          </w:tcPr>
          <w:p w14:paraId="18254947">
            <w:pPr>
              <w:pStyle w:val="88"/>
              <w:spacing w:before="42" w:line="348" w:lineRule="auto"/>
              <w:ind w:left="114" w:right="149" w:firstLine="3"/>
              <w:jc w:val="both"/>
            </w:pPr>
            <w:r>
              <w:rPr>
                <w:spacing w:val="-1"/>
              </w:rPr>
              <w:t>热阻或传热系数检测；建筑材料导热系数检测；外墙外保温系统的耐候性与抗风压检测；建筑节能规范和技术标准要求的其他检测项目;玻璃光学性能等检验。</w:t>
            </w:r>
          </w:p>
        </w:tc>
      </w:tr>
      <w:tr w14:paraId="060E4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restart"/>
            <w:tcBorders>
              <w:bottom w:val="nil"/>
            </w:tcBorders>
            <w:vAlign w:val="top"/>
          </w:tcPr>
          <w:p w14:paraId="563CA365">
            <w:pPr>
              <w:spacing w:line="276" w:lineRule="auto"/>
              <w:rPr>
                <w:rFonts w:ascii="Arial"/>
                <w:sz w:val="21"/>
              </w:rPr>
            </w:pPr>
          </w:p>
          <w:p w14:paraId="4EB451A3">
            <w:pPr>
              <w:pStyle w:val="88"/>
              <w:spacing w:before="78" w:line="219" w:lineRule="auto"/>
              <w:ind w:left="118"/>
            </w:pPr>
            <w:r>
              <w:rPr>
                <w:spacing w:val="-3"/>
              </w:rPr>
              <w:t>保温检测</w:t>
            </w:r>
          </w:p>
        </w:tc>
        <w:tc>
          <w:tcPr>
            <w:tcW w:w="2099" w:type="dxa"/>
            <w:vMerge w:val="restart"/>
            <w:tcBorders>
              <w:bottom w:val="nil"/>
            </w:tcBorders>
            <w:vAlign w:val="top"/>
          </w:tcPr>
          <w:p w14:paraId="293235DE">
            <w:pPr>
              <w:rPr>
                <w:rFonts w:ascii="Arial"/>
                <w:sz w:val="21"/>
              </w:rPr>
            </w:pPr>
          </w:p>
        </w:tc>
        <w:tc>
          <w:tcPr>
            <w:tcW w:w="6019" w:type="dxa"/>
            <w:vAlign w:val="top"/>
          </w:tcPr>
          <w:p w14:paraId="2C947C54">
            <w:pPr>
              <w:pStyle w:val="88"/>
              <w:spacing w:before="114" w:line="219" w:lineRule="auto"/>
              <w:ind w:left="119"/>
            </w:pPr>
            <w:r>
              <w:rPr>
                <w:spacing w:val="-4"/>
              </w:rPr>
              <w:t>原材料复试</w:t>
            </w:r>
          </w:p>
        </w:tc>
      </w:tr>
      <w:tr w14:paraId="10CA7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continue"/>
            <w:tcBorders>
              <w:top w:val="nil"/>
            </w:tcBorders>
            <w:vAlign w:val="top"/>
          </w:tcPr>
          <w:p w14:paraId="70BF3B94">
            <w:pPr>
              <w:rPr>
                <w:rFonts w:ascii="Arial"/>
                <w:sz w:val="21"/>
              </w:rPr>
            </w:pPr>
          </w:p>
        </w:tc>
        <w:tc>
          <w:tcPr>
            <w:tcW w:w="2099" w:type="dxa"/>
            <w:vMerge w:val="continue"/>
            <w:tcBorders>
              <w:top w:val="nil"/>
            </w:tcBorders>
            <w:vAlign w:val="top"/>
          </w:tcPr>
          <w:p w14:paraId="6FCC827D">
            <w:pPr>
              <w:rPr>
                <w:rFonts w:ascii="Arial"/>
                <w:sz w:val="21"/>
              </w:rPr>
            </w:pPr>
          </w:p>
        </w:tc>
        <w:tc>
          <w:tcPr>
            <w:tcW w:w="6019" w:type="dxa"/>
            <w:vAlign w:val="top"/>
          </w:tcPr>
          <w:p w14:paraId="3E432851">
            <w:pPr>
              <w:pStyle w:val="88"/>
              <w:spacing w:before="115" w:line="219" w:lineRule="auto"/>
              <w:ind w:left="115"/>
            </w:pPr>
            <w:r>
              <w:rPr>
                <w:spacing w:val="-3"/>
              </w:rPr>
              <w:t>现场抽检</w:t>
            </w:r>
          </w:p>
        </w:tc>
      </w:tr>
      <w:tr w14:paraId="7CEE8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restart"/>
            <w:tcBorders>
              <w:bottom w:val="nil"/>
            </w:tcBorders>
            <w:vAlign w:val="top"/>
          </w:tcPr>
          <w:p w14:paraId="09A4E381">
            <w:pPr>
              <w:spacing w:line="244" w:lineRule="auto"/>
              <w:rPr>
                <w:rFonts w:ascii="Arial"/>
                <w:sz w:val="21"/>
              </w:rPr>
            </w:pPr>
          </w:p>
          <w:p w14:paraId="545920D3">
            <w:pPr>
              <w:spacing w:line="244" w:lineRule="auto"/>
              <w:rPr>
                <w:rFonts w:ascii="Arial"/>
                <w:sz w:val="21"/>
              </w:rPr>
            </w:pPr>
          </w:p>
          <w:p w14:paraId="0E7A89AC">
            <w:pPr>
              <w:spacing w:line="245" w:lineRule="auto"/>
              <w:rPr>
                <w:rFonts w:ascii="Arial"/>
                <w:sz w:val="21"/>
              </w:rPr>
            </w:pPr>
          </w:p>
          <w:p w14:paraId="2527D303">
            <w:pPr>
              <w:spacing w:line="245" w:lineRule="auto"/>
              <w:rPr>
                <w:rFonts w:ascii="Arial"/>
                <w:sz w:val="21"/>
              </w:rPr>
            </w:pPr>
          </w:p>
          <w:p w14:paraId="3FAD1DF5">
            <w:pPr>
              <w:spacing w:line="245" w:lineRule="auto"/>
              <w:rPr>
                <w:rFonts w:ascii="Arial"/>
                <w:sz w:val="21"/>
              </w:rPr>
            </w:pPr>
          </w:p>
          <w:p w14:paraId="55B6D503">
            <w:pPr>
              <w:pStyle w:val="88"/>
              <w:spacing w:before="78" w:line="363" w:lineRule="auto"/>
              <w:ind w:left="118" w:right="165" w:firstLine="26"/>
            </w:pPr>
            <w:r>
              <w:rPr>
                <w:spacing w:val="-7"/>
              </w:rPr>
              <w:t>门窗、幕墙检</w:t>
            </w:r>
            <w:r>
              <w:rPr>
                <w:spacing w:val="4"/>
              </w:rPr>
              <w:t xml:space="preserve"> </w:t>
            </w:r>
            <w:r>
              <w:t>测</w:t>
            </w:r>
          </w:p>
        </w:tc>
        <w:tc>
          <w:tcPr>
            <w:tcW w:w="2099" w:type="dxa"/>
            <w:vAlign w:val="top"/>
          </w:tcPr>
          <w:p w14:paraId="65472AE7">
            <w:pPr>
              <w:pStyle w:val="88"/>
              <w:spacing w:before="114" w:line="220" w:lineRule="auto"/>
              <w:ind w:left="842"/>
            </w:pPr>
            <w:r>
              <w:rPr>
                <w:spacing w:val="-19"/>
              </w:rPr>
              <w:t>门窗</w:t>
            </w:r>
          </w:p>
        </w:tc>
        <w:tc>
          <w:tcPr>
            <w:tcW w:w="6019" w:type="dxa"/>
            <w:vAlign w:val="top"/>
          </w:tcPr>
          <w:p w14:paraId="624F840A">
            <w:pPr>
              <w:pStyle w:val="88"/>
              <w:spacing w:before="115" w:line="219" w:lineRule="auto"/>
              <w:ind w:left="117"/>
            </w:pPr>
            <w:r>
              <w:rPr>
                <w:spacing w:val="-1"/>
              </w:rPr>
              <w:t>五性（气密、水密、抗风压、保温）</w:t>
            </w:r>
          </w:p>
        </w:tc>
      </w:tr>
      <w:tr w14:paraId="5F2B5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719" w:type="dxa"/>
            <w:vMerge w:val="continue"/>
            <w:tcBorders>
              <w:top w:val="nil"/>
              <w:bottom w:val="nil"/>
            </w:tcBorders>
            <w:vAlign w:val="top"/>
          </w:tcPr>
          <w:p w14:paraId="4B51CCB7">
            <w:pPr>
              <w:rPr>
                <w:rFonts w:ascii="Arial"/>
                <w:sz w:val="21"/>
              </w:rPr>
            </w:pPr>
          </w:p>
        </w:tc>
        <w:tc>
          <w:tcPr>
            <w:tcW w:w="2099" w:type="dxa"/>
            <w:vAlign w:val="top"/>
          </w:tcPr>
          <w:p w14:paraId="2BFC9D34">
            <w:pPr>
              <w:pStyle w:val="88"/>
              <w:spacing w:before="116" w:line="220" w:lineRule="auto"/>
              <w:ind w:left="819"/>
            </w:pPr>
            <w:r>
              <w:rPr>
                <w:spacing w:val="-7"/>
              </w:rPr>
              <w:t>玻璃</w:t>
            </w:r>
          </w:p>
        </w:tc>
        <w:tc>
          <w:tcPr>
            <w:tcW w:w="6019" w:type="dxa"/>
            <w:vAlign w:val="top"/>
          </w:tcPr>
          <w:p w14:paraId="4214F86A">
            <w:pPr>
              <w:pStyle w:val="88"/>
              <w:spacing w:before="116" w:line="220" w:lineRule="auto"/>
              <w:ind w:left="119"/>
            </w:pPr>
            <w:r>
              <w:rPr>
                <w:spacing w:val="-4"/>
              </w:rPr>
              <w:t>常规试验</w:t>
            </w:r>
          </w:p>
        </w:tc>
      </w:tr>
      <w:tr w14:paraId="12C95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719" w:type="dxa"/>
            <w:vMerge w:val="continue"/>
            <w:tcBorders>
              <w:top w:val="nil"/>
              <w:bottom w:val="nil"/>
            </w:tcBorders>
            <w:vAlign w:val="top"/>
          </w:tcPr>
          <w:p w14:paraId="74BA7F01">
            <w:pPr>
              <w:rPr>
                <w:rFonts w:ascii="Arial"/>
                <w:sz w:val="21"/>
              </w:rPr>
            </w:pPr>
          </w:p>
        </w:tc>
        <w:tc>
          <w:tcPr>
            <w:tcW w:w="2099" w:type="dxa"/>
            <w:vAlign w:val="top"/>
          </w:tcPr>
          <w:p w14:paraId="58897A30">
            <w:pPr>
              <w:pStyle w:val="88"/>
              <w:spacing w:before="116" w:line="313" w:lineRule="auto"/>
              <w:ind w:left="817" w:right="207" w:hanging="602"/>
            </w:pPr>
            <w:r>
              <w:rPr>
                <w:spacing w:val="-2"/>
              </w:rPr>
              <w:t>膨胀螺栓及化学</w:t>
            </w:r>
            <w:r>
              <w:rPr>
                <w:spacing w:val="3"/>
              </w:rPr>
              <w:t xml:space="preserve"> </w:t>
            </w:r>
            <w:r>
              <w:rPr>
                <w:spacing w:val="-7"/>
              </w:rPr>
              <w:t>螺栓</w:t>
            </w:r>
          </w:p>
        </w:tc>
        <w:tc>
          <w:tcPr>
            <w:tcW w:w="6019" w:type="dxa"/>
            <w:vAlign w:val="top"/>
          </w:tcPr>
          <w:p w14:paraId="225A4F80">
            <w:pPr>
              <w:spacing w:line="270" w:lineRule="auto"/>
              <w:rPr>
                <w:rFonts w:ascii="Arial"/>
                <w:sz w:val="21"/>
              </w:rPr>
            </w:pPr>
          </w:p>
          <w:p w14:paraId="36AA7C41">
            <w:pPr>
              <w:pStyle w:val="88"/>
              <w:spacing w:before="78" w:line="220" w:lineRule="auto"/>
              <w:ind w:left="115"/>
            </w:pPr>
            <w:r>
              <w:rPr>
                <w:spacing w:val="-2"/>
              </w:rPr>
              <w:t>现场拉拔试验</w:t>
            </w:r>
          </w:p>
        </w:tc>
      </w:tr>
      <w:tr w14:paraId="5128F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719" w:type="dxa"/>
            <w:vMerge w:val="continue"/>
            <w:tcBorders>
              <w:top w:val="nil"/>
              <w:bottom w:val="nil"/>
            </w:tcBorders>
            <w:vAlign w:val="top"/>
          </w:tcPr>
          <w:p w14:paraId="0119D919">
            <w:pPr>
              <w:rPr>
                <w:rFonts w:ascii="Arial"/>
                <w:sz w:val="21"/>
              </w:rPr>
            </w:pPr>
          </w:p>
        </w:tc>
        <w:tc>
          <w:tcPr>
            <w:tcW w:w="2099" w:type="dxa"/>
            <w:vAlign w:val="top"/>
          </w:tcPr>
          <w:p w14:paraId="4455E14A">
            <w:pPr>
              <w:pStyle w:val="88"/>
              <w:spacing w:before="118" w:line="219" w:lineRule="auto"/>
              <w:ind w:left="221"/>
            </w:pPr>
            <w:r>
              <w:rPr>
                <w:spacing w:val="-3"/>
              </w:rPr>
              <w:t>结构胶、耐候胶</w:t>
            </w:r>
          </w:p>
        </w:tc>
        <w:tc>
          <w:tcPr>
            <w:tcW w:w="6019" w:type="dxa"/>
            <w:vAlign w:val="top"/>
          </w:tcPr>
          <w:p w14:paraId="11747092">
            <w:pPr>
              <w:pStyle w:val="88"/>
              <w:spacing w:before="118" w:line="219" w:lineRule="auto"/>
              <w:ind w:left="113"/>
            </w:pPr>
            <w:r>
              <w:rPr>
                <w:spacing w:val="-1"/>
              </w:rPr>
              <w:t>相容性试验，结构胶性能</w:t>
            </w:r>
          </w:p>
        </w:tc>
      </w:tr>
      <w:tr w14:paraId="55245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continue"/>
            <w:tcBorders>
              <w:top w:val="nil"/>
              <w:bottom w:val="nil"/>
            </w:tcBorders>
            <w:vAlign w:val="top"/>
          </w:tcPr>
          <w:p w14:paraId="4C768C65">
            <w:pPr>
              <w:rPr>
                <w:rFonts w:ascii="Arial"/>
                <w:sz w:val="21"/>
              </w:rPr>
            </w:pPr>
          </w:p>
        </w:tc>
        <w:tc>
          <w:tcPr>
            <w:tcW w:w="2099" w:type="dxa"/>
            <w:vAlign w:val="top"/>
          </w:tcPr>
          <w:p w14:paraId="63B5391F">
            <w:pPr>
              <w:pStyle w:val="88"/>
              <w:spacing w:before="117" w:line="219" w:lineRule="auto"/>
              <w:ind w:left="696"/>
            </w:pPr>
            <w:r>
              <w:rPr>
                <w:spacing w:val="-4"/>
              </w:rPr>
              <w:t>铝型材</w:t>
            </w:r>
          </w:p>
        </w:tc>
        <w:tc>
          <w:tcPr>
            <w:tcW w:w="6019" w:type="dxa"/>
            <w:vAlign w:val="top"/>
          </w:tcPr>
          <w:p w14:paraId="77EAEB70">
            <w:pPr>
              <w:pStyle w:val="88"/>
              <w:spacing w:before="118" w:line="219" w:lineRule="auto"/>
              <w:ind w:left="117"/>
            </w:pPr>
            <w:r>
              <w:rPr>
                <w:spacing w:val="-4"/>
              </w:rPr>
              <w:t>力学性能</w:t>
            </w:r>
          </w:p>
        </w:tc>
      </w:tr>
      <w:tr w14:paraId="7AB17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Merge w:val="continue"/>
            <w:tcBorders>
              <w:top w:val="nil"/>
            </w:tcBorders>
            <w:vAlign w:val="top"/>
          </w:tcPr>
          <w:p w14:paraId="5D1A71AD">
            <w:pPr>
              <w:rPr>
                <w:rFonts w:ascii="Arial"/>
                <w:sz w:val="21"/>
              </w:rPr>
            </w:pPr>
          </w:p>
        </w:tc>
        <w:tc>
          <w:tcPr>
            <w:tcW w:w="2099" w:type="dxa"/>
            <w:vAlign w:val="top"/>
          </w:tcPr>
          <w:p w14:paraId="16897C6A">
            <w:pPr>
              <w:pStyle w:val="88"/>
              <w:spacing w:before="117" w:line="219" w:lineRule="auto"/>
              <w:ind w:left="459"/>
            </w:pPr>
            <w:r>
              <w:rPr>
                <w:spacing w:val="-3"/>
              </w:rPr>
              <w:t>角钢、槽钢</w:t>
            </w:r>
          </w:p>
        </w:tc>
        <w:tc>
          <w:tcPr>
            <w:tcW w:w="6019" w:type="dxa"/>
            <w:vAlign w:val="top"/>
          </w:tcPr>
          <w:p w14:paraId="4F441BA3">
            <w:pPr>
              <w:pStyle w:val="88"/>
              <w:spacing w:before="118" w:line="219" w:lineRule="auto"/>
              <w:ind w:left="117"/>
            </w:pPr>
            <w:r>
              <w:rPr>
                <w:spacing w:val="-4"/>
              </w:rPr>
              <w:t>力学性能</w:t>
            </w:r>
          </w:p>
        </w:tc>
      </w:tr>
      <w:tr w14:paraId="616ED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719" w:type="dxa"/>
            <w:vAlign w:val="top"/>
          </w:tcPr>
          <w:p w14:paraId="4DB983B6">
            <w:pPr>
              <w:pStyle w:val="88"/>
              <w:spacing w:before="119" w:line="219" w:lineRule="auto"/>
              <w:ind w:left="117"/>
            </w:pPr>
            <w:r>
              <w:rPr>
                <w:spacing w:val="-2"/>
              </w:rPr>
              <w:t>供电设备检测</w:t>
            </w:r>
          </w:p>
        </w:tc>
        <w:tc>
          <w:tcPr>
            <w:tcW w:w="2099" w:type="dxa"/>
            <w:vAlign w:val="top"/>
          </w:tcPr>
          <w:p w14:paraId="3619607F">
            <w:pPr>
              <w:rPr>
                <w:rFonts w:ascii="Arial"/>
                <w:sz w:val="21"/>
              </w:rPr>
            </w:pPr>
          </w:p>
        </w:tc>
        <w:tc>
          <w:tcPr>
            <w:tcW w:w="6019" w:type="dxa"/>
            <w:vAlign w:val="top"/>
          </w:tcPr>
          <w:p w14:paraId="12717BF5">
            <w:pPr>
              <w:pStyle w:val="88"/>
              <w:spacing w:before="120" w:line="219" w:lineRule="auto"/>
              <w:ind w:left="115"/>
            </w:pPr>
            <w:r>
              <w:rPr>
                <w:spacing w:val="-2"/>
              </w:rPr>
              <w:t>按照国家有关规定</w:t>
            </w:r>
          </w:p>
        </w:tc>
      </w:tr>
      <w:tr w14:paraId="22AEB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1719" w:type="dxa"/>
            <w:vAlign w:val="top"/>
          </w:tcPr>
          <w:p w14:paraId="61973584">
            <w:pPr>
              <w:pStyle w:val="88"/>
              <w:spacing w:before="118" w:line="314" w:lineRule="auto"/>
              <w:ind w:left="120" w:right="165" w:hanging="3"/>
            </w:pPr>
            <w:r>
              <w:rPr>
                <w:spacing w:val="-2"/>
              </w:rPr>
              <w:t>三网及智能化</w:t>
            </w:r>
            <w:r>
              <w:rPr>
                <w:spacing w:val="1"/>
              </w:rPr>
              <w:t xml:space="preserve"> </w:t>
            </w:r>
            <w:r>
              <w:rPr>
                <w:spacing w:val="-7"/>
              </w:rPr>
              <w:t>设备</w:t>
            </w:r>
          </w:p>
        </w:tc>
        <w:tc>
          <w:tcPr>
            <w:tcW w:w="2099" w:type="dxa"/>
            <w:vAlign w:val="top"/>
          </w:tcPr>
          <w:p w14:paraId="0AE2EF9A">
            <w:pPr>
              <w:rPr>
                <w:rFonts w:ascii="Arial"/>
                <w:sz w:val="21"/>
              </w:rPr>
            </w:pPr>
          </w:p>
        </w:tc>
        <w:tc>
          <w:tcPr>
            <w:tcW w:w="6019" w:type="dxa"/>
            <w:vAlign w:val="top"/>
          </w:tcPr>
          <w:p w14:paraId="7BC37EF3">
            <w:pPr>
              <w:spacing w:line="272" w:lineRule="auto"/>
              <w:rPr>
                <w:rFonts w:ascii="Arial"/>
                <w:sz w:val="21"/>
              </w:rPr>
            </w:pPr>
          </w:p>
          <w:p w14:paraId="34582DCC">
            <w:pPr>
              <w:pStyle w:val="88"/>
              <w:spacing w:before="78" w:line="219" w:lineRule="auto"/>
              <w:ind w:left="115"/>
            </w:pPr>
            <w:r>
              <w:rPr>
                <w:spacing w:val="-2"/>
              </w:rPr>
              <w:t>按照国家有关规定</w:t>
            </w:r>
          </w:p>
        </w:tc>
      </w:tr>
    </w:tbl>
    <w:p w14:paraId="6AE657EF">
      <w:pPr>
        <w:spacing w:line="360" w:lineRule="auto"/>
        <w:ind w:firstLine="437"/>
        <w:rPr>
          <w:rFonts w:hint="eastAsia" w:ascii="宋体" w:hAnsi="宋体" w:eastAsia="宋体"/>
          <w:b/>
          <w:bCs w:val="0"/>
          <w:sz w:val="24"/>
          <w:szCs w:val="18"/>
          <w:lang w:val="en-US" w:eastAsia="zh-CN"/>
        </w:rPr>
      </w:pPr>
      <w:r>
        <w:rPr>
          <w:rFonts w:hint="eastAsia" w:ascii="宋体" w:hAnsi="宋体" w:eastAsia="宋体"/>
          <w:b/>
          <w:bCs w:val="0"/>
          <w:sz w:val="24"/>
          <w:szCs w:val="18"/>
          <w:lang w:val="en-US" w:eastAsia="zh-CN"/>
        </w:rPr>
        <w:t>四、检测成果</w:t>
      </w:r>
    </w:p>
    <w:p w14:paraId="21DFB505">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1.进场检测后3日内出具正式检测报告。</w:t>
      </w:r>
    </w:p>
    <w:p w14:paraId="6F59BC07">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2.检测成果：正式检测报告一式叁份。</w:t>
      </w:r>
    </w:p>
    <w:p w14:paraId="0C568B41">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3.成交供应商逾期进行检测或逾期提供检测报告的，逾期超过7日的，按照违约行为处理。</w:t>
      </w:r>
    </w:p>
    <w:p w14:paraId="282F2F9F">
      <w:pPr>
        <w:spacing w:line="360" w:lineRule="auto"/>
        <w:ind w:firstLine="437"/>
        <w:rPr>
          <w:rFonts w:hint="eastAsia" w:ascii="宋体" w:hAnsi="宋体" w:eastAsia="宋体"/>
          <w:b/>
          <w:bCs w:val="0"/>
          <w:sz w:val="24"/>
          <w:szCs w:val="18"/>
          <w:lang w:val="en-US" w:eastAsia="zh-CN"/>
        </w:rPr>
      </w:pPr>
      <w:r>
        <w:rPr>
          <w:rFonts w:hint="eastAsia" w:ascii="宋体" w:hAnsi="宋体" w:eastAsia="宋体"/>
          <w:b/>
          <w:bCs w:val="0"/>
          <w:sz w:val="24"/>
          <w:szCs w:val="18"/>
          <w:lang w:val="en-US" w:eastAsia="zh-CN"/>
        </w:rPr>
        <w:t>五、报价要求</w:t>
      </w:r>
    </w:p>
    <w:p w14:paraId="325C9BE9">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1、本项目报总价，报价不得超过最高限价，否则响应无效。实施过程中采购人将不再增加其他任何后续费用，供应商应自行考虑相关风险。供应商的报价包含该项目内的常规检测内容（以经委托人审核后的常规检测方案为准）、委托人要求增加频次的检测内容、委托人抽检的本项目内其他检测任务等所有涉及该项目的检测内容。检测费用应含有所投服务的所有材料、劳务、利润、税金、政策性文件规定及合同包含的所有风险、责任、义务等相关费用。</w:t>
      </w:r>
    </w:p>
    <w:p w14:paraId="70C101D7">
      <w:pPr>
        <w:spacing w:line="360" w:lineRule="auto"/>
        <w:ind w:firstLine="437"/>
        <w:rPr>
          <w:rFonts w:hint="eastAsia" w:asciiTheme="minorEastAsia" w:hAnsiTheme="minorEastAsia" w:eastAsiaTheme="minorEastAsia"/>
          <w:b w:val="0"/>
          <w:bCs/>
          <w:sz w:val="24"/>
          <w:szCs w:val="24"/>
        </w:rPr>
      </w:pPr>
      <w:r>
        <w:rPr>
          <w:rFonts w:hint="eastAsia" w:ascii="宋体" w:hAnsi="宋体" w:eastAsia="宋体"/>
          <w:b w:val="0"/>
          <w:bCs/>
          <w:sz w:val="24"/>
          <w:szCs w:val="18"/>
        </w:rPr>
        <w:t>2、成交供应商如自行委托具有相应资质的单位承担的检测项目，所有费用应包含在本次供应商报价中，且成交供应商必须对所有检测结果负总责。</w:t>
      </w:r>
    </w:p>
    <w:p w14:paraId="7BBD7A1C">
      <w:pPr>
        <w:spacing w:line="360" w:lineRule="auto"/>
        <w:ind w:firstLine="437"/>
        <w:rPr>
          <w:rFonts w:hint="eastAsia" w:ascii="宋体" w:hAnsi="宋体" w:eastAsia="宋体"/>
          <w:b/>
          <w:bCs w:val="0"/>
          <w:sz w:val="24"/>
          <w:szCs w:val="18"/>
        </w:rPr>
      </w:pPr>
      <w:r>
        <w:rPr>
          <w:rFonts w:hint="eastAsia" w:ascii="宋体" w:hAnsi="宋体" w:eastAsia="宋体"/>
          <w:b/>
          <w:bCs w:val="0"/>
          <w:sz w:val="24"/>
          <w:szCs w:val="18"/>
          <w:lang w:val="en-US" w:eastAsia="zh-CN"/>
        </w:rPr>
        <w:t>六</w:t>
      </w:r>
      <w:r>
        <w:rPr>
          <w:rFonts w:hint="eastAsia" w:ascii="宋体" w:hAnsi="宋体" w:eastAsia="宋体"/>
          <w:b/>
          <w:bCs w:val="0"/>
          <w:sz w:val="24"/>
          <w:szCs w:val="18"/>
        </w:rPr>
        <w:t>、其他要求</w:t>
      </w:r>
    </w:p>
    <w:p w14:paraId="40AF69F0">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1.抽检项目均应在验收前完成检测，数量以实际发生为准，以上工作内容含外观检测、资料检查。</w:t>
      </w:r>
    </w:p>
    <w:p w14:paraId="5DCB0056">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2.成交供应商必须根据规范现场取样，确保试验数据的客观、公正、科学。</w:t>
      </w:r>
    </w:p>
    <w:p w14:paraId="281D05E5">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3.成交供应商所完成的工作内容必须达到国家相关法规对环境保护的要求。</w:t>
      </w:r>
    </w:p>
    <w:p w14:paraId="0120E41B">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lang w:val="en-US" w:eastAsia="zh-CN"/>
        </w:rPr>
        <w:t>4</w:t>
      </w:r>
      <w:r>
        <w:rPr>
          <w:rFonts w:hint="eastAsia" w:ascii="宋体" w:hAnsi="宋体" w:eastAsia="宋体"/>
          <w:b w:val="0"/>
          <w:bCs/>
          <w:sz w:val="24"/>
          <w:szCs w:val="18"/>
        </w:rPr>
        <w:t>.成交供应商必须派专职人员现场取样，检测数量及频率按照国家相关规范的规定确定，包括建设单位对工程质量有怀疑的部位需要增加检测频率的。</w:t>
      </w:r>
    </w:p>
    <w:p w14:paraId="2D8E5E14">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lang w:val="en-US" w:eastAsia="zh-CN"/>
        </w:rPr>
        <w:t>5</w:t>
      </w:r>
      <w:r>
        <w:rPr>
          <w:rFonts w:hint="eastAsia" w:ascii="宋体" w:hAnsi="宋体" w:eastAsia="宋体"/>
          <w:b w:val="0"/>
          <w:bCs/>
          <w:sz w:val="24"/>
          <w:szCs w:val="18"/>
        </w:rPr>
        <w:t>.成交供应商必须满足跟踪检测，及时反馈检测结果，以确保施工工序正常开展及工期安排的总体需要。</w:t>
      </w:r>
    </w:p>
    <w:p w14:paraId="5D669027">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lang w:val="en-US" w:eastAsia="zh-CN"/>
        </w:rPr>
        <w:t>6</w:t>
      </w:r>
      <w:r>
        <w:rPr>
          <w:rFonts w:hint="eastAsia" w:ascii="宋体" w:hAnsi="宋体" w:eastAsia="宋体"/>
          <w:b w:val="0"/>
          <w:bCs/>
          <w:sz w:val="24"/>
          <w:szCs w:val="18"/>
        </w:rPr>
        <w:t>.成交供应商的检测结果，要第一时间以书面形式报给采购人。</w:t>
      </w:r>
    </w:p>
    <w:p w14:paraId="0F942C15">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lang w:val="en-US" w:eastAsia="zh-CN"/>
        </w:rPr>
        <w:t>7</w:t>
      </w:r>
      <w:r>
        <w:rPr>
          <w:rFonts w:hint="eastAsia" w:ascii="宋体" w:hAnsi="宋体" w:eastAsia="宋体"/>
          <w:b w:val="0"/>
          <w:bCs/>
          <w:sz w:val="24"/>
          <w:szCs w:val="18"/>
        </w:rPr>
        <w:t>.成交供应商须定期向采购人汇报月度检测内容及下一步工作安排，以便试验检测工作更好地服务于工程施工。</w:t>
      </w:r>
    </w:p>
    <w:p w14:paraId="4B455FD5">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lang w:val="en-US" w:eastAsia="zh-CN"/>
        </w:rPr>
        <w:t>8</w:t>
      </w:r>
      <w:r>
        <w:rPr>
          <w:rFonts w:hint="eastAsia" w:ascii="宋体" w:hAnsi="宋体" w:eastAsia="宋体"/>
          <w:b w:val="0"/>
          <w:bCs/>
          <w:sz w:val="24"/>
          <w:szCs w:val="18"/>
        </w:rPr>
        <w:t>.成交供应商人员须满足采购人的协调与安排，必须配合采购人做好资料备案工作，及时完成采购人临时指派的其他检测任务，按采购人要求参加工程调度会或验收等。</w:t>
      </w:r>
    </w:p>
    <w:p w14:paraId="2C13FA4A">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lang w:val="en-US" w:eastAsia="zh-CN"/>
        </w:rPr>
        <w:t>9</w:t>
      </w:r>
      <w:r>
        <w:rPr>
          <w:rFonts w:hint="eastAsia" w:ascii="宋体" w:hAnsi="宋体" w:eastAsia="宋体"/>
          <w:b w:val="0"/>
          <w:bCs/>
          <w:sz w:val="24"/>
          <w:szCs w:val="18"/>
        </w:rPr>
        <w:t>.成交供应商须保证出具的试验检测数据能够准确、及时、真实地反映工程实体质量，并对出具的所有试验报告负法律责任。</w:t>
      </w:r>
    </w:p>
    <w:p w14:paraId="3C7F8C1B">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1</w:t>
      </w:r>
      <w:r>
        <w:rPr>
          <w:rFonts w:hint="eastAsia" w:ascii="宋体" w:hAnsi="宋体" w:eastAsia="宋体"/>
          <w:b w:val="0"/>
          <w:bCs/>
          <w:sz w:val="24"/>
          <w:szCs w:val="18"/>
          <w:lang w:val="en-US" w:eastAsia="zh-CN"/>
        </w:rPr>
        <w:t>0</w:t>
      </w:r>
      <w:r>
        <w:rPr>
          <w:rFonts w:hint="eastAsia" w:ascii="宋体" w:hAnsi="宋体" w:eastAsia="宋体"/>
          <w:b w:val="0"/>
          <w:bCs/>
          <w:sz w:val="24"/>
          <w:szCs w:val="18"/>
        </w:rPr>
        <w:t>.质量要求：成交供应商必须确保其各项检测数据真实有效，并能准确反映检测项目的质量情况。现场取样须符合设计及规范要求，取样分布、分层均匀，成交供应商违反上述规定要求，造成工程质量、安全事故的，采购人将依据国家有关规定，追究其责任。</w:t>
      </w:r>
    </w:p>
    <w:p w14:paraId="72CC81E0">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1</w:t>
      </w:r>
      <w:r>
        <w:rPr>
          <w:rFonts w:hint="eastAsia" w:ascii="宋体" w:hAnsi="宋体" w:eastAsia="宋体"/>
          <w:b w:val="0"/>
          <w:bCs/>
          <w:sz w:val="24"/>
          <w:szCs w:val="18"/>
          <w:lang w:val="en-US" w:eastAsia="zh-CN"/>
        </w:rPr>
        <w:t>1</w:t>
      </w:r>
      <w:r>
        <w:rPr>
          <w:rFonts w:hint="eastAsia" w:ascii="宋体" w:hAnsi="宋体" w:eastAsia="宋体"/>
          <w:b w:val="0"/>
          <w:bCs/>
          <w:sz w:val="24"/>
          <w:szCs w:val="18"/>
        </w:rPr>
        <w:t>.成交供应商不得以任何形式要求施工单位购买指定材料，若出现此种情形，按照违约行为处理。</w:t>
      </w:r>
    </w:p>
    <w:p w14:paraId="1911EE9B">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1</w:t>
      </w:r>
      <w:r>
        <w:rPr>
          <w:rFonts w:hint="eastAsia" w:ascii="宋体" w:hAnsi="宋体" w:eastAsia="宋体"/>
          <w:b w:val="0"/>
          <w:bCs/>
          <w:sz w:val="24"/>
          <w:szCs w:val="18"/>
          <w:lang w:val="en-US" w:eastAsia="zh-CN"/>
        </w:rPr>
        <w:t>2</w:t>
      </w:r>
      <w:r>
        <w:rPr>
          <w:rFonts w:hint="eastAsia" w:ascii="宋体" w:hAnsi="宋体" w:eastAsia="宋体"/>
          <w:b w:val="0"/>
          <w:bCs/>
          <w:sz w:val="24"/>
          <w:szCs w:val="18"/>
        </w:rPr>
        <w:t>.成交供应商出具的检测报告若与现场实际情况不符，成交供应商应承担由此造成的所有损失。</w:t>
      </w:r>
    </w:p>
    <w:p w14:paraId="5D8F9998">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1</w:t>
      </w:r>
      <w:r>
        <w:rPr>
          <w:rFonts w:hint="eastAsia" w:ascii="宋体" w:hAnsi="宋体" w:eastAsia="宋体"/>
          <w:b w:val="0"/>
          <w:bCs/>
          <w:sz w:val="24"/>
          <w:szCs w:val="18"/>
          <w:lang w:val="en-US" w:eastAsia="zh-CN"/>
        </w:rPr>
        <w:t>3</w:t>
      </w:r>
      <w:r>
        <w:rPr>
          <w:rFonts w:hint="eastAsia" w:ascii="宋体" w:hAnsi="宋体" w:eastAsia="宋体"/>
          <w:b w:val="0"/>
          <w:bCs/>
          <w:sz w:val="24"/>
          <w:szCs w:val="18"/>
        </w:rPr>
        <w:t>.项目管理中，若出现资料不齐全、不同步等情况，采购人约谈成交供应商相关责任人，并视情节严重性，处以相应违约金。</w:t>
      </w:r>
    </w:p>
    <w:p w14:paraId="6C3116D7">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rPr>
        <w:t>1</w:t>
      </w:r>
      <w:r>
        <w:rPr>
          <w:rFonts w:hint="eastAsia" w:ascii="宋体" w:hAnsi="宋体" w:eastAsia="宋体"/>
          <w:b w:val="0"/>
          <w:bCs/>
          <w:sz w:val="24"/>
          <w:szCs w:val="18"/>
          <w:lang w:val="en-US" w:eastAsia="zh-CN"/>
        </w:rPr>
        <w:t>4</w:t>
      </w:r>
      <w:r>
        <w:rPr>
          <w:rFonts w:hint="eastAsia" w:ascii="宋体" w:hAnsi="宋体" w:eastAsia="宋体"/>
          <w:b w:val="0"/>
          <w:bCs/>
          <w:sz w:val="24"/>
          <w:szCs w:val="18"/>
        </w:rPr>
        <w:t>.成交供应商须按照指定的竣工验收流程办理项目竣工验收，对资料提供不齐备、不及时、不真实的项目，不予办理工程结算审计。</w:t>
      </w:r>
    </w:p>
    <w:p w14:paraId="68DEC7B9">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lang w:val="en-US" w:eastAsia="zh-CN"/>
        </w:rPr>
        <w:t>15</w:t>
      </w:r>
      <w:r>
        <w:rPr>
          <w:rFonts w:hint="eastAsia" w:ascii="宋体" w:hAnsi="宋体" w:eastAsia="宋体"/>
          <w:b w:val="0"/>
          <w:bCs/>
          <w:sz w:val="24"/>
          <w:szCs w:val="18"/>
        </w:rPr>
        <w:t>.现场负责人必须参加采购人及监理组织的工程会议，确有特殊情况必须提前向采购人请假并经采购人同意。</w:t>
      </w:r>
    </w:p>
    <w:p w14:paraId="1C258970">
      <w:pPr>
        <w:spacing w:line="360" w:lineRule="auto"/>
        <w:ind w:firstLine="437"/>
        <w:rPr>
          <w:rFonts w:hint="eastAsia" w:asciiTheme="minorEastAsia" w:hAnsiTheme="minorEastAsia" w:eastAsiaTheme="minorEastAsia"/>
          <w:b/>
          <w:sz w:val="28"/>
        </w:rPr>
      </w:pPr>
      <w:r>
        <w:rPr>
          <w:rFonts w:hint="eastAsia" w:asciiTheme="minorEastAsia" w:hAnsiTheme="minorEastAsia" w:eastAsiaTheme="minorEastAsia"/>
          <w:b/>
          <w:sz w:val="28"/>
        </w:rPr>
        <w:br w:type="page"/>
      </w:r>
    </w:p>
    <w:p w14:paraId="077AB5CA">
      <w:pPr>
        <w:spacing w:line="360" w:lineRule="auto"/>
        <w:jc w:val="center"/>
        <w:outlineLvl w:val="1"/>
        <w:rPr>
          <w:rFonts w:asciiTheme="minorEastAsia" w:hAnsiTheme="minorEastAsia" w:eastAsiaTheme="minorEastAsia"/>
          <w:b/>
          <w:sz w:val="28"/>
        </w:rPr>
      </w:pPr>
      <w:r>
        <w:rPr>
          <w:rFonts w:hint="eastAsia" w:asciiTheme="minorEastAsia" w:hAnsiTheme="minorEastAsia" w:eastAsiaTheme="minorEastAsia"/>
          <w:b/>
          <w:sz w:val="28"/>
        </w:rPr>
        <w:t>第四章  评审方法和标准</w:t>
      </w:r>
      <w:bookmarkEnd w:id="8"/>
    </w:p>
    <w:p w14:paraId="3C7B9620">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一、总则</w:t>
      </w:r>
    </w:p>
    <w:p w14:paraId="4EF2C12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本项目将按照竞争性磋商文件第二章供应商须知的相关要求</w:t>
      </w:r>
      <w:r>
        <w:rPr>
          <w:rFonts w:asciiTheme="minorEastAsia" w:hAnsiTheme="minorEastAsia" w:eastAsiaTheme="minorEastAsia"/>
          <w:sz w:val="24"/>
        </w:rPr>
        <w:t>及本章的规定</w:t>
      </w:r>
      <w:r>
        <w:rPr>
          <w:rFonts w:hint="eastAsia" w:asciiTheme="minorEastAsia" w:hAnsiTheme="minorEastAsia" w:eastAsiaTheme="minorEastAsia"/>
          <w:sz w:val="24"/>
        </w:rPr>
        <w:t>评审</w:t>
      </w:r>
      <w:r>
        <w:rPr>
          <w:rFonts w:asciiTheme="minorEastAsia" w:hAnsiTheme="minorEastAsia" w:eastAsiaTheme="minorEastAsia"/>
          <w:sz w:val="24"/>
        </w:rPr>
        <w:t>。</w:t>
      </w:r>
    </w:p>
    <w:p w14:paraId="0937ABA9">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二、评审方法</w:t>
      </w:r>
    </w:p>
    <w:p w14:paraId="585DBAF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2.1初审</w:t>
      </w:r>
    </w:p>
    <w:p w14:paraId="270A0F4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竞争性磋商小组对供应商的响应文件进行初审，以确定其是否满足竞争性磋商文件的实质性要求。初审表如下：</w:t>
      </w:r>
    </w:p>
    <w:tbl>
      <w:tblPr>
        <w:tblStyle w:val="26"/>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806"/>
        <w:gridCol w:w="2471"/>
        <w:gridCol w:w="4238"/>
      </w:tblGrid>
      <w:tr w14:paraId="01C7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289" w:type="dxa"/>
            <w:gridSpan w:val="4"/>
            <w:tcBorders>
              <w:bottom w:val="single" w:color="auto" w:sz="4" w:space="0"/>
            </w:tcBorders>
            <w:vAlign w:val="center"/>
          </w:tcPr>
          <w:p w14:paraId="4324883F">
            <w:pPr>
              <w:adjustRightInd w:val="0"/>
              <w:snapToGrid w:val="0"/>
              <w:spacing w:line="360" w:lineRule="auto"/>
              <w:ind w:right="-10"/>
              <w:jc w:val="center"/>
              <w:rPr>
                <w:rFonts w:ascii="宋体" w:hAnsi="宋体" w:eastAsia="宋体"/>
                <w:sz w:val="24"/>
              </w:rPr>
            </w:pPr>
            <w:r>
              <w:rPr>
                <w:rFonts w:hint="eastAsia" w:ascii="宋体" w:hAnsi="宋体" w:eastAsia="宋体"/>
                <w:b/>
                <w:sz w:val="24"/>
                <w:szCs w:val="22"/>
              </w:rPr>
              <w:t>初审表</w:t>
            </w:r>
          </w:p>
        </w:tc>
      </w:tr>
      <w:tr w14:paraId="55CC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Borders>
              <w:bottom w:val="single" w:color="auto" w:sz="4" w:space="0"/>
            </w:tcBorders>
            <w:vAlign w:val="center"/>
          </w:tcPr>
          <w:p w14:paraId="0868AC7F">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1806" w:type="dxa"/>
            <w:tcBorders>
              <w:bottom w:val="single" w:color="auto" w:sz="4" w:space="0"/>
            </w:tcBorders>
            <w:vAlign w:val="center"/>
          </w:tcPr>
          <w:p w14:paraId="65DD6D61">
            <w:pPr>
              <w:pStyle w:val="47"/>
              <w:pBdr>
                <w:bottom w:val="none" w:color="auto" w:sz="0" w:space="0"/>
              </w:pBdr>
              <w:tabs>
                <w:tab w:val="clear" w:pos="4153"/>
                <w:tab w:val="clear" w:pos="8306"/>
              </w:tabs>
              <w:snapToGrid w:val="0"/>
              <w:spacing w:line="360" w:lineRule="auto"/>
              <w:ind w:right="-10"/>
              <w:jc w:val="center"/>
              <w:textAlignment w:val="auto"/>
              <w:rPr>
                <w:rFonts w:ascii="宋体" w:hAnsi="宋体" w:eastAsia="宋体"/>
                <w:kern w:val="2"/>
                <w:szCs w:val="24"/>
              </w:rPr>
            </w:pPr>
            <w:r>
              <w:rPr>
                <w:rFonts w:hint="eastAsia" w:ascii="宋体" w:hAnsi="宋体" w:eastAsia="宋体"/>
                <w:kern w:val="2"/>
                <w:szCs w:val="24"/>
              </w:rPr>
              <w:t>评审指标</w:t>
            </w:r>
          </w:p>
        </w:tc>
        <w:tc>
          <w:tcPr>
            <w:tcW w:w="2471" w:type="dxa"/>
            <w:tcBorders>
              <w:bottom w:val="single" w:color="auto" w:sz="4" w:space="0"/>
            </w:tcBorders>
            <w:vAlign w:val="center"/>
          </w:tcPr>
          <w:p w14:paraId="136A31B2">
            <w:pPr>
              <w:adjustRightInd w:val="0"/>
              <w:snapToGrid w:val="0"/>
              <w:spacing w:line="360" w:lineRule="auto"/>
              <w:ind w:right="-10"/>
              <w:jc w:val="center"/>
              <w:rPr>
                <w:rFonts w:ascii="宋体" w:hAnsi="宋体" w:eastAsia="宋体"/>
                <w:sz w:val="24"/>
              </w:rPr>
            </w:pPr>
            <w:r>
              <w:rPr>
                <w:rFonts w:hint="eastAsia" w:ascii="宋体" w:hAnsi="宋体" w:eastAsia="宋体"/>
                <w:sz w:val="24"/>
              </w:rPr>
              <w:t>评审标准</w:t>
            </w:r>
          </w:p>
        </w:tc>
        <w:tc>
          <w:tcPr>
            <w:tcW w:w="4238" w:type="dxa"/>
            <w:tcBorders>
              <w:bottom w:val="single" w:color="auto" w:sz="4" w:space="0"/>
            </w:tcBorders>
            <w:vAlign w:val="center"/>
          </w:tcPr>
          <w:p w14:paraId="383C2D21">
            <w:pPr>
              <w:adjustRightInd w:val="0"/>
              <w:snapToGrid w:val="0"/>
              <w:spacing w:line="360" w:lineRule="auto"/>
              <w:ind w:right="-10"/>
              <w:jc w:val="center"/>
              <w:rPr>
                <w:rFonts w:ascii="宋体" w:hAnsi="宋体" w:eastAsia="宋体"/>
                <w:sz w:val="24"/>
              </w:rPr>
            </w:pPr>
            <w:r>
              <w:rPr>
                <w:rFonts w:hint="eastAsia" w:ascii="宋体" w:hAnsi="宋体" w:eastAsia="宋体"/>
                <w:sz w:val="24"/>
              </w:rPr>
              <w:t>格式及材料要求</w:t>
            </w:r>
          </w:p>
        </w:tc>
      </w:tr>
      <w:tr w14:paraId="63298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74" w:type="dxa"/>
            <w:tcBorders>
              <w:bottom w:val="single" w:color="auto" w:sz="4" w:space="0"/>
            </w:tcBorders>
            <w:vAlign w:val="center"/>
          </w:tcPr>
          <w:p w14:paraId="657569C2">
            <w:pPr>
              <w:adjustRightInd w:val="0"/>
              <w:snapToGrid w:val="0"/>
              <w:spacing w:line="360" w:lineRule="auto"/>
              <w:ind w:right="-10"/>
              <w:jc w:val="center"/>
              <w:rPr>
                <w:rFonts w:ascii="宋体" w:hAnsi="宋体" w:eastAsia="宋体"/>
                <w:sz w:val="24"/>
              </w:rPr>
            </w:pPr>
            <w:r>
              <w:rPr>
                <w:rFonts w:hint="eastAsia" w:ascii="宋体" w:hAnsi="宋体" w:eastAsia="宋体"/>
                <w:sz w:val="24"/>
              </w:rPr>
              <w:t>1</w:t>
            </w:r>
          </w:p>
        </w:tc>
        <w:tc>
          <w:tcPr>
            <w:tcW w:w="1806" w:type="dxa"/>
            <w:tcBorders>
              <w:bottom w:val="single" w:color="auto" w:sz="4" w:space="0"/>
            </w:tcBorders>
            <w:vAlign w:val="center"/>
          </w:tcPr>
          <w:p w14:paraId="5769F9DE">
            <w:pPr>
              <w:spacing w:after="50" w:line="360" w:lineRule="auto"/>
              <w:ind w:right="-10"/>
              <w:jc w:val="center"/>
              <w:rPr>
                <w:rFonts w:ascii="宋体" w:hAnsi="宋体" w:eastAsia="宋体"/>
                <w:sz w:val="24"/>
                <w:szCs w:val="28"/>
              </w:rPr>
            </w:pPr>
            <w:r>
              <w:rPr>
                <w:rFonts w:hint="eastAsia" w:ascii="宋体" w:hAnsi="宋体" w:eastAsia="宋体"/>
                <w:sz w:val="24"/>
                <w:szCs w:val="28"/>
              </w:rPr>
              <w:t>营业执照或事业单位法人证书</w:t>
            </w:r>
          </w:p>
        </w:tc>
        <w:tc>
          <w:tcPr>
            <w:tcW w:w="2471" w:type="dxa"/>
            <w:tcBorders>
              <w:bottom w:val="single" w:color="auto" w:sz="4" w:space="0"/>
            </w:tcBorders>
            <w:vAlign w:val="center"/>
          </w:tcPr>
          <w:p w14:paraId="72645C8E">
            <w:pPr>
              <w:spacing w:after="50" w:line="360" w:lineRule="auto"/>
              <w:ind w:right="-10"/>
              <w:jc w:val="center"/>
              <w:rPr>
                <w:rFonts w:ascii="宋体" w:hAnsi="宋体" w:eastAsia="宋体"/>
                <w:sz w:val="24"/>
                <w:szCs w:val="28"/>
              </w:rPr>
            </w:pPr>
            <w:r>
              <w:rPr>
                <w:rFonts w:hint="eastAsia" w:ascii="宋体" w:hAnsi="宋体" w:eastAsia="宋体"/>
                <w:sz w:val="24"/>
                <w:szCs w:val="28"/>
              </w:rPr>
              <w:t>合法有效</w:t>
            </w:r>
          </w:p>
        </w:tc>
        <w:tc>
          <w:tcPr>
            <w:tcW w:w="4238" w:type="dxa"/>
            <w:vAlign w:val="center"/>
          </w:tcPr>
          <w:p w14:paraId="0D65C11B">
            <w:pPr>
              <w:spacing w:line="360" w:lineRule="auto"/>
              <w:jc w:val="left"/>
              <w:rPr>
                <w:rFonts w:ascii="宋体" w:hAnsi="宋体" w:eastAsia="宋体"/>
                <w:sz w:val="24"/>
              </w:rPr>
            </w:pPr>
            <w:r>
              <w:rPr>
                <w:rFonts w:hint="eastAsia" w:ascii="宋体" w:hAnsi="宋体" w:eastAsia="宋体"/>
                <w:sz w:val="24"/>
              </w:rPr>
              <w:t>提供有效的供应商营业执照（或事业单位法人登记证书）</w:t>
            </w:r>
          </w:p>
        </w:tc>
      </w:tr>
      <w:tr w14:paraId="1230A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74" w:type="dxa"/>
            <w:tcBorders>
              <w:bottom w:val="single" w:color="auto" w:sz="4" w:space="0"/>
            </w:tcBorders>
            <w:vAlign w:val="center"/>
          </w:tcPr>
          <w:p w14:paraId="7D7464AA">
            <w:pPr>
              <w:adjustRightInd w:val="0"/>
              <w:snapToGrid w:val="0"/>
              <w:spacing w:line="360" w:lineRule="auto"/>
              <w:ind w:right="-10" w:rightChars="0"/>
              <w:jc w:val="center"/>
              <w:rPr>
                <w:rFonts w:hint="eastAsia" w:ascii="宋体" w:hAnsi="宋体" w:eastAsia="宋体"/>
                <w:sz w:val="24"/>
                <w:lang w:val="en-US" w:eastAsia="zh-CN"/>
              </w:rPr>
            </w:pPr>
            <w:r>
              <w:rPr>
                <w:rFonts w:hint="eastAsia" w:ascii="宋体" w:hAnsi="宋体" w:eastAsia="宋体"/>
                <w:sz w:val="24"/>
                <w:lang w:val="en-US" w:eastAsia="zh-CN"/>
              </w:rPr>
              <w:t>2</w:t>
            </w:r>
          </w:p>
        </w:tc>
        <w:tc>
          <w:tcPr>
            <w:tcW w:w="1806" w:type="dxa"/>
            <w:tcBorders>
              <w:bottom w:val="single" w:color="auto" w:sz="4" w:space="0"/>
            </w:tcBorders>
            <w:vAlign w:val="center"/>
          </w:tcPr>
          <w:p w14:paraId="0B46E226">
            <w:pPr>
              <w:spacing w:after="50" w:line="360" w:lineRule="auto"/>
              <w:ind w:right="-10" w:rightChars="0"/>
              <w:jc w:val="center"/>
              <w:rPr>
                <w:rFonts w:hint="default" w:ascii="宋体" w:hAnsi="宋体" w:eastAsia="宋体"/>
                <w:sz w:val="24"/>
                <w:szCs w:val="28"/>
                <w:lang w:val="en-US" w:eastAsia="zh-CN"/>
              </w:rPr>
            </w:pPr>
            <w:r>
              <w:rPr>
                <w:rFonts w:hint="eastAsia" w:ascii="宋体" w:hAnsi="宋体" w:eastAsia="宋体"/>
                <w:sz w:val="24"/>
                <w:szCs w:val="28"/>
              </w:rPr>
              <w:t>资质证书</w:t>
            </w:r>
          </w:p>
        </w:tc>
        <w:tc>
          <w:tcPr>
            <w:tcW w:w="2471" w:type="dxa"/>
            <w:tcBorders>
              <w:bottom w:val="single" w:color="auto" w:sz="4" w:space="0"/>
            </w:tcBorders>
            <w:vAlign w:val="center"/>
          </w:tcPr>
          <w:p w14:paraId="6D956CCC">
            <w:pPr>
              <w:spacing w:after="50" w:line="360" w:lineRule="auto"/>
              <w:ind w:right="-10" w:rightChars="0"/>
              <w:jc w:val="center"/>
              <w:rPr>
                <w:rFonts w:hint="default" w:ascii="宋体" w:hAnsi="宋体" w:eastAsia="宋体"/>
                <w:sz w:val="24"/>
                <w:szCs w:val="28"/>
                <w:lang w:val="en-US" w:eastAsia="zh-CN"/>
              </w:rPr>
            </w:pPr>
            <w:r>
              <w:rPr>
                <w:rFonts w:hint="eastAsia" w:ascii="宋体" w:hAnsi="宋体" w:eastAsia="宋体"/>
                <w:sz w:val="24"/>
                <w:szCs w:val="28"/>
                <w:lang w:val="en-US" w:eastAsia="zh-CN"/>
              </w:rPr>
              <w:t>满足磋商公告要求</w:t>
            </w:r>
          </w:p>
        </w:tc>
        <w:tc>
          <w:tcPr>
            <w:tcW w:w="4238" w:type="dxa"/>
            <w:vAlign w:val="center"/>
          </w:tcPr>
          <w:p w14:paraId="3166F165">
            <w:pPr>
              <w:spacing w:line="360" w:lineRule="auto"/>
              <w:jc w:val="left"/>
              <w:rPr>
                <w:rFonts w:hint="eastAsia" w:ascii="宋体" w:hAnsi="宋体" w:eastAsia="宋体"/>
                <w:sz w:val="24"/>
              </w:rPr>
            </w:pPr>
            <w:r>
              <w:rPr>
                <w:rFonts w:hint="eastAsia" w:ascii="宋体" w:hAnsi="宋体" w:eastAsia="宋体"/>
                <w:sz w:val="24"/>
                <w:lang w:val="en-US" w:eastAsia="zh-CN"/>
              </w:rPr>
              <w:t>详见竞争性磋商公告</w:t>
            </w:r>
          </w:p>
        </w:tc>
      </w:tr>
      <w:tr w14:paraId="106F8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Borders>
              <w:bottom w:val="single" w:color="auto" w:sz="4" w:space="0"/>
            </w:tcBorders>
            <w:vAlign w:val="center"/>
          </w:tcPr>
          <w:p w14:paraId="2A7DE13E">
            <w:pPr>
              <w:adjustRightInd w:val="0"/>
              <w:snapToGrid w:val="0"/>
              <w:spacing w:line="360" w:lineRule="auto"/>
              <w:ind w:right="-10" w:rightChars="0"/>
              <w:jc w:val="center"/>
              <w:rPr>
                <w:rFonts w:hint="eastAsia" w:ascii="宋体" w:hAnsi="宋体" w:eastAsia="宋体"/>
                <w:sz w:val="24"/>
                <w:lang w:val="en-US" w:eastAsia="zh-CN"/>
              </w:rPr>
            </w:pPr>
            <w:r>
              <w:rPr>
                <w:rFonts w:hint="eastAsia" w:ascii="宋体" w:hAnsi="宋体" w:eastAsia="宋体"/>
                <w:sz w:val="24"/>
                <w:lang w:val="en-US" w:eastAsia="zh-CN"/>
              </w:rPr>
              <w:t>3</w:t>
            </w:r>
          </w:p>
        </w:tc>
        <w:tc>
          <w:tcPr>
            <w:tcW w:w="1806" w:type="dxa"/>
            <w:tcBorders>
              <w:bottom w:val="single" w:color="auto" w:sz="4" w:space="0"/>
            </w:tcBorders>
            <w:vAlign w:val="center"/>
          </w:tcPr>
          <w:p w14:paraId="55CBC554">
            <w:pPr>
              <w:spacing w:after="50" w:line="360" w:lineRule="auto"/>
              <w:ind w:right="-10" w:rightChars="0"/>
              <w:jc w:val="center"/>
              <w:rPr>
                <w:rFonts w:hint="default" w:ascii="宋体" w:hAnsi="宋体" w:eastAsia="宋体"/>
                <w:sz w:val="24"/>
                <w:szCs w:val="18"/>
                <w:lang w:val="en-US"/>
              </w:rPr>
            </w:pPr>
            <w:r>
              <w:rPr>
                <w:rFonts w:hint="eastAsia" w:ascii="宋体" w:hAnsi="宋体" w:eastAsia="宋体"/>
                <w:sz w:val="24"/>
                <w:szCs w:val="28"/>
                <w:lang w:val="en-US" w:eastAsia="zh-CN"/>
              </w:rPr>
              <w:t>项目负责人</w:t>
            </w:r>
          </w:p>
        </w:tc>
        <w:tc>
          <w:tcPr>
            <w:tcW w:w="2471" w:type="dxa"/>
            <w:tcBorders>
              <w:bottom w:val="single" w:color="auto" w:sz="4" w:space="0"/>
            </w:tcBorders>
            <w:vAlign w:val="center"/>
          </w:tcPr>
          <w:p w14:paraId="390EBB67">
            <w:pPr>
              <w:spacing w:after="50" w:line="360" w:lineRule="auto"/>
              <w:ind w:right="-10" w:rightChars="0"/>
              <w:jc w:val="center"/>
              <w:rPr>
                <w:rFonts w:hint="eastAsia" w:ascii="宋体" w:hAnsi="宋体" w:eastAsia="宋体"/>
                <w:sz w:val="24"/>
                <w:szCs w:val="28"/>
              </w:rPr>
            </w:pPr>
            <w:r>
              <w:rPr>
                <w:rFonts w:hint="eastAsia" w:ascii="宋体" w:hAnsi="宋体" w:eastAsia="宋体"/>
                <w:sz w:val="24"/>
                <w:szCs w:val="28"/>
                <w:lang w:val="en-US" w:eastAsia="zh-CN"/>
              </w:rPr>
              <w:t>满足磋商公告要求</w:t>
            </w:r>
          </w:p>
        </w:tc>
        <w:tc>
          <w:tcPr>
            <w:tcW w:w="4238" w:type="dxa"/>
            <w:tcBorders>
              <w:bottom w:val="single" w:color="auto" w:sz="4" w:space="0"/>
            </w:tcBorders>
            <w:vAlign w:val="center"/>
          </w:tcPr>
          <w:p w14:paraId="133E63C3">
            <w:pPr>
              <w:adjustRightInd w:val="0"/>
              <w:snapToGrid w:val="0"/>
              <w:spacing w:line="360" w:lineRule="auto"/>
              <w:ind w:right="-10" w:rightChars="0"/>
              <w:jc w:val="both"/>
              <w:rPr>
                <w:rFonts w:hint="eastAsia" w:ascii="宋体" w:hAnsi="宋体" w:eastAsia="宋体"/>
                <w:sz w:val="24"/>
              </w:rPr>
            </w:pPr>
            <w:r>
              <w:rPr>
                <w:rFonts w:hint="eastAsia" w:ascii="宋体" w:hAnsi="宋体" w:eastAsia="宋体"/>
                <w:sz w:val="24"/>
                <w:lang w:val="en-US" w:eastAsia="zh-CN"/>
              </w:rPr>
              <w:t>详见竞争性磋商公告</w:t>
            </w:r>
          </w:p>
        </w:tc>
      </w:tr>
      <w:tr w14:paraId="1A9B5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Borders>
              <w:bottom w:val="single" w:color="auto" w:sz="4" w:space="0"/>
            </w:tcBorders>
            <w:vAlign w:val="center"/>
          </w:tcPr>
          <w:p w14:paraId="367A6E89">
            <w:pPr>
              <w:adjustRightInd w:val="0"/>
              <w:snapToGrid w:val="0"/>
              <w:spacing w:line="360" w:lineRule="auto"/>
              <w:ind w:right="-10"/>
              <w:jc w:val="center"/>
              <w:rPr>
                <w:rFonts w:hint="eastAsia" w:ascii="宋体" w:hAnsi="宋体" w:eastAsia="宋体"/>
                <w:sz w:val="24"/>
                <w:lang w:eastAsia="zh-CN"/>
              </w:rPr>
            </w:pPr>
            <w:r>
              <w:rPr>
                <w:rFonts w:hint="eastAsia" w:ascii="宋体" w:hAnsi="宋体" w:eastAsia="宋体"/>
                <w:sz w:val="24"/>
                <w:lang w:val="en-US" w:eastAsia="zh-CN"/>
              </w:rPr>
              <w:t>4</w:t>
            </w:r>
          </w:p>
        </w:tc>
        <w:tc>
          <w:tcPr>
            <w:tcW w:w="1806" w:type="dxa"/>
            <w:tcBorders>
              <w:bottom w:val="single" w:color="auto" w:sz="4" w:space="0"/>
            </w:tcBorders>
            <w:vAlign w:val="center"/>
          </w:tcPr>
          <w:p w14:paraId="1ED8A99E">
            <w:pPr>
              <w:spacing w:after="50" w:line="360" w:lineRule="auto"/>
              <w:ind w:right="-10"/>
              <w:jc w:val="center"/>
              <w:rPr>
                <w:rFonts w:ascii="宋体" w:hAnsi="宋体" w:eastAsia="宋体"/>
                <w:sz w:val="24"/>
                <w:szCs w:val="28"/>
              </w:rPr>
            </w:pPr>
            <w:r>
              <w:rPr>
                <w:rFonts w:hint="eastAsia" w:ascii="宋体" w:hAnsi="宋体" w:eastAsia="宋体"/>
                <w:sz w:val="24"/>
                <w:szCs w:val="18"/>
              </w:rPr>
              <w:t>不良信用记录查询</w:t>
            </w:r>
          </w:p>
        </w:tc>
        <w:tc>
          <w:tcPr>
            <w:tcW w:w="2471" w:type="dxa"/>
            <w:tcBorders>
              <w:bottom w:val="single" w:color="auto" w:sz="4" w:space="0"/>
            </w:tcBorders>
            <w:vAlign w:val="center"/>
          </w:tcPr>
          <w:p w14:paraId="7A30D5B9">
            <w:pPr>
              <w:spacing w:after="50" w:line="360" w:lineRule="auto"/>
              <w:ind w:right="-10"/>
              <w:jc w:val="center"/>
              <w:rPr>
                <w:rFonts w:ascii="宋体" w:hAnsi="宋体" w:eastAsia="宋体"/>
                <w:sz w:val="24"/>
                <w:szCs w:val="28"/>
              </w:rPr>
            </w:pPr>
            <w:r>
              <w:rPr>
                <w:rFonts w:hint="eastAsia" w:ascii="宋体" w:hAnsi="宋体" w:eastAsia="宋体"/>
                <w:sz w:val="24"/>
                <w:szCs w:val="28"/>
              </w:rPr>
              <w:t>供应商不得存在供应商</w:t>
            </w:r>
            <w:r>
              <w:rPr>
                <w:rFonts w:hint="eastAsia" w:ascii="宋体" w:hAnsi="宋体" w:eastAsia="宋体"/>
                <w:sz w:val="24"/>
              </w:rPr>
              <w:t>须知第</w:t>
            </w: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.3.1.1</w:t>
            </w:r>
            <w:r>
              <w:rPr>
                <w:rFonts w:hint="eastAsia" w:ascii="宋体" w:hAnsi="宋体" w:eastAsia="宋体"/>
                <w:sz w:val="24"/>
              </w:rPr>
              <w:t>条</w:t>
            </w:r>
            <w:r>
              <w:rPr>
                <w:rFonts w:hint="eastAsia" w:ascii="宋体" w:hAnsi="宋体" w:eastAsia="宋体"/>
                <w:sz w:val="24"/>
                <w:szCs w:val="28"/>
              </w:rPr>
              <w:t>中的</w:t>
            </w:r>
            <w:r>
              <w:rPr>
                <w:rFonts w:hint="eastAsia" w:ascii="宋体" w:hAnsi="宋体" w:eastAsia="宋体"/>
                <w:sz w:val="24"/>
                <w:szCs w:val="18"/>
              </w:rPr>
              <w:t>不良信用记录情形</w:t>
            </w:r>
          </w:p>
        </w:tc>
        <w:tc>
          <w:tcPr>
            <w:tcW w:w="4238" w:type="dxa"/>
            <w:tcBorders>
              <w:bottom w:val="single" w:color="auto" w:sz="4" w:space="0"/>
            </w:tcBorders>
            <w:vAlign w:val="center"/>
          </w:tcPr>
          <w:p w14:paraId="54FB8A9C">
            <w:pPr>
              <w:adjustRightInd w:val="0"/>
              <w:snapToGrid w:val="0"/>
              <w:spacing w:line="360" w:lineRule="auto"/>
              <w:ind w:right="-10"/>
              <w:jc w:val="left"/>
              <w:rPr>
                <w:rFonts w:ascii="宋体" w:hAnsi="宋体" w:eastAsia="宋体"/>
                <w:sz w:val="24"/>
              </w:rPr>
            </w:pPr>
            <w:r>
              <w:rPr>
                <w:rFonts w:hint="eastAsia" w:ascii="宋体" w:hAnsi="宋体" w:eastAsia="宋体"/>
                <w:sz w:val="24"/>
              </w:rPr>
              <w:t>详见供应商须知第</w:t>
            </w: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.3.1.1</w:t>
            </w:r>
            <w:r>
              <w:rPr>
                <w:rFonts w:hint="eastAsia" w:ascii="宋体" w:hAnsi="宋体" w:eastAsia="宋体"/>
                <w:sz w:val="24"/>
              </w:rPr>
              <w:t>条要求</w:t>
            </w:r>
          </w:p>
        </w:tc>
      </w:tr>
      <w:tr w14:paraId="1E60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Borders>
              <w:bottom w:val="single" w:color="auto" w:sz="4" w:space="0"/>
            </w:tcBorders>
            <w:vAlign w:val="center"/>
          </w:tcPr>
          <w:p w14:paraId="12A6798C">
            <w:pPr>
              <w:adjustRightInd w:val="0"/>
              <w:snapToGrid w:val="0"/>
              <w:spacing w:line="360" w:lineRule="auto"/>
              <w:ind w:right="-10"/>
              <w:jc w:val="center"/>
              <w:rPr>
                <w:rFonts w:hint="eastAsia" w:ascii="宋体" w:hAnsi="宋体" w:eastAsia="宋体"/>
                <w:sz w:val="24"/>
                <w:lang w:eastAsia="zh-CN"/>
              </w:rPr>
            </w:pPr>
            <w:r>
              <w:rPr>
                <w:rFonts w:hint="eastAsia" w:ascii="宋体" w:hAnsi="宋体" w:eastAsia="宋体"/>
                <w:sz w:val="24"/>
                <w:lang w:val="en-US" w:eastAsia="zh-CN"/>
              </w:rPr>
              <w:t>5</w:t>
            </w:r>
          </w:p>
        </w:tc>
        <w:tc>
          <w:tcPr>
            <w:tcW w:w="1806" w:type="dxa"/>
            <w:tcBorders>
              <w:bottom w:val="single" w:color="auto" w:sz="4" w:space="0"/>
            </w:tcBorders>
            <w:vAlign w:val="center"/>
          </w:tcPr>
          <w:p w14:paraId="1B4C261B">
            <w:pPr>
              <w:spacing w:after="50" w:line="360" w:lineRule="auto"/>
              <w:ind w:right="-10"/>
              <w:jc w:val="center"/>
              <w:rPr>
                <w:rFonts w:ascii="宋体" w:hAnsi="宋体" w:eastAsia="宋体"/>
                <w:sz w:val="24"/>
                <w:szCs w:val="18"/>
              </w:rPr>
            </w:pPr>
            <w:r>
              <w:rPr>
                <w:rFonts w:hint="eastAsia" w:ascii="宋体" w:hAnsi="宋体" w:eastAsia="宋体"/>
                <w:sz w:val="24"/>
                <w:szCs w:val="28"/>
              </w:rPr>
              <w:t>无不良信用记录声明函</w:t>
            </w:r>
          </w:p>
        </w:tc>
        <w:tc>
          <w:tcPr>
            <w:tcW w:w="2471" w:type="dxa"/>
            <w:tcBorders>
              <w:bottom w:val="single" w:color="auto" w:sz="4" w:space="0"/>
            </w:tcBorders>
            <w:vAlign w:val="center"/>
          </w:tcPr>
          <w:p w14:paraId="748466D7">
            <w:pPr>
              <w:spacing w:after="50" w:line="360" w:lineRule="auto"/>
              <w:ind w:right="-10"/>
              <w:jc w:val="center"/>
              <w:rPr>
                <w:rFonts w:ascii="宋体" w:hAnsi="宋体" w:eastAsia="宋体"/>
                <w:sz w:val="24"/>
                <w:szCs w:val="28"/>
              </w:rPr>
            </w:pPr>
            <w:r>
              <w:rPr>
                <w:rFonts w:hint="eastAsia" w:ascii="宋体" w:hAnsi="宋体" w:eastAsia="宋体"/>
                <w:sz w:val="24"/>
                <w:szCs w:val="28"/>
              </w:rPr>
              <w:t>格式、填写要求符合竞争性磋商文件规定并加盖供应商</w:t>
            </w:r>
            <w:r>
              <w:rPr>
                <w:rFonts w:hint="eastAsia" w:asciiTheme="minorEastAsia" w:hAnsiTheme="minorEastAsia" w:eastAsiaTheme="minorEastAsia"/>
                <w:sz w:val="24"/>
                <w:szCs w:val="28"/>
                <w:lang w:val="en-US" w:eastAsia="zh-CN"/>
              </w:rPr>
              <w:t>公</w:t>
            </w:r>
            <w:r>
              <w:rPr>
                <w:rFonts w:hint="eastAsia" w:asciiTheme="minorEastAsia" w:hAnsiTheme="minorEastAsia" w:eastAsiaTheme="minorEastAsia"/>
                <w:sz w:val="24"/>
                <w:szCs w:val="28"/>
                <w:lang w:eastAsia="zh-CN"/>
              </w:rPr>
              <w:t>章</w:t>
            </w:r>
          </w:p>
        </w:tc>
        <w:tc>
          <w:tcPr>
            <w:tcW w:w="4238" w:type="dxa"/>
            <w:tcBorders>
              <w:bottom w:val="single" w:color="auto" w:sz="4" w:space="0"/>
            </w:tcBorders>
            <w:vAlign w:val="center"/>
          </w:tcPr>
          <w:p w14:paraId="7687B54C">
            <w:pPr>
              <w:adjustRightInd w:val="0"/>
              <w:snapToGrid w:val="0"/>
              <w:spacing w:line="360" w:lineRule="auto"/>
              <w:ind w:right="-10"/>
              <w:jc w:val="left"/>
              <w:rPr>
                <w:rFonts w:ascii="宋体" w:hAnsi="宋体" w:eastAsia="宋体"/>
                <w:sz w:val="24"/>
              </w:rPr>
            </w:pPr>
            <w:r>
              <w:rPr>
                <w:rFonts w:hint="eastAsia" w:ascii="宋体" w:hAnsi="宋体" w:eastAsia="宋体"/>
                <w:sz w:val="24"/>
              </w:rPr>
              <w:t>详见第六章响应文件格式四</w:t>
            </w:r>
          </w:p>
        </w:tc>
      </w:tr>
      <w:tr w14:paraId="70C8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Borders>
              <w:bottom w:val="single" w:color="auto" w:sz="4" w:space="0"/>
            </w:tcBorders>
            <w:vAlign w:val="center"/>
          </w:tcPr>
          <w:p w14:paraId="548967CE">
            <w:pPr>
              <w:adjustRightInd w:val="0"/>
              <w:snapToGrid w:val="0"/>
              <w:spacing w:line="360" w:lineRule="auto"/>
              <w:ind w:right="-10"/>
              <w:jc w:val="center"/>
              <w:rPr>
                <w:rFonts w:hint="eastAsia" w:ascii="宋体" w:hAnsi="宋体" w:eastAsia="宋体"/>
                <w:sz w:val="24"/>
                <w:lang w:eastAsia="zh-CN"/>
              </w:rPr>
            </w:pPr>
            <w:r>
              <w:rPr>
                <w:rFonts w:hint="eastAsia" w:ascii="宋体" w:hAnsi="宋体" w:eastAsia="宋体"/>
                <w:sz w:val="24"/>
                <w:lang w:val="en-US" w:eastAsia="zh-CN"/>
              </w:rPr>
              <w:t>6</w:t>
            </w:r>
          </w:p>
        </w:tc>
        <w:tc>
          <w:tcPr>
            <w:tcW w:w="1806" w:type="dxa"/>
            <w:tcBorders>
              <w:bottom w:val="single" w:color="auto" w:sz="4" w:space="0"/>
            </w:tcBorders>
            <w:vAlign w:val="center"/>
          </w:tcPr>
          <w:p w14:paraId="4EF1DA70">
            <w:pPr>
              <w:spacing w:after="50" w:line="360" w:lineRule="auto"/>
              <w:ind w:right="-10"/>
              <w:jc w:val="center"/>
              <w:rPr>
                <w:rFonts w:ascii="宋体" w:hAnsi="宋体" w:eastAsia="宋体"/>
                <w:sz w:val="24"/>
                <w:szCs w:val="28"/>
              </w:rPr>
            </w:pPr>
            <w:r>
              <w:rPr>
                <w:rFonts w:hint="eastAsia" w:ascii="宋体" w:hAnsi="宋体" w:eastAsia="宋体"/>
                <w:sz w:val="24"/>
                <w:szCs w:val="28"/>
              </w:rPr>
              <w:t>竞争性磋商响应函</w:t>
            </w:r>
          </w:p>
        </w:tc>
        <w:tc>
          <w:tcPr>
            <w:tcW w:w="2471" w:type="dxa"/>
            <w:tcBorders>
              <w:bottom w:val="single" w:color="auto" w:sz="4" w:space="0"/>
            </w:tcBorders>
            <w:vAlign w:val="center"/>
          </w:tcPr>
          <w:p w14:paraId="0715D1B3">
            <w:pPr>
              <w:spacing w:after="50" w:line="360" w:lineRule="auto"/>
              <w:ind w:right="-10"/>
              <w:jc w:val="center"/>
              <w:rPr>
                <w:rFonts w:ascii="宋体" w:hAnsi="宋体" w:eastAsia="宋体"/>
                <w:sz w:val="24"/>
                <w:szCs w:val="28"/>
              </w:rPr>
            </w:pPr>
            <w:r>
              <w:rPr>
                <w:rFonts w:hint="eastAsia" w:asciiTheme="minorEastAsia" w:hAnsiTheme="minorEastAsia" w:eastAsiaTheme="minorEastAsia"/>
                <w:sz w:val="24"/>
                <w:szCs w:val="28"/>
              </w:rPr>
              <w:t>格式、填写要求符合</w:t>
            </w:r>
            <w:r>
              <w:rPr>
                <w:rFonts w:hint="eastAsia" w:ascii="宋体" w:hAnsi="宋体" w:eastAsia="宋体"/>
                <w:sz w:val="24"/>
                <w:szCs w:val="28"/>
              </w:rPr>
              <w:t>竞争性磋商文件</w:t>
            </w:r>
            <w:r>
              <w:rPr>
                <w:rFonts w:hint="eastAsia" w:asciiTheme="minorEastAsia" w:hAnsiTheme="minorEastAsia" w:eastAsiaTheme="minorEastAsia"/>
                <w:sz w:val="24"/>
                <w:szCs w:val="28"/>
              </w:rPr>
              <w:t>规定并加盖</w:t>
            </w:r>
            <w:r>
              <w:rPr>
                <w:rFonts w:hint="eastAsia" w:ascii="宋体" w:hAnsi="宋体" w:eastAsia="宋体"/>
                <w:sz w:val="24"/>
                <w:szCs w:val="28"/>
              </w:rPr>
              <w:t>供应商</w:t>
            </w:r>
            <w:r>
              <w:rPr>
                <w:rFonts w:hint="eastAsia" w:asciiTheme="minorEastAsia" w:hAnsiTheme="minorEastAsia" w:eastAsiaTheme="minorEastAsia"/>
                <w:sz w:val="24"/>
                <w:szCs w:val="28"/>
                <w:lang w:val="en-US" w:eastAsia="zh-CN"/>
              </w:rPr>
              <w:t>公</w:t>
            </w:r>
            <w:r>
              <w:rPr>
                <w:rFonts w:hint="eastAsia" w:asciiTheme="minorEastAsia" w:hAnsiTheme="minorEastAsia" w:eastAsiaTheme="minorEastAsia"/>
                <w:sz w:val="24"/>
                <w:szCs w:val="28"/>
                <w:lang w:eastAsia="zh-CN"/>
              </w:rPr>
              <w:t>章</w:t>
            </w:r>
          </w:p>
        </w:tc>
        <w:tc>
          <w:tcPr>
            <w:tcW w:w="4238" w:type="dxa"/>
            <w:tcBorders>
              <w:bottom w:val="single" w:color="auto" w:sz="4" w:space="0"/>
            </w:tcBorders>
            <w:vAlign w:val="center"/>
          </w:tcPr>
          <w:p w14:paraId="7027ECDB">
            <w:pPr>
              <w:adjustRightInd w:val="0"/>
              <w:snapToGrid w:val="0"/>
              <w:spacing w:line="360" w:lineRule="auto"/>
              <w:ind w:right="-10"/>
              <w:jc w:val="left"/>
              <w:rPr>
                <w:rFonts w:ascii="宋体" w:hAnsi="宋体" w:eastAsia="宋体"/>
                <w:sz w:val="24"/>
              </w:rPr>
            </w:pPr>
            <w:r>
              <w:rPr>
                <w:rFonts w:hint="eastAsia" w:asciiTheme="minorEastAsia" w:hAnsiTheme="minorEastAsia" w:eastAsiaTheme="minorEastAsia"/>
                <w:sz w:val="24"/>
              </w:rPr>
              <w:t>详见第六章</w:t>
            </w:r>
            <w:r>
              <w:rPr>
                <w:rFonts w:hint="eastAsia" w:ascii="宋体" w:hAnsi="宋体" w:eastAsia="宋体"/>
                <w:sz w:val="24"/>
              </w:rPr>
              <w:t>响应</w:t>
            </w:r>
            <w:r>
              <w:rPr>
                <w:rFonts w:hint="eastAsia" w:asciiTheme="minorEastAsia" w:hAnsiTheme="minorEastAsia" w:eastAsiaTheme="minorEastAsia"/>
                <w:sz w:val="24"/>
              </w:rPr>
              <w:t>文件格式三</w:t>
            </w:r>
          </w:p>
        </w:tc>
      </w:tr>
      <w:tr w14:paraId="788D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Borders>
              <w:bottom w:val="single" w:color="auto" w:sz="4" w:space="0"/>
            </w:tcBorders>
            <w:vAlign w:val="center"/>
          </w:tcPr>
          <w:p w14:paraId="704EA27A">
            <w:pPr>
              <w:adjustRightInd w:val="0"/>
              <w:snapToGrid w:val="0"/>
              <w:spacing w:line="360" w:lineRule="auto"/>
              <w:ind w:right="-10"/>
              <w:jc w:val="center"/>
              <w:rPr>
                <w:rFonts w:hint="eastAsia" w:ascii="宋体" w:hAnsi="宋体" w:eastAsia="宋体"/>
                <w:sz w:val="24"/>
                <w:lang w:eastAsia="zh-CN"/>
              </w:rPr>
            </w:pPr>
            <w:r>
              <w:rPr>
                <w:rFonts w:hint="eastAsia" w:ascii="宋体" w:hAnsi="宋体" w:eastAsia="宋体"/>
                <w:sz w:val="24"/>
                <w:lang w:val="en-US" w:eastAsia="zh-CN"/>
              </w:rPr>
              <w:t>7</w:t>
            </w:r>
          </w:p>
        </w:tc>
        <w:tc>
          <w:tcPr>
            <w:tcW w:w="1806" w:type="dxa"/>
            <w:tcBorders>
              <w:bottom w:val="single" w:color="auto" w:sz="4" w:space="0"/>
            </w:tcBorders>
            <w:vAlign w:val="center"/>
          </w:tcPr>
          <w:p w14:paraId="6CCAF24C">
            <w:pPr>
              <w:spacing w:after="50" w:line="360" w:lineRule="auto"/>
              <w:ind w:right="-10"/>
              <w:jc w:val="center"/>
              <w:rPr>
                <w:rFonts w:ascii="宋体" w:hAnsi="宋体" w:eastAsia="宋体"/>
                <w:sz w:val="24"/>
                <w:szCs w:val="28"/>
              </w:rPr>
            </w:pPr>
            <w:r>
              <w:rPr>
                <w:rFonts w:hint="eastAsia" w:ascii="宋体" w:hAnsi="宋体" w:eastAsia="宋体"/>
                <w:sz w:val="24"/>
                <w:szCs w:val="28"/>
              </w:rPr>
              <w:t>竞争性磋商授权书</w:t>
            </w:r>
          </w:p>
        </w:tc>
        <w:tc>
          <w:tcPr>
            <w:tcW w:w="2471" w:type="dxa"/>
            <w:tcBorders>
              <w:bottom w:val="single" w:color="auto" w:sz="4" w:space="0"/>
            </w:tcBorders>
            <w:vAlign w:val="center"/>
          </w:tcPr>
          <w:p w14:paraId="26237CF1">
            <w:pPr>
              <w:spacing w:after="50" w:line="360" w:lineRule="auto"/>
              <w:ind w:right="-10"/>
              <w:jc w:val="center"/>
              <w:rPr>
                <w:rFonts w:ascii="宋体" w:hAnsi="宋体" w:eastAsia="宋体"/>
                <w:sz w:val="24"/>
                <w:szCs w:val="28"/>
              </w:rPr>
            </w:pPr>
            <w:r>
              <w:rPr>
                <w:rFonts w:hint="eastAsia" w:asciiTheme="minorEastAsia" w:hAnsiTheme="minorEastAsia" w:eastAsiaTheme="minorEastAsia"/>
                <w:sz w:val="24"/>
                <w:szCs w:val="28"/>
              </w:rPr>
              <w:t>格式、填写要求符合</w:t>
            </w:r>
            <w:r>
              <w:rPr>
                <w:rFonts w:hint="eastAsia" w:ascii="宋体" w:hAnsi="宋体" w:eastAsia="宋体"/>
                <w:sz w:val="24"/>
                <w:szCs w:val="28"/>
              </w:rPr>
              <w:t>竞争性磋商文件</w:t>
            </w:r>
            <w:r>
              <w:rPr>
                <w:rFonts w:hint="eastAsia" w:asciiTheme="minorEastAsia" w:hAnsiTheme="minorEastAsia" w:eastAsiaTheme="minorEastAsia"/>
                <w:sz w:val="24"/>
                <w:szCs w:val="28"/>
              </w:rPr>
              <w:t>规定并加盖供应商</w:t>
            </w:r>
            <w:r>
              <w:rPr>
                <w:rFonts w:hint="eastAsia" w:asciiTheme="minorEastAsia" w:hAnsiTheme="minorEastAsia" w:eastAsiaTheme="minorEastAsia"/>
                <w:sz w:val="24"/>
                <w:szCs w:val="28"/>
                <w:lang w:val="en-US" w:eastAsia="zh-CN"/>
              </w:rPr>
              <w:t>公</w:t>
            </w:r>
            <w:r>
              <w:rPr>
                <w:rFonts w:hint="eastAsia" w:asciiTheme="minorEastAsia" w:hAnsiTheme="minorEastAsia" w:eastAsiaTheme="minorEastAsia"/>
                <w:sz w:val="24"/>
                <w:szCs w:val="28"/>
              </w:rPr>
              <w:t>章</w:t>
            </w:r>
          </w:p>
        </w:tc>
        <w:tc>
          <w:tcPr>
            <w:tcW w:w="4238" w:type="dxa"/>
            <w:tcBorders>
              <w:bottom w:val="single" w:color="auto" w:sz="4" w:space="0"/>
            </w:tcBorders>
            <w:vAlign w:val="center"/>
          </w:tcPr>
          <w:p w14:paraId="5104DDC7">
            <w:pPr>
              <w:adjustRightInd w:val="0"/>
              <w:snapToGrid w:val="0"/>
              <w:spacing w:line="360" w:lineRule="auto"/>
              <w:ind w:right="-10"/>
              <w:jc w:val="left"/>
              <w:rPr>
                <w:rFonts w:ascii="宋体" w:hAnsi="宋体" w:eastAsia="宋体"/>
                <w:sz w:val="24"/>
              </w:rPr>
            </w:pPr>
            <w:r>
              <w:rPr>
                <w:rFonts w:hint="eastAsia" w:asciiTheme="minorEastAsia" w:hAnsiTheme="minorEastAsia" w:eastAsiaTheme="minorEastAsia"/>
                <w:sz w:val="24"/>
              </w:rPr>
              <w:t>法定代表人参加竞争性磋商的无需此件，提供身份证明即可。详见第六章响应文件格式五</w:t>
            </w:r>
          </w:p>
        </w:tc>
      </w:tr>
      <w:tr w14:paraId="7E7B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28AFD5AC">
            <w:pPr>
              <w:adjustRightInd w:val="0"/>
              <w:snapToGrid w:val="0"/>
              <w:spacing w:line="360" w:lineRule="auto"/>
              <w:ind w:right="-10"/>
              <w:jc w:val="center"/>
              <w:rPr>
                <w:rFonts w:hint="eastAsia" w:ascii="宋体" w:hAnsi="宋体" w:eastAsia="宋体"/>
                <w:sz w:val="24"/>
                <w:lang w:eastAsia="zh-CN"/>
              </w:rPr>
            </w:pPr>
            <w:r>
              <w:rPr>
                <w:rFonts w:hint="eastAsia" w:ascii="宋体" w:hAnsi="宋体" w:eastAsia="宋体"/>
                <w:sz w:val="24"/>
                <w:lang w:val="en-US" w:eastAsia="zh-CN"/>
              </w:rPr>
              <w:t>8</w:t>
            </w:r>
          </w:p>
        </w:tc>
        <w:tc>
          <w:tcPr>
            <w:tcW w:w="1806" w:type="dxa"/>
            <w:vAlign w:val="center"/>
          </w:tcPr>
          <w:p w14:paraId="310D7A99">
            <w:pPr>
              <w:spacing w:after="50" w:line="360" w:lineRule="auto"/>
              <w:ind w:right="-10"/>
              <w:jc w:val="center"/>
              <w:rPr>
                <w:rFonts w:ascii="宋体" w:hAnsi="宋体" w:eastAsia="宋体"/>
                <w:sz w:val="24"/>
                <w:szCs w:val="28"/>
              </w:rPr>
            </w:pPr>
            <w:r>
              <w:rPr>
                <w:rFonts w:hint="eastAsia" w:asciiTheme="minorEastAsia" w:hAnsiTheme="minorEastAsia" w:eastAsiaTheme="minorEastAsia"/>
                <w:sz w:val="24"/>
                <w:szCs w:val="28"/>
              </w:rPr>
              <w:t>供应商报价</w:t>
            </w:r>
          </w:p>
        </w:tc>
        <w:tc>
          <w:tcPr>
            <w:tcW w:w="2471" w:type="dxa"/>
            <w:vAlign w:val="center"/>
          </w:tcPr>
          <w:p w14:paraId="03F2BA7F">
            <w:pPr>
              <w:spacing w:after="50"/>
              <w:ind w:right="-10"/>
              <w:jc w:val="center"/>
              <w:rPr>
                <w:rFonts w:ascii="宋体" w:hAnsi="宋体" w:eastAsiaTheme="minorEastAsia"/>
                <w:sz w:val="24"/>
                <w:szCs w:val="28"/>
              </w:rPr>
            </w:pPr>
            <w:r>
              <w:rPr>
                <w:rFonts w:hint="eastAsia" w:asciiTheme="minorEastAsia" w:hAnsiTheme="minorEastAsia" w:eastAsiaTheme="minorEastAsia"/>
                <w:sz w:val="24"/>
                <w:szCs w:val="28"/>
              </w:rPr>
              <w:t>符合竞争性磋商文件</w:t>
            </w:r>
            <w:r>
              <w:rPr>
                <w:rFonts w:hint="eastAsia" w:asciiTheme="minorEastAsia" w:hAnsiTheme="minorEastAsia" w:eastAsiaTheme="minorEastAsia"/>
                <w:sz w:val="24"/>
              </w:rPr>
              <w:t>供应商须知正文第1</w:t>
            </w:r>
            <w:r>
              <w:rPr>
                <w:rFonts w:asciiTheme="minorEastAsia" w:hAnsiTheme="minorEastAsia" w:eastAsiaTheme="minorEastAsia"/>
                <w:sz w:val="24"/>
              </w:rPr>
              <w:t>2</w:t>
            </w:r>
            <w:r>
              <w:rPr>
                <w:rFonts w:hint="eastAsia" w:asciiTheme="minorEastAsia" w:hAnsiTheme="minorEastAsia" w:eastAsiaTheme="minorEastAsia"/>
                <w:sz w:val="24"/>
              </w:rPr>
              <w:t>、22条要求和第三章  采购需求中的报价要求</w:t>
            </w:r>
          </w:p>
        </w:tc>
        <w:tc>
          <w:tcPr>
            <w:tcW w:w="4238" w:type="dxa"/>
            <w:vAlign w:val="center"/>
          </w:tcPr>
          <w:p w14:paraId="7899F0B4">
            <w:pPr>
              <w:adjustRightInd w:val="0"/>
              <w:snapToGrid w:val="0"/>
              <w:spacing w:line="360" w:lineRule="auto"/>
              <w:ind w:right="-10"/>
              <w:jc w:val="left"/>
              <w:rPr>
                <w:rFonts w:ascii="宋体" w:hAnsi="宋体" w:eastAsiaTheme="minorEastAsia"/>
                <w:sz w:val="24"/>
              </w:rPr>
            </w:pPr>
            <w:r>
              <w:rPr>
                <w:rFonts w:hint="eastAsia" w:asciiTheme="minorEastAsia" w:hAnsiTheme="minorEastAsia" w:eastAsiaTheme="minorEastAsia"/>
                <w:sz w:val="24"/>
              </w:rPr>
              <w:t>详见第六章</w:t>
            </w:r>
            <w:r>
              <w:rPr>
                <w:rFonts w:hint="eastAsia" w:ascii="宋体" w:hAnsi="宋体" w:eastAsia="宋体"/>
                <w:sz w:val="24"/>
              </w:rPr>
              <w:t>响应</w:t>
            </w:r>
            <w:r>
              <w:rPr>
                <w:rFonts w:hint="eastAsia" w:asciiTheme="minorEastAsia" w:hAnsiTheme="minorEastAsia" w:eastAsiaTheme="minorEastAsia"/>
                <w:sz w:val="24"/>
              </w:rPr>
              <w:t>文件格式二</w:t>
            </w:r>
          </w:p>
        </w:tc>
      </w:tr>
      <w:tr w14:paraId="03ED2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3DFA2A0B">
            <w:pPr>
              <w:adjustRightInd w:val="0"/>
              <w:snapToGrid w:val="0"/>
              <w:spacing w:line="360" w:lineRule="auto"/>
              <w:ind w:right="-10"/>
              <w:jc w:val="center"/>
              <w:rPr>
                <w:rFonts w:hint="default" w:ascii="宋体" w:hAnsi="宋体" w:eastAsia="宋体"/>
                <w:sz w:val="24"/>
                <w:lang w:val="en-US" w:eastAsia="zh-CN"/>
              </w:rPr>
            </w:pPr>
            <w:r>
              <w:rPr>
                <w:rFonts w:hint="eastAsia" w:ascii="宋体" w:hAnsi="宋体" w:eastAsia="宋体"/>
                <w:sz w:val="24"/>
                <w:lang w:val="en-US" w:eastAsia="zh-CN"/>
              </w:rPr>
              <w:t>9</w:t>
            </w:r>
          </w:p>
        </w:tc>
        <w:tc>
          <w:tcPr>
            <w:tcW w:w="1806" w:type="dxa"/>
            <w:vAlign w:val="center"/>
          </w:tcPr>
          <w:p w14:paraId="37ABFC61">
            <w:pPr>
              <w:spacing w:after="50" w:line="360" w:lineRule="auto"/>
              <w:ind w:right="-10"/>
              <w:jc w:val="center"/>
              <w:rPr>
                <w:rFonts w:hint="default" w:asciiTheme="minorEastAsia" w:hAnsiTheme="minorEastAsia" w:eastAsiaTheme="minorEastAsia"/>
                <w:sz w:val="24"/>
                <w:szCs w:val="28"/>
                <w:lang w:val="en-US" w:eastAsia="zh-CN"/>
              </w:rPr>
            </w:pPr>
            <w:r>
              <w:rPr>
                <w:rFonts w:hint="eastAsia" w:asciiTheme="minorEastAsia" w:hAnsiTheme="minorEastAsia" w:eastAsiaTheme="minorEastAsia"/>
                <w:sz w:val="24"/>
                <w:szCs w:val="28"/>
                <w:lang w:val="en-US" w:eastAsia="zh-CN"/>
              </w:rPr>
              <w:t>其他要求</w:t>
            </w:r>
          </w:p>
        </w:tc>
        <w:tc>
          <w:tcPr>
            <w:tcW w:w="2471" w:type="dxa"/>
            <w:vAlign w:val="center"/>
          </w:tcPr>
          <w:p w14:paraId="67711A44">
            <w:pPr>
              <w:spacing w:after="50"/>
              <w:ind w:right="-10"/>
              <w:jc w:val="center"/>
              <w:rPr>
                <w:rFonts w:hint="default" w:asciiTheme="minorEastAsia" w:hAnsiTheme="minorEastAsia" w:eastAsiaTheme="minorEastAsia"/>
                <w:sz w:val="24"/>
                <w:szCs w:val="28"/>
                <w:lang w:val="en-US"/>
              </w:rPr>
            </w:pPr>
            <w:r>
              <w:rPr>
                <w:rFonts w:hint="eastAsia" w:ascii="宋体" w:hAnsi="宋体" w:eastAsia="宋体"/>
                <w:sz w:val="24"/>
                <w:szCs w:val="28"/>
                <w:lang w:val="en-US" w:eastAsia="zh-CN"/>
              </w:rPr>
              <w:t>满足磋商其他要求</w:t>
            </w:r>
          </w:p>
        </w:tc>
        <w:tc>
          <w:tcPr>
            <w:tcW w:w="4238" w:type="dxa"/>
            <w:vAlign w:val="center"/>
          </w:tcPr>
          <w:p w14:paraId="5D28E0DC">
            <w:pPr>
              <w:adjustRightInd w:val="0"/>
              <w:snapToGrid w:val="0"/>
              <w:spacing w:line="360" w:lineRule="auto"/>
              <w:ind w:right="-10"/>
              <w:jc w:val="left"/>
              <w:rPr>
                <w:rFonts w:hint="eastAsia" w:asciiTheme="minorEastAsia" w:hAnsiTheme="minorEastAsia" w:eastAsiaTheme="minorEastAsia"/>
                <w:sz w:val="24"/>
              </w:rPr>
            </w:pPr>
          </w:p>
        </w:tc>
      </w:tr>
    </w:tbl>
    <w:p w14:paraId="7939019E">
      <w:pPr>
        <w:spacing w:line="360" w:lineRule="auto"/>
        <w:ind w:firstLine="435"/>
        <w:rPr>
          <w:rFonts w:asciiTheme="minorEastAsia" w:hAnsiTheme="minorEastAsia" w:eastAsiaTheme="minorEastAsia"/>
          <w:sz w:val="24"/>
        </w:rPr>
      </w:pPr>
      <w:r>
        <w:rPr>
          <w:rFonts w:hint="eastAsia" w:asciiTheme="minorEastAsia" w:hAnsiTheme="minorEastAsia" w:eastAsiaTheme="minorEastAsia"/>
          <w:b/>
          <w:bCs/>
          <w:sz w:val="24"/>
        </w:rPr>
        <w:t>初审指标通过标准：</w:t>
      </w:r>
      <w:r>
        <w:rPr>
          <w:rFonts w:hint="eastAsia" w:asciiTheme="minorEastAsia" w:hAnsiTheme="minorEastAsia" w:eastAsiaTheme="minorEastAsia"/>
          <w:sz w:val="24"/>
        </w:rPr>
        <w:t>供应商必须通过初审表中的全部评审指标。</w:t>
      </w:r>
    </w:p>
    <w:p w14:paraId="57BBD2FE">
      <w:pPr>
        <w:rPr>
          <w:rFonts w:hint="eastAsia" w:asciiTheme="minorEastAsia" w:hAnsiTheme="minorEastAsia" w:eastAsiaTheme="minorEastAsia"/>
          <w:b/>
          <w:sz w:val="24"/>
        </w:rPr>
      </w:pPr>
      <w:r>
        <w:rPr>
          <w:rFonts w:hint="eastAsia" w:asciiTheme="minorEastAsia" w:hAnsiTheme="minorEastAsia" w:eastAsiaTheme="minorEastAsia"/>
          <w:b/>
          <w:sz w:val="24"/>
        </w:rPr>
        <w:br w:type="page"/>
      </w:r>
    </w:p>
    <w:p w14:paraId="71B1DC48">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b/>
          <w:sz w:val="24"/>
        </w:rPr>
        <w:t>2.2综合评分</w:t>
      </w:r>
    </w:p>
    <w:p w14:paraId="35DCB2A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竞争性磋商小组按照下表对</w:t>
      </w:r>
      <w:r>
        <w:rPr>
          <w:rFonts w:hint="eastAsia" w:ascii="宋体" w:hAnsi="宋体" w:eastAsia="宋体"/>
          <w:sz w:val="24"/>
        </w:rPr>
        <w:t>进入综合评分的所有供应商的</w:t>
      </w:r>
      <w:r>
        <w:rPr>
          <w:rFonts w:hint="eastAsia" w:asciiTheme="minorEastAsia" w:hAnsiTheme="minorEastAsia" w:eastAsiaTheme="minorEastAsia"/>
          <w:sz w:val="24"/>
        </w:rPr>
        <w:t>响应文件进行综合评分。</w:t>
      </w:r>
    </w:p>
    <w:p w14:paraId="7B3BF1D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.2</w:t>
      </w:r>
      <w:r>
        <w:rPr>
          <w:rFonts w:hint="eastAsia" w:asciiTheme="minorEastAsia" w:hAnsiTheme="minorEastAsia" w:eastAsiaTheme="minorEastAsia"/>
          <w:sz w:val="24"/>
        </w:rPr>
        <w:t>本项目综合评分满分为1</w:t>
      </w:r>
      <w:r>
        <w:rPr>
          <w:rFonts w:asciiTheme="minorEastAsia" w:hAnsiTheme="minorEastAsia" w:eastAsiaTheme="minorEastAsia"/>
          <w:sz w:val="24"/>
        </w:rPr>
        <w:t>00</w:t>
      </w:r>
      <w:r>
        <w:rPr>
          <w:rFonts w:hint="eastAsia" w:asciiTheme="minorEastAsia" w:hAnsiTheme="minorEastAsia" w:eastAsiaTheme="minorEastAsia"/>
          <w:sz w:val="24"/>
        </w:rPr>
        <w:t>分，</w:t>
      </w:r>
      <w:r>
        <w:rPr>
          <w:rFonts w:asciiTheme="minorEastAsia" w:hAnsiTheme="minorEastAsia" w:eastAsiaTheme="minorEastAsia"/>
          <w:sz w:val="24"/>
        </w:rPr>
        <w:t>具体评分细则如下：</w:t>
      </w:r>
    </w:p>
    <w:tbl>
      <w:tblPr>
        <w:tblStyle w:val="26"/>
        <w:tblW w:w="9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1998"/>
        <w:gridCol w:w="4796"/>
        <w:gridCol w:w="1402"/>
      </w:tblGrid>
      <w:tr w14:paraId="48B43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715" w:type="dxa"/>
            <w:tcBorders>
              <w:top w:val="single" w:color="auto" w:sz="4" w:space="0"/>
              <w:left w:val="single" w:color="auto" w:sz="4" w:space="0"/>
              <w:bottom w:val="single" w:color="auto" w:sz="4" w:space="0"/>
              <w:right w:val="single" w:color="auto" w:sz="4" w:space="0"/>
            </w:tcBorders>
            <w:vAlign w:val="center"/>
          </w:tcPr>
          <w:p w14:paraId="2511E515">
            <w:pPr>
              <w:keepNext w:val="0"/>
              <w:keepLines w:val="0"/>
              <w:pageBreakBefore w:val="0"/>
              <w:widowControl w:val="0"/>
              <w:kinsoku/>
              <w:wordWrap/>
              <w:overflowPunct/>
              <w:topLinePunct w:val="0"/>
              <w:bidi w:val="0"/>
              <w:spacing w:line="240" w:lineRule="auto"/>
              <w:jc w:val="center"/>
              <w:textAlignment w:val="auto"/>
              <w:rPr>
                <w:rFonts w:asciiTheme="minorEastAsia" w:hAnsiTheme="minorEastAsia" w:eastAsiaTheme="minorEastAsia"/>
                <w:b/>
                <w:bCs/>
                <w:sz w:val="24"/>
              </w:rPr>
            </w:pPr>
            <w:r>
              <w:rPr>
                <w:rFonts w:hint="eastAsia" w:asciiTheme="minorEastAsia" w:hAnsiTheme="minorEastAsia" w:eastAsiaTheme="minorEastAsia"/>
                <w:b/>
                <w:bCs/>
                <w:sz w:val="24"/>
              </w:rPr>
              <w:t>类别</w:t>
            </w:r>
          </w:p>
        </w:tc>
        <w:tc>
          <w:tcPr>
            <w:tcW w:w="1998" w:type="dxa"/>
            <w:tcBorders>
              <w:top w:val="single" w:color="auto" w:sz="4" w:space="0"/>
              <w:left w:val="single" w:color="auto" w:sz="4" w:space="0"/>
              <w:bottom w:val="single" w:color="auto" w:sz="4" w:space="0"/>
              <w:right w:val="single" w:color="auto" w:sz="4" w:space="0"/>
            </w:tcBorders>
            <w:vAlign w:val="center"/>
          </w:tcPr>
          <w:p w14:paraId="0EB29552">
            <w:pPr>
              <w:keepNext w:val="0"/>
              <w:keepLines w:val="0"/>
              <w:pageBreakBefore w:val="0"/>
              <w:widowControl w:val="0"/>
              <w:kinsoku/>
              <w:wordWrap/>
              <w:overflowPunct/>
              <w:topLinePunct w:val="0"/>
              <w:bidi w:val="0"/>
              <w:spacing w:line="240" w:lineRule="auto"/>
              <w:jc w:val="center"/>
              <w:textAlignment w:val="auto"/>
              <w:rPr>
                <w:rFonts w:asciiTheme="minorEastAsia" w:hAnsiTheme="minorEastAsia" w:eastAsiaTheme="minorEastAsia"/>
                <w:b/>
                <w:bCs/>
                <w:sz w:val="24"/>
              </w:rPr>
            </w:pPr>
            <w:r>
              <w:rPr>
                <w:rFonts w:hint="eastAsia" w:asciiTheme="minorEastAsia" w:hAnsiTheme="minorEastAsia" w:eastAsiaTheme="minorEastAsia"/>
                <w:b/>
                <w:bCs/>
                <w:sz w:val="24"/>
              </w:rPr>
              <w:t>评分内容</w:t>
            </w:r>
          </w:p>
        </w:tc>
        <w:tc>
          <w:tcPr>
            <w:tcW w:w="4796" w:type="dxa"/>
            <w:tcBorders>
              <w:top w:val="single" w:color="auto" w:sz="4" w:space="0"/>
              <w:left w:val="single" w:color="auto" w:sz="4" w:space="0"/>
              <w:bottom w:val="single" w:color="auto" w:sz="4" w:space="0"/>
              <w:right w:val="single" w:color="auto" w:sz="4" w:space="0"/>
            </w:tcBorders>
            <w:vAlign w:val="center"/>
          </w:tcPr>
          <w:p w14:paraId="54710289">
            <w:pPr>
              <w:keepNext w:val="0"/>
              <w:keepLines w:val="0"/>
              <w:pageBreakBefore w:val="0"/>
              <w:widowControl w:val="0"/>
              <w:kinsoku/>
              <w:wordWrap/>
              <w:overflowPunct/>
              <w:topLinePunct w:val="0"/>
              <w:bidi w:val="0"/>
              <w:spacing w:line="240" w:lineRule="auto"/>
              <w:jc w:val="center"/>
              <w:textAlignment w:val="auto"/>
              <w:rPr>
                <w:rFonts w:asciiTheme="minorEastAsia" w:hAnsiTheme="minorEastAsia" w:eastAsiaTheme="minorEastAsia"/>
                <w:b/>
                <w:bCs/>
                <w:sz w:val="24"/>
              </w:rPr>
            </w:pPr>
            <w:r>
              <w:rPr>
                <w:rFonts w:hint="eastAsia" w:asciiTheme="minorEastAsia" w:hAnsiTheme="minorEastAsia" w:eastAsiaTheme="minorEastAsia"/>
                <w:b/>
                <w:bCs/>
                <w:sz w:val="24"/>
              </w:rPr>
              <w:t>评分标准</w:t>
            </w:r>
          </w:p>
        </w:tc>
        <w:tc>
          <w:tcPr>
            <w:tcW w:w="1402" w:type="dxa"/>
            <w:tcBorders>
              <w:top w:val="single" w:color="auto" w:sz="4" w:space="0"/>
              <w:left w:val="single" w:color="auto" w:sz="4" w:space="0"/>
              <w:bottom w:val="single" w:color="auto" w:sz="4" w:space="0"/>
              <w:right w:val="single" w:color="auto" w:sz="4" w:space="0"/>
            </w:tcBorders>
            <w:vAlign w:val="center"/>
          </w:tcPr>
          <w:p w14:paraId="07D4296E">
            <w:pPr>
              <w:keepNext w:val="0"/>
              <w:keepLines w:val="0"/>
              <w:pageBreakBefore w:val="0"/>
              <w:widowControl w:val="0"/>
              <w:kinsoku/>
              <w:wordWrap/>
              <w:overflowPunct/>
              <w:topLinePunct w:val="0"/>
              <w:bidi w:val="0"/>
              <w:spacing w:line="240" w:lineRule="auto"/>
              <w:jc w:val="center"/>
              <w:textAlignment w:val="auto"/>
              <w:rPr>
                <w:rFonts w:asciiTheme="minorEastAsia" w:hAnsiTheme="minorEastAsia" w:eastAsiaTheme="minorEastAsia"/>
                <w:b/>
                <w:bCs/>
                <w:sz w:val="24"/>
              </w:rPr>
            </w:pPr>
            <w:r>
              <w:rPr>
                <w:rFonts w:hint="eastAsia" w:asciiTheme="minorEastAsia" w:hAnsiTheme="minorEastAsia" w:eastAsiaTheme="minorEastAsia"/>
                <w:b/>
                <w:bCs/>
                <w:sz w:val="24"/>
              </w:rPr>
              <w:t>分值范围</w:t>
            </w:r>
          </w:p>
        </w:tc>
      </w:tr>
      <w:tr w14:paraId="11C1E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1715" w:type="dxa"/>
            <w:vMerge w:val="restart"/>
            <w:tcBorders>
              <w:top w:val="single" w:color="auto" w:sz="4" w:space="0"/>
              <w:left w:val="single" w:color="auto" w:sz="4" w:space="0"/>
              <w:right w:val="single" w:color="auto" w:sz="4" w:space="0"/>
            </w:tcBorders>
            <w:vAlign w:val="center"/>
          </w:tcPr>
          <w:p w14:paraId="6369ABC0">
            <w:pPr>
              <w:keepNext w:val="0"/>
              <w:keepLines w:val="0"/>
              <w:pageBreakBefore w:val="0"/>
              <w:widowControl w:val="0"/>
              <w:kinsoku/>
              <w:wordWrap/>
              <w:overflowPunct/>
              <w:topLinePunct w:val="0"/>
              <w:bidi w:val="0"/>
              <w:spacing w:line="240" w:lineRule="auto"/>
              <w:jc w:val="center"/>
              <w:textAlignment w:val="auto"/>
              <w:rPr>
                <w:rFonts w:hint="eastAsia" w:asciiTheme="minorEastAsia" w:hAnsiTheme="minorEastAsia" w:eastAsiaTheme="minorEastAsia"/>
                <w:b/>
                <w:bCs/>
                <w:sz w:val="24"/>
              </w:rPr>
            </w:pPr>
            <w:r>
              <w:rPr>
                <w:rFonts w:hint="eastAsia" w:asciiTheme="minorEastAsia" w:hAnsiTheme="minorEastAsia" w:eastAsiaTheme="minorEastAsia"/>
                <w:b/>
                <w:bCs/>
                <w:sz w:val="24"/>
              </w:rPr>
              <w:t>技术资信分</w:t>
            </w:r>
          </w:p>
          <w:p w14:paraId="78A8E029">
            <w:pPr>
              <w:keepNext w:val="0"/>
              <w:keepLines w:val="0"/>
              <w:pageBreakBefore w:val="0"/>
              <w:widowControl w:val="0"/>
              <w:kinsoku/>
              <w:wordWrap/>
              <w:overflowPunct/>
              <w:topLinePunct w:val="0"/>
              <w:bidi w:val="0"/>
              <w:spacing w:line="240" w:lineRule="auto"/>
              <w:jc w:val="center"/>
              <w:textAlignment w:val="auto"/>
              <w:rPr>
                <w:rFonts w:asciiTheme="minorEastAsia" w:hAnsiTheme="minorEastAsia" w:eastAsiaTheme="minorEastAsia"/>
                <w:b/>
                <w:bCs/>
                <w:sz w:val="24"/>
              </w:rPr>
            </w:pPr>
            <w:r>
              <w:rPr>
                <w:rFonts w:hint="eastAsia" w:asciiTheme="minorEastAsia" w:hAnsiTheme="minorEastAsia" w:eastAsiaTheme="minorEastAsia"/>
                <w:b/>
                <w:bCs/>
                <w:sz w:val="24"/>
              </w:rPr>
              <w:t>（</w:t>
            </w:r>
            <w:r>
              <w:rPr>
                <w:rFonts w:hint="eastAsia" w:asciiTheme="minorEastAsia" w:hAnsiTheme="minorEastAsia" w:eastAsiaTheme="minorEastAsia"/>
                <w:b/>
                <w:bCs/>
                <w:sz w:val="24"/>
                <w:lang w:val="en-US" w:eastAsia="zh-CN"/>
              </w:rPr>
              <w:t>9</w:t>
            </w:r>
            <w:r>
              <w:rPr>
                <w:rFonts w:hint="eastAsia" w:asciiTheme="minorEastAsia" w:hAnsiTheme="minorEastAsia" w:eastAsiaTheme="minorEastAsia"/>
                <w:b/>
                <w:bCs/>
                <w:sz w:val="24"/>
              </w:rPr>
              <w:t>0分）</w:t>
            </w:r>
          </w:p>
        </w:tc>
        <w:tc>
          <w:tcPr>
            <w:tcW w:w="1998" w:type="dxa"/>
            <w:tcBorders>
              <w:top w:val="single" w:color="auto" w:sz="4" w:space="0"/>
              <w:left w:val="single" w:color="auto" w:sz="4" w:space="0"/>
              <w:bottom w:val="single" w:color="auto" w:sz="4" w:space="0"/>
              <w:right w:val="single" w:color="auto" w:sz="4" w:space="0"/>
            </w:tcBorders>
            <w:vAlign w:val="center"/>
          </w:tcPr>
          <w:p w14:paraId="0053DF6F">
            <w:pPr>
              <w:keepNext w:val="0"/>
              <w:keepLines w:val="0"/>
              <w:pageBreakBefore w:val="0"/>
              <w:widowControl w:val="0"/>
              <w:kinsoku/>
              <w:wordWrap/>
              <w:overflowPunct/>
              <w:topLinePunct w:val="0"/>
              <w:bidi w:val="0"/>
              <w:spacing w:after="50" w:line="240" w:lineRule="auto"/>
              <w:ind w:right="-10"/>
              <w:jc w:val="center"/>
              <w:textAlignment w:val="auto"/>
              <w:rPr>
                <w:rFonts w:asciiTheme="minorEastAsia" w:hAnsiTheme="minorEastAsia" w:eastAsiaTheme="minorEastAsia"/>
                <w:sz w:val="24"/>
                <w:szCs w:val="28"/>
              </w:rPr>
            </w:pPr>
            <w:r>
              <w:rPr>
                <w:rFonts w:hint="eastAsia" w:asciiTheme="minorEastAsia" w:hAnsiTheme="minorEastAsia" w:eastAsiaTheme="minorEastAsia"/>
                <w:sz w:val="24"/>
                <w:szCs w:val="28"/>
                <w:lang w:val="en-US" w:eastAsia="zh-CN"/>
              </w:rPr>
              <w:t>企业</w:t>
            </w:r>
            <w:r>
              <w:rPr>
                <w:rFonts w:hint="eastAsia" w:asciiTheme="minorEastAsia" w:hAnsiTheme="minorEastAsia" w:eastAsiaTheme="minorEastAsia"/>
                <w:sz w:val="24"/>
                <w:szCs w:val="28"/>
              </w:rPr>
              <w:t>业绩</w:t>
            </w:r>
          </w:p>
        </w:tc>
        <w:tc>
          <w:tcPr>
            <w:tcW w:w="4796" w:type="dxa"/>
            <w:tcBorders>
              <w:top w:val="single" w:color="auto" w:sz="4" w:space="0"/>
              <w:left w:val="single" w:color="auto" w:sz="4" w:space="0"/>
              <w:bottom w:val="single" w:color="auto" w:sz="4" w:space="0"/>
              <w:right w:val="single" w:color="auto" w:sz="4" w:space="0"/>
            </w:tcBorders>
            <w:vAlign w:val="center"/>
          </w:tcPr>
          <w:p w14:paraId="4E74A249">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sz w:val="22"/>
                <w:szCs w:val="24"/>
                <w:highlight w:val="none"/>
              </w:rPr>
            </w:pPr>
            <w:r>
              <w:rPr>
                <w:rFonts w:hint="eastAsia" w:asciiTheme="minorEastAsia" w:hAnsiTheme="minorEastAsia" w:eastAsiaTheme="minorEastAsia"/>
                <w:sz w:val="22"/>
                <w:szCs w:val="24"/>
                <w:highlight w:val="none"/>
                <w:lang w:val="en-US" w:eastAsia="zh-CN"/>
              </w:rPr>
              <w:t>自</w:t>
            </w:r>
            <w:r>
              <w:rPr>
                <w:rFonts w:hint="eastAsia" w:asciiTheme="minorEastAsia" w:hAnsiTheme="minorEastAsia" w:eastAsiaTheme="minorEastAsia"/>
                <w:sz w:val="22"/>
                <w:szCs w:val="24"/>
                <w:highlight w:val="none"/>
              </w:rPr>
              <w:t>2020年1月1日以来（以合同签订时间为准），供应商须具</w:t>
            </w:r>
            <w:r>
              <w:rPr>
                <w:rFonts w:hint="eastAsia" w:asciiTheme="minorEastAsia" w:hAnsiTheme="minorEastAsia" w:eastAsiaTheme="minorEastAsia"/>
                <w:sz w:val="22"/>
                <w:szCs w:val="24"/>
                <w:highlight w:val="none"/>
                <w:lang w:val="en-US" w:eastAsia="zh-CN"/>
              </w:rPr>
              <w:t>有</w:t>
            </w:r>
            <w:r>
              <w:rPr>
                <w:rFonts w:hint="eastAsia" w:asciiTheme="minorEastAsia" w:hAnsiTheme="minorEastAsia" w:eastAsiaTheme="minorEastAsia"/>
                <w:sz w:val="22"/>
                <w:szCs w:val="24"/>
                <w:highlight w:val="none"/>
              </w:rPr>
              <w:t>单个合同检测费用金额不少于5万元房屋建筑工程第三方检测业绩（施工单位自检项目除外）</w:t>
            </w:r>
            <w:r>
              <w:rPr>
                <w:rFonts w:hint="eastAsia" w:asciiTheme="minorEastAsia" w:hAnsiTheme="minorEastAsia" w:eastAsiaTheme="minorEastAsia"/>
                <w:sz w:val="22"/>
                <w:szCs w:val="24"/>
                <w:highlight w:val="none"/>
                <w:lang w:eastAsia="zh-CN"/>
              </w:rPr>
              <w:t>，</w:t>
            </w:r>
            <w:r>
              <w:rPr>
                <w:rFonts w:hint="eastAsia" w:asciiTheme="minorEastAsia" w:hAnsiTheme="minorEastAsia" w:eastAsiaTheme="minorEastAsia"/>
                <w:sz w:val="22"/>
                <w:szCs w:val="24"/>
                <w:highlight w:val="none"/>
              </w:rPr>
              <w:t>每提供1个得</w:t>
            </w:r>
            <w:r>
              <w:rPr>
                <w:rFonts w:hint="eastAsia" w:asciiTheme="minorEastAsia" w:hAnsiTheme="minorEastAsia" w:eastAsiaTheme="minorEastAsia"/>
                <w:sz w:val="22"/>
                <w:szCs w:val="24"/>
                <w:highlight w:val="none"/>
                <w:lang w:val="en-US" w:eastAsia="zh-CN"/>
              </w:rPr>
              <w:t>10</w:t>
            </w:r>
            <w:r>
              <w:rPr>
                <w:rFonts w:hint="eastAsia" w:asciiTheme="minorEastAsia" w:hAnsiTheme="minorEastAsia" w:eastAsiaTheme="minorEastAsia"/>
                <w:sz w:val="22"/>
                <w:szCs w:val="24"/>
                <w:highlight w:val="none"/>
              </w:rPr>
              <w:t>分，满分</w:t>
            </w:r>
            <w:r>
              <w:rPr>
                <w:rFonts w:hint="eastAsia" w:asciiTheme="minorEastAsia" w:hAnsiTheme="minorEastAsia" w:eastAsiaTheme="minorEastAsia"/>
                <w:sz w:val="22"/>
                <w:szCs w:val="24"/>
                <w:highlight w:val="none"/>
                <w:lang w:val="en-US" w:eastAsia="zh-CN"/>
              </w:rPr>
              <w:t>2</w:t>
            </w:r>
            <w:r>
              <w:rPr>
                <w:rFonts w:hint="eastAsia" w:asciiTheme="minorEastAsia" w:hAnsiTheme="minorEastAsia" w:eastAsiaTheme="minorEastAsia"/>
                <w:sz w:val="22"/>
                <w:szCs w:val="24"/>
                <w:highlight w:val="none"/>
              </w:rPr>
              <w:t>0分</w:t>
            </w:r>
            <w:r>
              <w:rPr>
                <w:rFonts w:hint="eastAsia" w:asciiTheme="minorEastAsia" w:hAnsiTheme="minorEastAsia" w:eastAsiaTheme="minorEastAsia"/>
                <w:sz w:val="22"/>
                <w:szCs w:val="24"/>
                <w:highlight w:val="none"/>
                <w:lang w:eastAsia="zh-CN"/>
              </w:rPr>
              <w:t>。</w:t>
            </w:r>
          </w:p>
          <w:p w14:paraId="0D4119D3">
            <w:pPr>
              <w:keepNext w:val="0"/>
              <w:keepLines w:val="0"/>
              <w:pageBreakBefore w:val="0"/>
              <w:widowControl w:val="0"/>
              <w:tabs>
                <w:tab w:val="left" w:pos="8222"/>
              </w:tabs>
              <w:kinsoku/>
              <w:wordWrap/>
              <w:overflowPunct/>
              <w:topLinePunct w:val="0"/>
              <w:autoSpaceDE/>
              <w:autoSpaceDN/>
              <w:bidi w:val="0"/>
              <w:adjustRightInd w:val="0"/>
              <w:snapToGrid w:val="0"/>
              <w:spacing w:line="240" w:lineRule="auto"/>
              <w:ind w:left="0" w:right="0"/>
              <w:textAlignment w:val="auto"/>
              <w:rPr>
                <w:rFonts w:hint="eastAsia" w:asciiTheme="minorEastAsia" w:hAnsiTheme="minorEastAsia" w:eastAsiaTheme="minorEastAsia"/>
                <w:sz w:val="22"/>
                <w:szCs w:val="24"/>
                <w:highlight w:val="none"/>
              </w:rPr>
            </w:pPr>
            <w:r>
              <w:rPr>
                <w:rFonts w:hint="eastAsia" w:asciiTheme="minorEastAsia" w:hAnsiTheme="minorEastAsia" w:eastAsiaTheme="minorEastAsia"/>
                <w:b/>
                <w:bCs/>
                <w:sz w:val="22"/>
                <w:szCs w:val="24"/>
                <w:highlight w:val="none"/>
                <w:lang w:val="en-US" w:eastAsia="zh-CN"/>
              </w:rPr>
              <w:t>注：业绩为已完成的业绩。响应文件中须同时提供：①业绩合同扫描件；②委托方盖章的项目主要成果文件（可以为过程成果文件），成果文件需提供封面、署名页、目录页、主要成果内容页；或委托方出具的已履约（或部分履约）完成证明材料；如上述材料中无法体现签订时间、项目内容等关键评审因素，须另附业主单位（合同甲方）加盖公章的证明材料扫描件。</w:t>
            </w:r>
          </w:p>
        </w:tc>
        <w:tc>
          <w:tcPr>
            <w:tcW w:w="1402" w:type="dxa"/>
            <w:tcBorders>
              <w:top w:val="single" w:color="auto" w:sz="4" w:space="0"/>
              <w:left w:val="single" w:color="auto" w:sz="4" w:space="0"/>
              <w:bottom w:val="single" w:color="auto" w:sz="4" w:space="0"/>
              <w:right w:val="single" w:color="auto" w:sz="4" w:space="0"/>
            </w:tcBorders>
            <w:vAlign w:val="center"/>
          </w:tcPr>
          <w:p w14:paraId="37FC1FC5">
            <w:pPr>
              <w:keepNext w:val="0"/>
              <w:keepLines w:val="0"/>
              <w:pageBreakBefore w:val="0"/>
              <w:widowControl w:val="0"/>
              <w:kinsoku/>
              <w:wordWrap/>
              <w:overflowPunct/>
              <w:topLinePunct w:val="0"/>
              <w:bidi w:val="0"/>
              <w:spacing w:line="240" w:lineRule="auto"/>
              <w:jc w:val="center"/>
              <w:textAlignment w:val="auto"/>
              <w:rPr>
                <w:rFonts w:hint="default" w:asciiTheme="minorEastAsia" w:hAnsiTheme="minorEastAsia" w:eastAsiaTheme="minorEastAsia"/>
                <w:b/>
                <w:bCs/>
                <w:sz w:val="24"/>
                <w:lang w:val="en-US" w:eastAsia="zh-CN"/>
              </w:rPr>
            </w:pPr>
            <w:r>
              <w:rPr>
                <w:rFonts w:hint="eastAsia" w:asciiTheme="minorEastAsia" w:hAnsiTheme="minorEastAsia" w:eastAsiaTheme="minorEastAsia"/>
                <w:b/>
                <w:bCs/>
                <w:sz w:val="24"/>
              </w:rPr>
              <w:t>0-</w:t>
            </w:r>
            <w:r>
              <w:rPr>
                <w:rFonts w:hint="eastAsia" w:asciiTheme="minorEastAsia" w:hAnsiTheme="minorEastAsia" w:eastAsiaTheme="minorEastAsia"/>
                <w:b/>
                <w:bCs/>
                <w:sz w:val="24"/>
                <w:lang w:val="en-US" w:eastAsia="zh-CN"/>
              </w:rPr>
              <w:t>20</w:t>
            </w:r>
          </w:p>
        </w:tc>
      </w:tr>
      <w:tr w14:paraId="2DD8F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1" w:hRule="atLeast"/>
          <w:jc w:val="center"/>
        </w:trPr>
        <w:tc>
          <w:tcPr>
            <w:tcW w:w="1715" w:type="dxa"/>
            <w:vMerge w:val="continue"/>
            <w:tcBorders>
              <w:left w:val="single" w:color="auto" w:sz="4" w:space="0"/>
              <w:right w:val="single" w:color="auto" w:sz="4" w:space="0"/>
            </w:tcBorders>
            <w:vAlign w:val="center"/>
          </w:tcPr>
          <w:p w14:paraId="1A6F828C">
            <w:pPr>
              <w:keepNext w:val="0"/>
              <w:keepLines w:val="0"/>
              <w:pageBreakBefore w:val="0"/>
              <w:widowControl w:val="0"/>
              <w:kinsoku/>
              <w:wordWrap/>
              <w:overflowPunct/>
              <w:topLinePunct w:val="0"/>
              <w:bidi w:val="0"/>
              <w:spacing w:line="240" w:lineRule="auto"/>
              <w:ind w:firstLine="435"/>
              <w:jc w:val="center"/>
              <w:textAlignment w:val="auto"/>
              <w:rPr>
                <w:rFonts w:asciiTheme="minorEastAsia" w:hAnsiTheme="minorEastAsia" w:eastAsiaTheme="minorEastAsia"/>
                <w:b/>
                <w:bCs/>
                <w:sz w:val="24"/>
              </w:rPr>
            </w:pPr>
          </w:p>
        </w:tc>
        <w:tc>
          <w:tcPr>
            <w:tcW w:w="1998" w:type="dxa"/>
            <w:vMerge w:val="restart"/>
            <w:tcBorders>
              <w:top w:val="single" w:color="auto" w:sz="4" w:space="0"/>
              <w:left w:val="single" w:color="auto" w:sz="4" w:space="0"/>
              <w:right w:val="single" w:color="auto" w:sz="4" w:space="0"/>
            </w:tcBorders>
            <w:vAlign w:val="center"/>
          </w:tcPr>
          <w:p w14:paraId="1BF9B7C7">
            <w:pPr>
              <w:keepNext w:val="0"/>
              <w:keepLines w:val="0"/>
              <w:pageBreakBefore w:val="0"/>
              <w:widowControl w:val="0"/>
              <w:kinsoku/>
              <w:wordWrap/>
              <w:overflowPunct/>
              <w:topLinePunct w:val="0"/>
              <w:bidi w:val="0"/>
              <w:spacing w:after="50" w:line="240" w:lineRule="auto"/>
              <w:ind w:right="-10"/>
              <w:jc w:val="center"/>
              <w:textAlignment w:val="auto"/>
              <w:rPr>
                <w:rFonts w:hint="eastAsia" w:asciiTheme="minorEastAsia" w:hAnsiTheme="minorEastAsia" w:eastAsiaTheme="minorEastAsia"/>
                <w:sz w:val="24"/>
                <w:szCs w:val="28"/>
              </w:rPr>
            </w:pPr>
            <w:r>
              <w:rPr>
                <w:rFonts w:hint="eastAsia" w:asciiTheme="minorEastAsia" w:hAnsiTheme="minorEastAsia" w:eastAsiaTheme="minorEastAsia"/>
                <w:sz w:val="24"/>
                <w:szCs w:val="28"/>
                <w:lang w:val="en-US" w:eastAsia="zh-CN"/>
              </w:rPr>
              <w:t>项目负责人</w:t>
            </w:r>
            <w:r>
              <w:rPr>
                <w:rFonts w:hint="eastAsia" w:asciiTheme="minorEastAsia" w:hAnsiTheme="minorEastAsia" w:eastAsiaTheme="minorEastAsia"/>
                <w:sz w:val="24"/>
                <w:szCs w:val="28"/>
              </w:rPr>
              <w:t>业</w:t>
            </w:r>
          </w:p>
          <w:p w14:paraId="43792943">
            <w:pPr>
              <w:keepNext w:val="0"/>
              <w:keepLines w:val="0"/>
              <w:pageBreakBefore w:val="0"/>
              <w:widowControl w:val="0"/>
              <w:kinsoku/>
              <w:wordWrap/>
              <w:overflowPunct/>
              <w:topLinePunct w:val="0"/>
              <w:bidi w:val="0"/>
              <w:spacing w:after="50" w:line="240" w:lineRule="auto"/>
              <w:ind w:right="-10"/>
              <w:jc w:val="center"/>
              <w:textAlignment w:val="auto"/>
              <w:rPr>
                <w:rFonts w:hint="default" w:asciiTheme="minorEastAsia" w:hAnsiTheme="minorEastAsia" w:eastAsiaTheme="minorEastAsia"/>
                <w:sz w:val="24"/>
                <w:szCs w:val="28"/>
                <w:lang w:val="en-US" w:eastAsia="zh-CN"/>
              </w:rPr>
            </w:pPr>
            <w:r>
              <w:rPr>
                <w:rFonts w:hint="eastAsia" w:asciiTheme="minorEastAsia" w:hAnsiTheme="minorEastAsia" w:eastAsiaTheme="minorEastAsia"/>
                <w:sz w:val="24"/>
                <w:szCs w:val="28"/>
              </w:rPr>
              <w:t>绩</w:t>
            </w:r>
            <w:r>
              <w:rPr>
                <w:rFonts w:hint="eastAsia" w:asciiTheme="minorEastAsia" w:hAnsiTheme="minorEastAsia" w:eastAsiaTheme="minorEastAsia"/>
                <w:sz w:val="24"/>
                <w:szCs w:val="28"/>
                <w:lang w:val="en-US" w:eastAsia="zh-CN"/>
              </w:rPr>
              <w:t>及职称</w:t>
            </w:r>
          </w:p>
        </w:tc>
        <w:tc>
          <w:tcPr>
            <w:tcW w:w="4796" w:type="dxa"/>
            <w:tcBorders>
              <w:top w:val="single" w:color="auto" w:sz="4" w:space="0"/>
              <w:left w:val="single" w:color="auto" w:sz="4" w:space="0"/>
              <w:bottom w:val="single" w:color="auto" w:sz="4" w:space="0"/>
              <w:right w:val="single" w:color="auto" w:sz="4" w:space="0"/>
            </w:tcBorders>
            <w:vAlign w:val="center"/>
          </w:tcPr>
          <w:p w14:paraId="10914E0A">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sz w:val="22"/>
                <w:szCs w:val="24"/>
                <w:highlight w:val="none"/>
                <w:lang w:val="en-US" w:eastAsia="zh-CN"/>
              </w:rPr>
            </w:pPr>
            <w:r>
              <w:rPr>
                <w:rFonts w:hint="eastAsia" w:asciiTheme="minorEastAsia" w:hAnsiTheme="minorEastAsia" w:eastAsiaTheme="minorEastAsia"/>
                <w:sz w:val="22"/>
                <w:szCs w:val="24"/>
                <w:highlight w:val="none"/>
                <w:lang w:val="en-US" w:eastAsia="zh-CN"/>
              </w:rPr>
              <w:t>1.自2020年1月1日以来（以合同签订时间为准），项目负责人每具有</w:t>
            </w:r>
            <w:r>
              <w:rPr>
                <w:rFonts w:hint="eastAsia" w:asciiTheme="minorEastAsia" w:hAnsiTheme="minorEastAsia" w:eastAsiaTheme="minorEastAsia"/>
                <w:sz w:val="22"/>
                <w:szCs w:val="24"/>
                <w:highlight w:val="none"/>
              </w:rPr>
              <w:t>单个合同检测费用金额不少于5万元房屋建筑工程第三方检测业绩（施工单位自检项目除外）</w:t>
            </w:r>
            <w:r>
              <w:rPr>
                <w:rFonts w:hint="eastAsia" w:asciiTheme="minorEastAsia" w:hAnsiTheme="minorEastAsia" w:eastAsiaTheme="minorEastAsia"/>
                <w:sz w:val="22"/>
                <w:szCs w:val="24"/>
                <w:highlight w:val="none"/>
                <w:lang w:val="en-US" w:eastAsia="zh-CN"/>
              </w:rPr>
              <w:t>，且须在该项目中担任项目负责人的。每提供1个得5分，满分10分。</w:t>
            </w:r>
          </w:p>
          <w:p w14:paraId="4644BC06">
            <w:pPr>
              <w:pStyle w:val="8"/>
              <w:keepNext w:val="0"/>
              <w:keepLines w:val="0"/>
              <w:pageBreakBefore w:val="0"/>
              <w:widowControl w:val="0"/>
              <w:kinsoku/>
              <w:wordWrap/>
              <w:overflowPunct/>
              <w:topLinePunct w:val="0"/>
              <w:bidi w:val="0"/>
              <w:spacing w:line="240" w:lineRule="auto"/>
              <w:textAlignment w:val="auto"/>
              <w:rPr>
                <w:rFonts w:hint="eastAsia" w:asciiTheme="minorEastAsia" w:hAnsiTheme="minorEastAsia" w:eastAsiaTheme="minorEastAsia"/>
                <w:b/>
                <w:bCs/>
                <w:sz w:val="22"/>
                <w:szCs w:val="24"/>
                <w:highlight w:val="none"/>
                <w:lang w:val="en-US" w:eastAsia="zh-CN"/>
              </w:rPr>
            </w:pPr>
            <w:r>
              <w:rPr>
                <w:rFonts w:hint="eastAsia" w:asciiTheme="minorEastAsia" w:hAnsiTheme="minorEastAsia" w:eastAsiaTheme="minorEastAsia"/>
                <w:b/>
                <w:bCs/>
                <w:sz w:val="22"/>
                <w:szCs w:val="24"/>
                <w:highlight w:val="none"/>
                <w:lang w:val="en-US" w:eastAsia="zh-CN"/>
              </w:rPr>
              <w:t>注：（1）业绩为已完成的业绩。响应文件中须同时提供：①业绩合同扫描件；②委托方盖章的项目主要成果文件（可以为过程成果文件），成果文件需提供封面、署名页、目录页、主要成果内容页；或委托方出具的已履约（或部分履约）完成证明材料；如上述材料中无法体现签订时间、人员姓名、项目内容等关键评审因素，须另附业主单位（合同甲方）加盖公章的证明材料扫描件。</w:t>
            </w:r>
          </w:p>
          <w:p w14:paraId="39B63545">
            <w:pPr>
              <w:pStyle w:val="8"/>
              <w:keepNext w:val="0"/>
              <w:keepLines w:val="0"/>
              <w:pageBreakBefore w:val="0"/>
              <w:widowControl w:val="0"/>
              <w:kinsoku/>
              <w:wordWrap/>
              <w:overflowPunct/>
              <w:topLinePunct w:val="0"/>
              <w:bidi w:val="0"/>
              <w:spacing w:line="240" w:lineRule="auto"/>
              <w:textAlignment w:val="auto"/>
              <w:rPr>
                <w:rFonts w:asciiTheme="minorEastAsia" w:hAnsiTheme="minorEastAsia" w:eastAsiaTheme="minorEastAsia"/>
                <w:sz w:val="22"/>
                <w:szCs w:val="24"/>
                <w:highlight w:val="none"/>
              </w:rPr>
            </w:pPr>
            <w:r>
              <w:rPr>
                <w:rFonts w:hint="eastAsia" w:cs="@仿宋_GB2312" w:asciiTheme="minorEastAsia" w:hAnsiTheme="minorEastAsia" w:eastAsiaTheme="minorEastAsia"/>
                <w:b/>
                <w:bCs/>
                <w:kern w:val="2"/>
                <w:sz w:val="22"/>
                <w:szCs w:val="24"/>
                <w:highlight w:val="none"/>
                <w:lang w:val="en-US" w:eastAsia="zh-CN" w:bidi="ar-SA"/>
              </w:rPr>
              <w:t>（2）供应商业绩与项目负责人业绩可以重复计分。</w:t>
            </w:r>
          </w:p>
        </w:tc>
        <w:tc>
          <w:tcPr>
            <w:tcW w:w="1402" w:type="dxa"/>
            <w:vMerge w:val="restart"/>
            <w:tcBorders>
              <w:top w:val="single" w:color="auto" w:sz="4" w:space="0"/>
              <w:left w:val="single" w:color="auto" w:sz="4" w:space="0"/>
              <w:right w:val="single" w:color="auto" w:sz="4" w:space="0"/>
            </w:tcBorders>
            <w:vAlign w:val="center"/>
          </w:tcPr>
          <w:p w14:paraId="3071BBA1">
            <w:pPr>
              <w:keepNext w:val="0"/>
              <w:keepLines w:val="0"/>
              <w:pageBreakBefore w:val="0"/>
              <w:widowControl w:val="0"/>
              <w:kinsoku/>
              <w:wordWrap/>
              <w:overflowPunct/>
              <w:topLinePunct w:val="0"/>
              <w:bidi w:val="0"/>
              <w:spacing w:line="240" w:lineRule="auto"/>
              <w:jc w:val="center"/>
              <w:textAlignment w:val="auto"/>
              <w:rPr>
                <w:rFonts w:hint="default" w:asciiTheme="minorEastAsia" w:hAnsiTheme="minorEastAsia" w:eastAsiaTheme="minorEastAsia"/>
                <w:b/>
                <w:bCs/>
                <w:sz w:val="24"/>
                <w:lang w:val="en-US" w:eastAsia="zh-CN"/>
              </w:rPr>
            </w:pPr>
            <w:r>
              <w:rPr>
                <w:rFonts w:hint="eastAsia" w:asciiTheme="minorEastAsia" w:hAnsiTheme="minorEastAsia" w:eastAsiaTheme="minorEastAsia"/>
                <w:b/>
                <w:bCs/>
                <w:sz w:val="24"/>
              </w:rPr>
              <w:t>0-</w:t>
            </w:r>
            <w:r>
              <w:rPr>
                <w:rFonts w:hint="eastAsia" w:asciiTheme="minorEastAsia" w:hAnsiTheme="minorEastAsia" w:eastAsiaTheme="minorEastAsia"/>
                <w:b/>
                <w:bCs/>
                <w:sz w:val="24"/>
                <w:lang w:val="en-US" w:eastAsia="zh-CN"/>
              </w:rPr>
              <w:t>15</w:t>
            </w:r>
          </w:p>
        </w:tc>
      </w:tr>
      <w:tr w14:paraId="5C5F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15" w:type="dxa"/>
            <w:vMerge w:val="continue"/>
            <w:tcBorders>
              <w:left w:val="single" w:color="auto" w:sz="4" w:space="0"/>
              <w:right w:val="single" w:color="auto" w:sz="4" w:space="0"/>
            </w:tcBorders>
            <w:vAlign w:val="center"/>
          </w:tcPr>
          <w:p w14:paraId="746F09E6">
            <w:pPr>
              <w:keepNext w:val="0"/>
              <w:keepLines w:val="0"/>
              <w:pageBreakBefore w:val="0"/>
              <w:widowControl w:val="0"/>
              <w:kinsoku/>
              <w:wordWrap/>
              <w:overflowPunct/>
              <w:topLinePunct w:val="0"/>
              <w:bidi w:val="0"/>
              <w:spacing w:line="240" w:lineRule="auto"/>
              <w:ind w:firstLine="435"/>
              <w:jc w:val="center"/>
              <w:textAlignment w:val="auto"/>
              <w:rPr>
                <w:rFonts w:asciiTheme="minorEastAsia" w:hAnsiTheme="minorEastAsia" w:eastAsiaTheme="minorEastAsia"/>
                <w:b/>
                <w:bCs/>
                <w:sz w:val="24"/>
              </w:rPr>
            </w:pPr>
          </w:p>
        </w:tc>
        <w:tc>
          <w:tcPr>
            <w:tcW w:w="1998" w:type="dxa"/>
            <w:vMerge w:val="continue"/>
            <w:tcBorders>
              <w:left w:val="single" w:color="auto" w:sz="4" w:space="0"/>
              <w:bottom w:val="single" w:color="auto" w:sz="4" w:space="0"/>
              <w:right w:val="single" w:color="auto" w:sz="4" w:space="0"/>
            </w:tcBorders>
            <w:vAlign w:val="center"/>
          </w:tcPr>
          <w:p w14:paraId="01B810B9">
            <w:pPr>
              <w:keepNext w:val="0"/>
              <w:keepLines w:val="0"/>
              <w:pageBreakBefore w:val="0"/>
              <w:widowControl w:val="0"/>
              <w:kinsoku/>
              <w:wordWrap/>
              <w:overflowPunct/>
              <w:topLinePunct w:val="0"/>
              <w:bidi w:val="0"/>
              <w:spacing w:after="50" w:line="240" w:lineRule="auto"/>
              <w:ind w:right="-10"/>
              <w:jc w:val="center"/>
              <w:textAlignment w:val="auto"/>
              <w:rPr>
                <w:rFonts w:hint="eastAsia" w:asciiTheme="minorEastAsia" w:hAnsiTheme="minorEastAsia" w:eastAsiaTheme="minorEastAsia"/>
                <w:sz w:val="24"/>
                <w:szCs w:val="28"/>
              </w:rPr>
            </w:pPr>
          </w:p>
        </w:tc>
        <w:tc>
          <w:tcPr>
            <w:tcW w:w="4796" w:type="dxa"/>
            <w:tcBorders>
              <w:top w:val="single" w:color="auto" w:sz="4" w:space="0"/>
              <w:left w:val="single" w:color="auto" w:sz="4" w:space="0"/>
              <w:bottom w:val="single" w:color="auto" w:sz="4" w:space="0"/>
              <w:right w:val="single" w:color="auto" w:sz="4" w:space="0"/>
            </w:tcBorders>
            <w:vAlign w:val="center"/>
          </w:tcPr>
          <w:p w14:paraId="5578E011">
            <w:pPr>
              <w:pStyle w:val="8"/>
              <w:keepNext w:val="0"/>
              <w:keepLines w:val="0"/>
              <w:pageBreakBefore w:val="0"/>
              <w:widowControl w:val="0"/>
              <w:kinsoku/>
              <w:wordWrap/>
              <w:overflowPunct/>
              <w:topLinePunct w:val="0"/>
              <w:bidi w:val="0"/>
              <w:spacing w:line="240" w:lineRule="auto"/>
              <w:textAlignment w:val="auto"/>
              <w:rPr>
                <w:rFonts w:hint="eastAsia" w:asciiTheme="minorEastAsia" w:hAnsiTheme="minorEastAsia" w:eastAsiaTheme="minorEastAsia"/>
                <w:b w:val="0"/>
                <w:bCs w:val="0"/>
                <w:sz w:val="22"/>
                <w:szCs w:val="24"/>
                <w:highlight w:val="none"/>
                <w:lang w:val="en-US" w:eastAsia="zh-CN"/>
              </w:rPr>
            </w:pPr>
            <w:r>
              <w:rPr>
                <w:rFonts w:hint="eastAsia" w:asciiTheme="minorEastAsia" w:hAnsiTheme="minorEastAsia" w:eastAsiaTheme="minorEastAsia"/>
                <w:sz w:val="22"/>
                <w:szCs w:val="24"/>
                <w:highlight w:val="none"/>
                <w:lang w:val="en-US" w:eastAsia="zh-CN"/>
              </w:rPr>
              <w:t>2.项目负责人</w:t>
            </w:r>
            <w:r>
              <w:rPr>
                <w:rFonts w:hint="eastAsia" w:asciiTheme="minorEastAsia" w:hAnsiTheme="minorEastAsia" w:eastAsiaTheme="minorEastAsia"/>
                <w:b w:val="0"/>
                <w:bCs w:val="0"/>
                <w:sz w:val="22"/>
                <w:szCs w:val="24"/>
                <w:highlight w:val="none"/>
                <w:lang w:val="en-US" w:eastAsia="zh-CN"/>
              </w:rPr>
              <w:t>具有工程相关专业高级及以上职称的，得5分；工程相关专业中级职称的，得3分。本小项满分5分；</w:t>
            </w:r>
          </w:p>
          <w:p w14:paraId="7B8A01E8">
            <w:pPr>
              <w:keepNext w:val="0"/>
              <w:keepLines w:val="0"/>
              <w:pageBreakBefore w:val="0"/>
              <w:widowControl w:val="0"/>
              <w:numPr>
                <w:ilvl w:val="0"/>
                <w:numId w:val="0"/>
              </w:numPr>
              <w:kinsoku/>
              <w:wordWrap/>
              <w:overflowPunct/>
              <w:topLinePunct w:val="0"/>
              <w:bidi w:val="0"/>
              <w:spacing w:after="50" w:line="240" w:lineRule="auto"/>
              <w:ind w:right="-10" w:rightChars="0"/>
              <w:jc w:val="left"/>
              <w:textAlignment w:val="auto"/>
              <w:rPr>
                <w:rFonts w:hint="eastAsia" w:cs="@仿宋_GB2312" w:asciiTheme="minorEastAsia" w:hAnsiTheme="minorEastAsia" w:eastAsiaTheme="minorEastAsia"/>
                <w:b/>
                <w:bCs/>
                <w:color w:val="auto"/>
                <w:kern w:val="2"/>
                <w:sz w:val="22"/>
                <w:szCs w:val="24"/>
                <w:highlight w:val="none"/>
                <w:lang w:val="en-US" w:eastAsia="zh-CN" w:bidi="ar-SA"/>
              </w:rPr>
            </w:pPr>
            <w:r>
              <w:rPr>
                <w:rFonts w:hint="eastAsia" w:asciiTheme="minorEastAsia" w:hAnsiTheme="minorEastAsia" w:eastAsiaTheme="minorEastAsia"/>
                <w:b/>
                <w:bCs/>
                <w:sz w:val="22"/>
                <w:szCs w:val="24"/>
                <w:highlight w:val="none"/>
                <w:lang w:val="en-US" w:eastAsia="zh-CN"/>
              </w:rPr>
              <w:t>注：响应文件中提供证书扫描件。</w:t>
            </w:r>
          </w:p>
        </w:tc>
        <w:tc>
          <w:tcPr>
            <w:tcW w:w="1402" w:type="dxa"/>
            <w:vMerge w:val="continue"/>
            <w:tcBorders>
              <w:left w:val="single" w:color="auto" w:sz="4" w:space="0"/>
              <w:bottom w:val="single" w:color="auto" w:sz="4" w:space="0"/>
              <w:right w:val="single" w:color="auto" w:sz="4" w:space="0"/>
            </w:tcBorders>
            <w:vAlign w:val="center"/>
          </w:tcPr>
          <w:p w14:paraId="5E5AE3C6">
            <w:pPr>
              <w:keepNext w:val="0"/>
              <w:keepLines w:val="0"/>
              <w:pageBreakBefore w:val="0"/>
              <w:widowControl w:val="0"/>
              <w:kinsoku/>
              <w:wordWrap/>
              <w:overflowPunct/>
              <w:topLinePunct w:val="0"/>
              <w:bidi w:val="0"/>
              <w:spacing w:line="240" w:lineRule="auto"/>
              <w:jc w:val="center"/>
              <w:textAlignment w:val="auto"/>
              <w:rPr>
                <w:rFonts w:hint="eastAsia" w:asciiTheme="minorEastAsia" w:hAnsiTheme="minorEastAsia" w:eastAsiaTheme="minorEastAsia"/>
                <w:b/>
                <w:bCs/>
                <w:sz w:val="24"/>
              </w:rPr>
            </w:pPr>
          </w:p>
        </w:tc>
      </w:tr>
      <w:tr w14:paraId="589B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15" w:type="dxa"/>
            <w:vMerge w:val="continue"/>
            <w:tcBorders>
              <w:left w:val="single" w:color="auto" w:sz="4" w:space="0"/>
              <w:right w:val="single" w:color="auto" w:sz="4" w:space="0"/>
            </w:tcBorders>
            <w:vAlign w:val="center"/>
          </w:tcPr>
          <w:p w14:paraId="63D224F9">
            <w:pPr>
              <w:keepNext w:val="0"/>
              <w:keepLines w:val="0"/>
              <w:pageBreakBefore w:val="0"/>
              <w:widowControl w:val="0"/>
              <w:kinsoku/>
              <w:wordWrap/>
              <w:overflowPunct/>
              <w:topLinePunct w:val="0"/>
              <w:bidi w:val="0"/>
              <w:spacing w:line="240" w:lineRule="auto"/>
              <w:ind w:firstLine="435"/>
              <w:jc w:val="center"/>
              <w:textAlignment w:val="auto"/>
              <w:rPr>
                <w:rFonts w:asciiTheme="minorEastAsia" w:hAnsiTheme="minorEastAsia" w:eastAsiaTheme="minorEastAsia"/>
                <w:b/>
                <w:bCs/>
                <w:sz w:val="24"/>
              </w:rPr>
            </w:pPr>
          </w:p>
        </w:tc>
        <w:tc>
          <w:tcPr>
            <w:tcW w:w="1998" w:type="dxa"/>
            <w:tcBorders>
              <w:top w:val="single" w:color="auto" w:sz="4" w:space="0"/>
              <w:left w:val="single" w:color="auto" w:sz="4" w:space="0"/>
              <w:bottom w:val="single" w:color="auto" w:sz="4" w:space="0"/>
              <w:right w:val="single" w:color="auto" w:sz="4" w:space="0"/>
            </w:tcBorders>
            <w:vAlign w:val="center"/>
          </w:tcPr>
          <w:p w14:paraId="68942DEB">
            <w:pPr>
              <w:keepNext w:val="0"/>
              <w:keepLines w:val="0"/>
              <w:pageBreakBefore w:val="0"/>
              <w:widowControl w:val="0"/>
              <w:kinsoku/>
              <w:wordWrap/>
              <w:overflowPunct/>
              <w:topLinePunct w:val="0"/>
              <w:bidi w:val="0"/>
              <w:spacing w:after="50" w:line="240" w:lineRule="auto"/>
              <w:ind w:right="-10"/>
              <w:jc w:val="center"/>
              <w:textAlignment w:val="auto"/>
              <w:rPr>
                <w:rFonts w:hint="eastAsia" w:asciiTheme="minorEastAsia" w:hAnsiTheme="minorEastAsia" w:eastAsiaTheme="minorEastAsia"/>
                <w:sz w:val="24"/>
                <w:szCs w:val="28"/>
              </w:rPr>
            </w:pPr>
            <w:r>
              <w:rPr>
                <w:rFonts w:hint="eastAsia" w:asciiTheme="minorEastAsia" w:hAnsiTheme="minorEastAsia" w:eastAsiaTheme="minorEastAsia"/>
                <w:sz w:val="24"/>
                <w:szCs w:val="28"/>
              </w:rPr>
              <w:t>其他主要人员资历和业绩</w:t>
            </w:r>
          </w:p>
        </w:tc>
        <w:tc>
          <w:tcPr>
            <w:tcW w:w="4796" w:type="dxa"/>
            <w:tcBorders>
              <w:top w:val="single" w:color="auto" w:sz="4" w:space="0"/>
              <w:left w:val="single" w:color="auto" w:sz="4" w:space="0"/>
              <w:bottom w:val="single" w:color="auto" w:sz="4" w:space="0"/>
              <w:right w:val="single" w:color="auto" w:sz="4" w:space="0"/>
            </w:tcBorders>
            <w:vAlign w:val="center"/>
          </w:tcPr>
          <w:p w14:paraId="08C5AF70">
            <w:pPr>
              <w:keepNext w:val="0"/>
              <w:keepLines w:val="0"/>
              <w:pageBreakBefore w:val="0"/>
              <w:widowControl w:val="0"/>
              <w:numPr>
                <w:ilvl w:val="0"/>
                <w:numId w:val="0"/>
              </w:numPr>
              <w:kinsoku/>
              <w:wordWrap/>
              <w:overflowPunct/>
              <w:topLinePunct w:val="0"/>
              <w:bidi w:val="0"/>
              <w:spacing w:after="50" w:line="240" w:lineRule="auto"/>
              <w:ind w:right="-10" w:rightChars="0"/>
              <w:jc w:val="left"/>
              <w:textAlignment w:val="auto"/>
              <w:rPr>
                <w:rFonts w:hint="eastAsia" w:cs="@仿宋_GB2312" w:asciiTheme="minorEastAsia" w:hAnsiTheme="minorEastAsia" w:eastAsiaTheme="minorEastAsia"/>
                <w:b w:val="0"/>
                <w:color w:val="auto"/>
                <w:kern w:val="2"/>
                <w:sz w:val="22"/>
                <w:szCs w:val="24"/>
                <w:highlight w:val="none"/>
                <w:lang w:val="en-US" w:eastAsia="zh-CN" w:bidi="ar-SA"/>
              </w:rPr>
            </w:pPr>
            <w:r>
              <w:rPr>
                <w:rFonts w:hint="eastAsia" w:cs="@仿宋_GB2312" w:asciiTheme="minorEastAsia" w:hAnsiTheme="minorEastAsia" w:eastAsiaTheme="minorEastAsia"/>
                <w:b w:val="0"/>
                <w:color w:val="auto"/>
                <w:kern w:val="2"/>
                <w:sz w:val="22"/>
                <w:szCs w:val="24"/>
                <w:highlight w:val="none"/>
                <w:lang w:val="en-US" w:eastAsia="zh-CN" w:bidi="ar-SA"/>
              </w:rPr>
              <w:t>拟投入本项目的人员（除项目负责人）外，每配备一名具有检测人员岗位证书的人员得4分，本项满分16分</w:t>
            </w:r>
          </w:p>
          <w:p w14:paraId="5653401C">
            <w:pPr>
              <w:keepNext w:val="0"/>
              <w:keepLines w:val="0"/>
              <w:pageBreakBefore w:val="0"/>
              <w:widowControl w:val="0"/>
              <w:kinsoku/>
              <w:wordWrap/>
              <w:overflowPunct/>
              <w:topLinePunct w:val="0"/>
              <w:bidi w:val="0"/>
              <w:spacing w:line="240" w:lineRule="auto"/>
              <w:jc w:val="left"/>
              <w:textAlignment w:val="auto"/>
              <w:rPr>
                <w:rFonts w:hint="eastAsia" w:asciiTheme="minorEastAsia" w:hAnsiTheme="minorEastAsia" w:eastAsiaTheme="minorEastAsia"/>
                <w:sz w:val="22"/>
                <w:szCs w:val="24"/>
              </w:rPr>
            </w:pPr>
            <w:r>
              <w:rPr>
                <w:rFonts w:hint="eastAsia" w:cs="@仿宋_GB2312" w:asciiTheme="minorEastAsia" w:hAnsiTheme="minorEastAsia" w:eastAsiaTheme="minorEastAsia"/>
                <w:b/>
                <w:bCs/>
                <w:color w:val="auto"/>
                <w:kern w:val="2"/>
                <w:sz w:val="22"/>
                <w:szCs w:val="24"/>
                <w:highlight w:val="none"/>
                <w:lang w:val="en-US" w:eastAsia="zh-CN" w:bidi="ar-SA"/>
              </w:rPr>
              <w:t>注：同一人员职业资格不重复计分，以最高得分计，须提供相关证书扫描件。</w:t>
            </w:r>
          </w:p>
        </w:tc>
        <w:tc>
          <w:tcPr>
            <w:tcW w:w="1402" w:type="dxa"/>
            <w:tcBorders>
              <w:top w:val="single" w:color="auto" w:sz="4" w:space="0"/>
              <w:left w:val="single" w:color="auto" w:sz="4" w:space="0"/>
              <w:bottom w:val="single" w:color="auto" w:sz="4" w:space="0"/>
              <w:right w:val="single" w:color="auto" w:sz="4" w:space="0"/>
            </w:tcBorders>
            <w:vAlign w:val="center"/>
          </w:tcPr>
          <w:p w14:paraId="6DE1935A">
            <w:pPr>
              <w:keepNext w:val="0"/>
              <w:keepLines w:val="0"/>
              <w:pageBreakBefore w:val="0"/>
              <w:widowControl w:val="0"/>
              <w:kinsoku/>
              <w:wordWrap/>
              <w:overflowPunct/>
              <w:topLinePunct w:val="0"/>
              <w:bidi w:val="0"/>
              <w:spacing w:line="240" w:lineRule="auto"/>
              <w:jc w:val="center"/>
              <w:textAlignment w:val="auto"/>
              <w:rPr>
                <w:rFonts w:hint="eastAsia" w:asciiTheme="minorEastAsia" w:hAnsiTheme="minorEastAsia" w:eastAsiaTheme="minorEastAsia"/>
                <w:b/>
                <w:bCs/>
                <w:sz w:val="24"/>
              </w:rPr>
            </w:pPr>
            <w:r>
              <w:rPr>
                <w:rFonts w:hint="eastAsia" w:asciiTheme="minorEastAsia" w:hAnsiTheme="minorEastAsia" w:eastAsiaTheme="minorEastAsia"/>
                <w:b/>
                <w:bCs/>
                <w:sz w:val="24"/>
              </w:rPr>
              <w:t>0-</w:t>
            </w:r>
            <w:r>
              <w:rPr>
                <w:rFonts w:hint="eastAsia" w:asciiTheme="minorEastAsia" w:hAnsiTheme="minorEastAsia" w:eastAsiaTheme="minorEastAsia"/>
                <w:b/>
                <w:bCs/>
                <w:sz w:val="24"/>
                <w:lang w:val="en-US" w:eastAsia="zh-CN"/>
              </w:rPr>
              <w:t>16</w:t>
            </w:r>
          </w:p>
        </w:tc>
      </w:tr>
      <w:tr w14:paraId="78AC2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715" w:type="dxa"/>
            <w:vMerge w:val="continue"/>
            <w:tcBorders>
              <w:left w:val="single" w:color="auto" w:sz="4" w:space="0"/>
              <w:right w:val="single" w:color="auto" w:sz="4" w:space="0"/>
            </w:tcBorders>
            <w:vAlign w:val="center"/>
          </w:tcPr>
          <w:p w14:paraId="35AE4CD9">
            <w:pPr>
              <w:keepNext w:val="0"/>
              <w:keepLines w:val="0"/>
              <w:pageBreakBefore w:val="0"/>
              <w:widowControl w:val="0"/>
              <w:kinsoku/>
              <w:wordWrap/>
              <w:overflowPunct/>
              <w:topLinePunct w:val="0"/>
              <w:bidi w:val="0"/>
              <w:spacing w:line="240" w:lineRule="auto"/>
              <w:ind w:firstLine="435"/>
              <w:jc w:val="center"/>
              <w:textAlignment w:val="auto"/>
              <w:rPr>
                <w:rFonts w:asciiTheme="minorEastAsia" w:hAnsiTheme="minorEastAsia" w:eastAsiaTheme="minorEastAsia"/>
                <w:b/>
                <w:bCs/>
                <w:sz w:val="24"/>
              </w:rPr>
            </w:pPr>
          </w:p>
        </w:tc>
        <w:tc>
          <w:tcPr>
            <w:tcW w:w="1998" w:type="dxa"/>
            <w:tcBorders>
              <w:top w:val="single" w:color="auto" w:sz="4" w:space="0"/>
              <w:left w:val="single" w:color="auto" w:sz="4" w:space="0"/>
              <w:bottom w:val="single" w:color="auto" w:sz="4" w:space="0"/>
              <w:right w:val="single" w:color="auto" w:sz="4" w:space="0"/>
            </w:tcBorders>
            <w:vAlign w:val="center"/>
          </w:tcPr>
          <w:p w14:paraId="10CD0805">
            <w:pPr>
              <w:keepNext w:val="0"/>
              <w:keepLines w:val="0"/>
              <w:pageBreakBefore w:val="0"/>
              <w:widowControl w:val="0"/>
              <w:kinsoku/>
              <w:wordWrap/>
              <w:overflowPunct/>
              <w:topLinePunct w:val="0"/>
              <w:bidi w:val="0"/>
              <w:spacing w:after="50" w:line="240" w:lineRule="auto"/>
              <w:ind w:right="-10"/>
              <w:jc w:val="center"/>
              <w:textAlignment w:val="auto"/>
              <w:rPr>
                <w:rFonts w:hint="eastAsia" w:asciiTheme="minorEastAsia" w:hAnsiTheme="minorEastAsia" w:eastAsiaTheme="minorEastAsia"/>
                <w:sz w:val="24"/>
                <w:szCs w:val="28"/>
              </w:rPr>
            </w:pPr>
            <w:r>
              <w:rPr>
                <w:rFonts w:hint="eastAsia" w:ascii="宋体" w:hAnsi="宋体" w:eastAsia="宋体" w:cs="宋体"/>
                <w:sz w:val="24"/>
                <w:szCs w:val="24"/>
                <w:lang w:val="en-US" w:eastAsia="zh-CN"/>
              </w:rPr>
              <w:t>供应商认证体系资信</w:t>
            </w:r>
          </w:p>
        </w:tc>
        <w:tc>
          <w:tcPr>
            <w:tcW w:w="4796" w:type="dxa"/>
            <w:tcBorders>
              <w:top w:val="single" w:color="auto" w:sz="4" w:space="0"/>
              <w:left w:val="single" w:color="auto" w:sz="4" w:space="0"/>
              <w:bottom w:val="single" w:color="auto" w:sz="4" w:space="0"/>
              <w:right w:val="single" w:color="auto" w:sz="4" w:space="0"/>
            </w:tcBorders>
            <w:vAlign w:val="center"/>
          </w:tcPr>
          <w:p w14:paraId="6C622F47">
            <w:pPr>
              <w:keepNext w:val="0"/>
              <w:keepLines w:val="0"/>
              <w:pageBreakBefore w:val="0"/>
              <w:widowControl w:val="0"/>
              <w:kinsoku/>
              <w:wordWrap/>
              <w:overflowPunct/>
              <w:topLinePunct w:val="0"/>
              <w:bidi w:val="0"/>
              <w:spacing w:line="240" w:lineRule="auto"/>
              <w:jc w:val="left"/>
              <w:textAlignment w:val="auto"/>
              <w:rPr>
                <w:rFonts w:hint="eastAsia" w:asciiTheme="minorEastAsia" w:hAnsiTheme="minorEastAsia" w:eastAsiaTheme="minorEastAsia"/>
                <w:sz w:val="22"/>
                <w:szCs w:val="24"/>
              </w:rPr>
            </w:pPr>
            <w:r>
              <w:rPr>
                <w:rFonts w:hint="eastAsia" w:asciiTheme="minorEastAsia" w:hAnsiTheme="minorEastAsia" w:eastAsiaTheme="minorEastAsia"/>
                <w:sz w:val="22"/>
                <w:szCs w:val="24"/>
                <w:lang w:val="en-US" w:eastAsia="zh-CN"/>
              </w:rPr>
              <w:t>供应商</w:t>
            </w:r>
            <w:r>
              <w:rPr>
                <w:rFonts w:hint="eastAsia" w:asciiTheme="minorEastAsia" w:hAnsiTheme="minorEastAsia" w:eastAsiaTheme="minorEastAsia"/>
                <w:sz w:val="22"/>
                <w:szCs w:val="24"/>
              </w:rPr>
              <w:t>具有有效的质量管理体系认证证书、环境管理体系认证证书、职业健康安全管理体系认证证书，每个得</w:t>
            </w:r>
            <w:r>
              <w:rPr>
                <w:rFonts w:hint="eastAsia" w:asciiTheme="minorEastAsia" w:hAnsiTheme="minorEastAsia" w:eastAsiaTheme="minorEastAsia"/>
                <w:sz w:val="22"/>
                <w:szCs w:val="24"/>
                <w:lang w:val="en-US" w:eastAsia="zh-CN"/>
              </w:rPr>
              <w:t>3</w:t>
            </w:r>
            <w:r>
              <w:rPr>
                <w:rFonts w:hint="eastAsia" w:asciiTheme="minorEastAsia" w:hAnsiTheme="minorEastAsia" w:eastAsiaTheme="minorEastAsia"/>
                <w:sz w:val="22"/>
                <w:szCs w:val="24"/>
              </w:rPr>
              <w:t>分，满分</w:t>
            </w:r>
            <w:r>
              <w:rPr>
                <w:rFonts w:hint="eastAsia" w:asciiTheme="minorEastAsia" w:hAnsiTheme="minorEastAsia" w:eastAsiaTheme="minorEastAsia"/>
                <w:sz w:val="22"/>
                <w:szCs w:val="24"/>
                <w:lang w:val="en-US" w:eastAsia="zh-CN"/>
              </w:rPr>
              <w:t>9</w:t>
            </w:r>
            <w:r>
              <w:rPr>
                <w:rFonts w:hint="eastAsia" w:asciiTheme="minorEastAsia" w:hAnsiTheme="minorEastAsia" w:eastAsiaTheme="minorEastAsia"/>
                <w:sz w:val="22"/>
                <w:szCs w:val="24"/>
              </w:rPr>
              <w:t>分。</w:t>
            </w:r>
          </w:p>
          <w:p w14:paraId="1C3280CA">
            <w:pPr>
              <w:keepNext w:val="0"/>
              <w:keepLines w:val="0"/>
              <w:pageBreakBefore w:val="0"/>
              <w:widowControl w:val="0"/>
              <w:kinsoku/>
              <w:wordWrap/>
              <w:overflowPunct/>
              <w:topLinePunct w:val="0"/>
              <w:bidi w:val="0"/>
              <w:spacing w:line="240" w:lineRule="auto"/>
              <w:jc w:val="left"/>
              <w:textAlignment w:val="auto"/>
              <w:rPr>
                <w:rFonts w:hint="eastAsia" w:asciiTheme="minorEastAsia" w:hAnsiTheme="minorEastAsia" w:eastAsiaTheme="minorEastAsia"/>
                <w:sz w:val="22"/>
                <w:szCs w:val="24"/>
              </w:rPr>
            </w:pPr>
            <w:r>
              <w:rPr>
                <w:rFonts w:hint="eastAsia" w:asciiTheme="minorEastAsia" w:hAnsiTheme="minorEastAsia" w:eastAsiaTheme="minorEastAsia"/>
                <w:b/>
                <w:bCs/>
                <w:sz w:val="22"/>
                <w:szCs w:val="24"/>
              </w:rPr>
              <w:t>注：需提供相关证明材料扫描件。</w:t>
            </w:r>
          </w:p>
        </w:tc>
        <w:tc>
          <w:tcPr>
            <w:tcW w:w="1402" w:type="dxa"/>
            <w:tcBorders>
              <w:top w:val="single" w:color="auto" w:sz="4" w:space="0"/>
              <w:left w:val="single" w:color="auto" w:sz="4" w:space="0"/>
              <w:bottom w:val="single" w:color="auto" w:sz="4" w:space="0"/>
              <w:right w:val="single" w:color="auto" w:sz="4" w:space="0"/>
            </w:tcBorders>
            <w:vAlign w:val="center"/>
          </w:tcPr>
          <w:p w14:paraId="2EB6DEB0">
            <w:pPr>
              <w:keepNext w:val="0"/>
              <w:keepLines w:val="0"/>
              <w:pageBreakBefore w:val="0"/>
              <w:widowControl w:val="0"/>
              <w:kinsoku/>
              <w:wordWrap/>
              <w:overflowPunct/>
              <w:topLinePunct w:val="0"/>
              <w:bidi w:val="0"/>
              <w:spacing w:line="240" w:lineRule="auto"/>
              <w:jc w:val="center"/>
              <w:textAlignment w:val="auto"/>
              <w:rPr>
                <w:rFonts w:hint="default" w:asciiTheme="minorEastAsia" w:hAnsiTheme="minorEastAsia" w:eastAsiaTheme="minorEastAsia"/>
                <w:b/>
                <w:bCs/>
                <w:sz w:val="24"/>
                <w:lang w:val="en-US" w:eastAsia="zh-CN"/>
              </w:rPr>
            </w:pPr>
            <w:r>
              <w:rPr>
                <w:rFonts w:hint="eastAsia" w:asciiTheme="minorEastAsia" w:hAnsiTheme="minorEastAsia" w:eastAsiaTheme="minorEastAsia"/>
                <w:b/>
                <w:bCs/>
                <w:sz w:val="24"/>
                <w:lang w:val="en-US" w:eastAsia="zh-CN"/>
              </w:rPr>
              <w:t>0-9分</w:t>
            </w:r>
          </w:p>
        </w:tc>
      </w:tr>
      <w:tr w14:paraId="19D2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715" w:type="dxa"/>
            <w:vMerge w:val="continue"/>
            <w:tcBorders>
              <w:left w:val="single" w:color="auto" w:sz="4" w:space="0"/>
              <w:right w:val="single" w:color="auto" w:sz="4" w:space="0"/>
            </w:tcBorders>
            <w:vAlign w:val="center"/>
          </w:tcPr>
          <w:p w14:paraId="1946C43C">
            <w:pPr>
              <w:keepNext w:val="0"/>
              <w:keepLines w:val="0"/>
              <w:pageBreakBefore w:val="0"/>
              <w:widowControl w:val="0"/>
              <w:kinsoku/>
              <w:wordWrap/>
              <w:overflowPunct/>
              <w:topLinePunct w:val="0"/>
              <w:bidi w:val="0"/>
              <w:spacing w:line="240" w:lineRule="auto"/>
              <w:ind w:firstLine="435"/>
              <w:jc w:val="center"/>
              <w:textAlignment w:val="auto"/>
              <w:rPr>
                <w:rFonts w:asciiTheme="minorEastAsia" w:hAnsiTheme="minorEastAsia" w:eastAsiaTheme="minorEastAsia"/>
                <w:b/>
                <w:bCs/>
                <w:sz w:val="24"/>
              </w:rPr>
            </w:pPr>
          </w:p>
        </w:tc>
        <w:tc>
          <w:tcPr>
            <w:tcW w:w="1998" w:type="dxa"/>
            <w:tcBorders>
              <w:top w:val="single" w:color="auto" w:sz="4" w:space="0"/>
              <w:left w:val="single" w:color="auto" w:sz="4" w:space="0"/>
              <w:bottom w:val="single" w:color="auto" w:sz="4" w:space="0"/>
              <w:right w:val="single" w:color="auto" w:sz="4" w:space="0"/>
            </w:tcBorders>
            <w:vAlign w:val="center"/>
          </w:tcPr>
          <w:p w14:paraId="53F3142E">
            <w:pPr>
              <w:keepNext w:val="0"/>
              <w:keepLines w:val="0"/>
              <w:pageBreakBefore w:val="0"/>
              <w:widowControl w:val="0"/>
              <w:kinsoku/>
              <w:wordWrap/>
              <w:overflowPunct/>
              <w:topLinePunct w:val="0"/>
              <w:bidi w:val="0"/>
              <w:spacing w:after="50" w:line="240" w:lineRule="auto"/>
              <w:ind w:right="-10"/>
              <w:jc w:val="center"/>
              <w:textAlignment w:val="auto"/>
              <w:rPr>
                <w:rFonts w:asciiTheme="minorEastAsia" w:hAnsiTheme="minorEastAsia" w:eastAsiaTheme="minorEastAsia"/>
                <w:sz w:val="24"/>
                <w:szCs w:val="28"/>
              </w:rPr>
            </w:pPr>
            <w:r>
              <w:rPr>
                <w:rFonts w:hint="eastAsia" w:asciiTheme="minorEastAsia" w:hAnsiTheme="minorEastAsia" w:eastAsiaTheme="minorEastAsia"/>
                <w:sz w:val="24"/>
                <w:szCs w:val="28"/>
              </w:rPr>
              <w:t>检测总体思路</w:t>
            </w:r>
          </w:p>
        </w:tc>
        <w:tc>
          <w:tcPr>
            <w:tcW w:w="4796" w:type="dxa"/>
            <w:tcBorders>
              <w:top w:val="single" w:color="auto" w:sz="4" w:space="0"/>
              <w:left w:val="single" w:color="auto" w:sz="4" w:space="0"/>
              <w:bottom w:val="single" w:color="auto" w:sz="4" w:space="0"/>
              <w:right w:val="single" w:color="auto" w:sz="4" w:space="0"/>
            </w:tcBorders>
            <w:vAlign w:val="center"/>
          </w:tcPr>
          <w:p w14:paraId="04B5EDFD">
            <w:pPr>
              <w:keepNext w:val="0"/>
              <w:keepLines w:val="0"/>
              <w:pageBreakBefore w:val="0"/>
              <w:widowControl w:val="0"/>
              <w:kinsoku/>
              <w:wordWrap/>
              <w:overflowPunct/>
              <w:topLinePunct w:val="0"/>
              <w:bidi w:val="0"/>
              <w:spacing w:line="240" w:lineRule="auto"/>
              <w:jc w:val="left"/>
              <w:textAlignment w:val="auto"/>
              <w:rPr>
                <w:rFonts w:hint="eastAsia" w:asciiTheme="minorEastAsia" w:hAnsiTheme="minorEastAsia" w:eastAsiaTheme="minorEastAsia"/>
                <w:sz w:val="22"/>
                <w:szCs w:val="24"/>
              </w:rPr>
            </w:pPr>
            <w:r>
              <w:rPr>
                <w:rFonts w:hint="eastAsia" w:asciiTheme="minorEastAsia" w:hAnsiTheme="minorEastAsia" w:eastAsiaTheme="minorEastAsia"/>
                <w:sz w:val="22"/>
                <w:szCs w:val="24"/>
              </w:rPr>
              <w:t>磋商小组根据供应商提供的检测总体方案、检测方案内容完整性和编制水平进行</w:t>
            </w:r>
            <w:r>
              <w:rPr>
                <w:rFonts w:hint="eastAsia" w:asciiTheme="minorEastAsia" w:hAnsiTheme="minorEastAsia" w:eastAsiaTheme="minorEastAsia"/>
                <w:sz w:val="22"/>
                <w:szCs w:val="24"/>
                <w:lang w:val="en-US" w:eastAsia="zh-CN"/>
              </w:rPr>
              <w:t>综合</w:t>
            </w:r>
            <w:r>
              <w:rPr>
                <w:rFonts w:hint="eastAsia" w:asciiTheme="minorEastAsia" w:hAnsiTheme="minorEastAsia" w:eastAsiaTheme="minorEastAsia"/>
                <w:sz w:val="22"/>
                <w:szCs w:val="24"/>
              </w:rPr>
              <w:t>评分：</w:t>
            </w:r>
          </w:p>
          <w:p w14:paraId="47BBF1FF">
            <w:pPr>
              <w:keepNext w:val="0"/>
              <w:keepLines w:val="0"/>
              <w:pageBreakBefore w:val="0"/>
              <w:widowControl w:val="0"/>
              <w:kinsoku/>
              <w:wordWrap/>
              <w:overflowPunct/>
              <w:topLinePunct w:val="0"/>
              <w:bidi w:val="0"/>
              <w:spacing w:line="240" w:lineRule="auto"/>
              <w:jc w:val="left"/>
              <w:textAlignment w:val="auto"/>
              <w:rPr>
                <w:rFonts w:hint="eastAsia" w:asciiTheme="minorEastAsia" w:hAnsiTheme="minorEastAsia" w:eastAsiaTheme="minorEastAsia"/>
                <w:sz w:val="22"/>
                <w:szCs w:val="24"/>
              </w:rPr>
            </w:pPr>
            <w:r>
              <w:rPr>
                <w:rFonts w:hint="eastAsia" w:asciiTheme="minorEastAsia" w:hAnsiTheme="minorEastAsia" w:eastAsiaTheme="minorEastAsia"/>
                <w:sz w:val="22"/>
                <w:szCs w:val="24"/>
              </w:rPr>
              <w:t>（1）检测方案总体思路非常完善，对项目理解极其透彻清晰，总体方案内容极其全面的，得</w:t>
            </w:r>
            <w:r>
              <w:rPr>
                <w:rFonts w:hint="eastAsia" w:asciiTheme="minorEastAsia" w:hAnsiTheme="minorEastAsia" w:eastAsiaTheme="minorEastAsia"/>
                <w:sz w:val="22"/>
                <w:szCs w:val="24"/>
                <w:lang w:val="en-US" w:eastAsia="zh-CN"/>
              </w:rPr>
              <w:t>6</w:t>
            </w:r>
            <w:r>
              <w:rPr>
                <w:rFonts w:hint="eastAsia" w:asciiTheme="minorEastAsia" w:hAnsiTheme="minorEastAsia" w:eastAsiaTheme="minorEastAsia"/>
                <w:sz w:val="22"/>
                <w:szCs w:val="24"/>
              </w:rPr>
              <w:t>分；</w:t>
            </w:r>
          </w:p>
          <w:p w14:paraId="4984EDC4">
            <w:pPr>
              <w:keepNext w:val="0"/>
              <w:keepLines w:val="0"/>
              <w:pageBreakBefore w:val="0"/>
              <w:widowControl w:val="0"/>
              <w:kinsoku/>
              <w:wordWrap/>
              <w:overflowPunct/>
              <w:topLinePunct w:val="0"/>
              <w:bidi w:val="0"/>
              <w:spacing w:line="240" w:lineRule="auto"/>
              <w:jc w:val="left"/>
              <w:textAlignment w:val="auto"/>
              <w:rPr>
                <w:rFonts w:hint="eastAsia" w:asciiTheme="minorEastAsia" w:hAnsiTheme="minorEastAsia" w:eastAsiaTheme="minorEastAsia"/>
                <w:sz w:val="22"/>
                <w:szCs w:val="24"/>
              </w:rPr>
            </w:pPr>
            <w:r>
              <w:rPr>
                <w:rFonts w:hint="eastAsia" w:asciiTheme="minorEastAsia" w:hAnsiTheme="minorEastAsia" w:eastAsiaTheme="minorEastAsia"/>
                <w:sz w:val="22"/>
                <w:szCs w:val="24"/>
              </w:rPr>
              <w:t>（2）检测方案理解较为透彻，总体方案内容齐全，具备可行性的，得3分；</w:t>
            </w:r>
          </w:p>
          <w:p w14:paraId="22048C53">
            <w:pPr>
              <w:keepNext w:val="0"/>
              <w:keepLines w:val="0"/>
              <w:pageBreakBefore w:val="0"/>
              <w:widowControl w:val="0"/>
              <w:kinsoku/>
              <w:wordWrap/>
              <w:overflowPunct/>
              <w:topLinePunct w:val="0"/>
              <w:bidi w:val="0"/>
              <w:spacing w:line="240" w:lineRule="auto"/>
              <w:jc w:val="left"/>
              <w:textAlignment w:val="auto"/>
              <w:rPr>
                <w:rFonts w:hint="eastAsia" w:asciiTheme="minorEastAsia" w:hAnsiTheme="minorEastAsia" w:eastAsiaTheme="minorEastAsia"/>
                <w:sz w:val="22"/>
                <w:szCs w:val="24"/>
              </w:rPr>
            </w:pPr>
            <w:r>
              <w:rPr>
                <w:rFonts w:hint="eastAsia" w:asciiTheme="minorEastAsia" w:hAnsiTheme="minorEastAsia" w:eastAsiaTheme="minorEastAsia"/>
                <w:sz w:val="22"/>
                <w:szCs w:val="24"/>
              </w:rPr>
              <w:t>（3）对项目理解、方案内容、可行性，有待完善的，得1分；</w:t>
            </w:r>
          </w:p>
          <w:p w14:paraId="16E4D439">
            <w:pPr>
              <w:keepNext w:val="0"/>
              <w:keepLines w:val="0"/>
              <w:pageBreakBefore w:val="0"/>
              <w:widowControl w:val="0"/>
              <w:kinsoku/>
              <w:wordWrap/>
              <w:overflowPunct/>
              <w:topLinePunct w:val="0"/>
              <w:bidi w:val="0"/>
              <w:spacing w:line="240" w:lineRule="auto"/>
              <w:jc w:val="left"/>
              <w:textAlignment w:val="auto"/>
              <w:rPr>
                <w:rFonts w:asciiTheme="minorEastAsia" w:hAnsiTheme="minorEastAsia" w:eastAsiaTheme="minorEastAsia"/>
                <w:sz w:val="22"/>
                <w:szCs w:val="24"/>
              </w:rPr>
            </w:pPr>
            <w:r>
              <w:rPr>
                <w:rFonts w:hint="eastAsia" w:asciiTheme="minorEastAsia" w:hAnsiTheme="minorEastAsia" w:eastAsiaTheme="minorEastAsia"/>
                <w:sz w:val="22"/>
                <w:szCs w:val="24"/>
              </w:rPr>
              <w:t>（4）方案不可行或未提供的得0分。</w:t>
            </w:r>
          </w:p>
        </w:tc>
        <w:tc>
          <w:tcPr>
            <w:tcW w:w="1402" w:type="dxa"/>
            <w:tcBorders>
              <w:top w:val="single" w:color="auto" w:sz="4" w:space="0"/>
              <w:left w:val="single" w:color="auto" w:sz="4" w:space="0"/>
              <w:bottom w:val="single" w:color="auto" w:sz="4" w:space="0"/>
              <w:right w:val="single" w:color="auto" w:sz="4" w:space="0"/>
            </w:tcBorders>
            <w:vAlign w:val="center"/>
          </w:tcPr>
          <w:p w14:paraId="4F430E90">
            <w:pPr>
              <w:keepNext w:val="0"/>
              <w:keepLines w:val="0"/>
              <w:pageBreakBefore w:val="0"/>
              <w:widowControl w:val="0"/>
              <w:kinsoku/>
              <w:wordWrap/>
              <w:overflowPunct/>
              <w:topLinePunct w:val="0"/>
              <w:bidi w:val="0"/>
              <w:spacing w:line="240" w:lineRule="auto"/>
              <w:jc w:val="center"/>
              <w:textAlignment w:val="auto"/>
              <w:rPr>
                <w:rFonts w:hint="default" w:asciiTheme="minorEastAsia" w:hAnsiTheme="minorEastAsia" w:eastAsiaTheme="minorEastAsia"/>
                <w:b/>
                <w:bCs/>
                <w:sz w:val="24"/>
                <w:lang w:val="en-US" w:eastAsia="zh-CN"/>
              </w:rPr>
            </w:pPr>
            <w:r>
              <w:rPr>
                <w:rFonts w:hint="eastAsia" w:asciiTheme="minorEastAsia" w:hAnsiTheme="minorEastAsia" w:eastAsiaTheme="minorEastAsia"/>
                <w:b/>
                <w:bCs/>
                <w:sz w:val="24"/>
              </w:rPr>
              <w:t>0-</w:t>
            </w:r>
            <w:r>
              <w:rPr>
                <w:rFonts w:hint="eastAsia" w:asciiTheme="minorEastAsia" w:hAnsiTheme="minorEastAsia" w:eastAsiaTheme="minorEastAsia"/>
                <w:b/>
                <w:bCs/>
                <w:sz w:val="24"/>
                <w:lang w:val="en-US" w:eastAsia="zh-CN"/>
              </w:rPr>
              <w:t>6</w:t>
            </w:r>
          </w:p>
        </w:tc>
      </w:tr>
      <w:tr w14:paraId="6E5B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715" w:type="dxa"/>
            <w:vMerge w:val="continue"/>
            <w:tcBorders>
              <w:left w:val="single" w:color="auto" w:sz="4" w:space="0"/>
              <w:right w:val="single" w:color="auto" w:sz="4" w:space="0"/>
            </w:tcBorders>
            <w:vAlign w:val="center"/>
          </w:tcPr>
          <w:p w14:paraId="48B5FA20">
            <w:pPr>
              <w:keepNext w:val="0"/>
              <w:keepLines w:val="0"/>
              <w:pageBreakBefore w:val="0"/>
              <w:widowControl w:val="0"/>
              <w:kinsoku/>
              <w:wordWrap/>
              <w:overflowPunct/>
              <w:topLinePunct w:val="0"/>
              <w:bidi w:val="0"/>
              <w:spacing w:line="240" w:lineRule="auto"/>
              <w:ind w:firstLine="435"/>
              <w:jc w:val="center"/>
              <w:textAlignment w:val="auto"/>
              <w:rPr>
                <w:rFonts w:asciiTheme="minorEastAsia" w:hAnsiTheme="minorEastAsia" w:eastAsiaTheme="minorEastAsia"/>
                <w:b/>
                <w:bCs/>
                <w:sz w:val="24"/>
              </w:rPr>
            </w:pPr>
          </w:p>
        </w:tc>
        <w:tc>
          <w:tcPr>
            <w:tcW w:w="1998" w:type="dxa"/>
            <w:tcBorders>
              <w:top w:val="single" w:color="auto" w:sz="4" w:space="0"/>
              <w:left w:val="single" w:color="auto" w:sz="4" w:space="0"/>
              <w:bottom w:val="single" w:color="auto" w:sz="4" w:space="0"/>
              <w:right w:val="single" w:color="auto" w:sz="4" w:space="0"/>
            </w:tcBorders>
            <w:vAlign w:val="center"/>
          </w:tcPr>
          <w:p w14:paraId="2AB29239">
            <w:pPr>
              <w:keepNext w:val="0"/>
              <w:keepLines w:val="0"/>
              <w:pageBreakBefore w:val="0"/>
              <w:widowControl w:val="0"/>
              <w:kinsoku/>
              <w:wordWrap/>
              <w:overflowPunct/>
              <w:topLinePunct w:val="0"/>
              <w:bidi w:val="0"/>
              <w:spacing w:after="50" w:line="240" w:lineRule="auto"/>
              <w:ind w:right="-10"/>
              <w:jc w:val="center"/>
              <w:textAlignment w:val="auto"/>
              <w:rPr>
                <w:rFonts w:asciiTheme="minorEastAsia" w:hAnsiTheme="minorEastAsia" w:eastAsiaTheme="minorEastAsia"/>
                <w:sz w:val="24"/>
                <w:szCs w:val="28"/>
              </w:rPr>
            </w:pPr>
            <w:r>
              <w:rPr>
                <w:rFonts w:ascii="宋体" w:hAnsi="宋体" w:eastAsia="宋体" w:cs="宋体"/>
                <w:sz w:val="24"/>
                <w:szCs w:val="24"/>
              </w:rPr>
              <w:t>服务方案</w:t>
            </w:r>
          </w:p>
        </w:tc>
        <w:tc>
          <w:tcPr>
            <w:tcW w:w="4796" w:type="dxa"/>
            <w:tcBorders>
              <w:top w:val="single" w:color="auto" w:sz="4" w:space="0"/>
              <w:left w:val="single" w:color="auto" w:sz="4" w:space="0"/>
              <w:bottom w:val="single" w:color="auto" w:sz="4" w:space="0"/>
              <w:right w:val="single" w:color="auto" w:sz="4" w:space="0"/>
            </w:tcBorders>
            <w:vAlign w:val="center"/>
          </w:tcPr>
          <w:p w14:paraId="44739B87">
            <w:pPr>
              <w:keepNext w:val="0"/>
              <w:keepLines w:val="0"/>
              <w:pageBreakBefore w:val="0"/>
              <w:widowControl w:val="0"/>
              <w:kinsoku/>
              <w:wordWrap/>
              <w:overflowPunct/>
              <w:topLinePunct w:val="0"/>
              <w:autoSpaceDE w:val="0"/>
              <w:autoSpaceDN w:val="0"/>
              <w:bidi w:val="0"/>
              <w:spacing w:line="240" w:lineRule="auto"/>
              <w:jc w:val="left"/>
              <w:textAlignment w:val="auto"/>
              <w:rPr>
                <w:rFonts w:hint="eastAsia" w:asciiTheme="minorEastAsia" w:hAnsiTheme="minorEastAsia" w:eastAsiaTheme="minorEastAsia"/>
                <w:sz w:val="22"/>
                <w:szCs w:val="24"/>
              </w:rPr>
            </w:pPr>
            <w:r>
              <w:rPr>
                <w:rFonts w:hint="eastAsia" w:asciiTheme="minorEastAsia" w:hAnsiTheme="minorEastAsia" w:eastAsiaTheme="minorEastAsia"/>
                <w:sz w:val="22"/>
                <w:szCs w:val="24"/>
              </w:rPr>
              <w:t>磋商小组根据供应商</w:t>
            </w:r>
            <w:r>
              <w:rPr>
                <w:rFonts w:hint="eastAsia" w:asciiTheme="minorEastAsia" w:hAnsiTheme="minorEastAsia" w:eastAsiaTheme="minorEastAsia"/>
                <w:sz w:val="22"/>
                <w:szCs w:val="24"/>
                <w:lang w:val="en-US" w:eastAsia="zh-CN"/>
              </w:rPr>
              <w:t>针对本项目</w:t>
            </w:r>
            <w:r>
              <w:rPr>
                <w:rFonts w:hint="eastAsia" w:asciiTheme="minorEastAsia" w:hAnsiTheme="minorEastAsia" w:eastAsiaTheme="minorEastAsia"/>
                <w:sz w:val="22"/>
                <w:szCs w:val="24"/>
              </w:rPr>
              <w:t>提供的服务方案进行</w:t>
            </w:r>
            <w:r>
              <w:rPr>
                <w:rFonts w:hint="eastAsia" w:asciiTheme="minorEastAsia" w:hAnsiTheme="minorEastAsia" w:eastAsiaTheme="minorEastAsia"/>
                <w:sz w:val="22"/>
                <w:szCs w:val="24"/>
                <w:lang w:val="en-US" w:eastAsia="zh-CN"/>
              </w:rPr>
              <w:t>综合</w:t>
            </w:r>
            <w:r>
              <w:rPr>
                <w:rFonts w:hint="eastAsia" w:asciiTheme="minorEastAsia" w:hAnsiTheme="minorEastAsia" w:eastAsiaTheme="minorEastAsia"/>
                <w:sz w:val="22"/>
                <w:szCs w:val="24"/>
              </w:rPr>
              <w:t>打分：</w:t>
            </w:r>
          </w:p>
          <w:p w14:paraId="033B321F">
            <w:pPr>
              <w:keepNext w:val="0"/>
              <w:keepLines w:val="0"/>
              <w:pageBreakBefore w:val="0"/>
              <w:widowControl w:val="0"/>
              <w:kinsoku/>
              <w:wordWrap/>
              <w:overflowPunct/>
              <w:topLinePunct w:val="0"/>
              <w:autoSpaceDE w:val="0"/>
              <w:autoSpaceDN w:val="0"/>
              <w:bidi w:val="0"/>
              <w:spacing w:line="240" w:lineRule="auto"/>
              <w:jc w:val="left"/>
              <w:textAlignment w:val="auto"/>
              <w:rPr>
                <w:rFonts w:hint="eastAsia" w:asciiTheme="minorEastAsia" w:hAnsiTheme="minorEastAsia" w:eastAsiaTheme="minorEastAsia"/>
                <w:sz w:val="22"/>
                <w:szCs w:val="24"/>
              </w:rPr>
            </w:pPr>
            <w:r>
              <w:rPr>
                <w:rFonts w:hint="eastAsia" w:asciiTheme="minorEastAsia" w:hAnsiTheme="minorEastAsia" w:eastAsiaTheme="minorEastAsia"/>
                <w:sz w:val="22"/>
                <w:szCs w:val="24"/>
              </w:rPr>
              <w:t>（1）服务方案思路清晰、检测方案内容完整、编制内容完整详细，优于本项目采购需求，可行性、实用性、针对性强的，得</w:t>
            </w:r>
            <w:r>
              <w:rPr>
                <w:rFonts w:hint="eastAsia" w:asciiTheme="minorEastAsia" w:hAnsiTheme="minorEastAsia" w:eastAsiaTheme="minorEastAsia"/>
                <w:sz w:val="22"/>
                <w:szCs w:val="24"/>
                <w:lang w:val="en-US" w:eastAsia="zh-CN"/>
              </w:rPr>
              <w:t>6</w:t>
            </w:r>
            <w:r>
              <w:rPr>
                <w:rFonts w:hint="eastAsia" w:asciiTheme="minorEastAsia" w:hAnsiTheme="minorEastAsia" w:eastAsiaTheme="minorEastAsia"/>
                <w:sz w:val="22"/>
                <w:szCs w:val="24"/>
              </w:rPr>
              <w:t>分；</w:t>
            </w:r>
          </w:p>
          <w:p w14:paraId="2EBF4011">
            <w:pPr>
              <w:keepNext w:val="0"/>
              <w:keepLines w:val="0"/>
              <w:pageBreakBefore w:val="0"/>
              <w:widowControl w:val="0"/>
              <w:kinsoku/>
              <w:wordWrap/>
              <w:overflowPunct/>
              <w:topLinePunct w:val="0"/>
              <w:autoSpaceDE w:val="0"/>
              <w:autoSpaceDN w:val="0"/>
              <w:bidi w:val="0"/>
              <w:spacing w:line="240" w:lineRule="auto"/>
              <w:jc w:val="left"/>
              <w:textAlignment w:val="auto"/>
              <w:rPr>
                <w:rFonts w:hint="eastAsia" w:asciiTheme="minorEastAsia" w:hAnsiTheme="minorEastAsia" w:eastAsiaTheme="minorEastAsia"/>
                <w:sz w:val="22"/>
                <w:szCs w:val="24"/>
              </w:rPr>
            </w:pPr>
            <w:r>
              <w:rPr>
                <w:rFonts w:hint="eastAsia" w:asciiTheme="minorEastAsia" w:hAnsiTheme="minorEastAsia" w:eastAsiaTheme="minorEastAsia"/>
                <w:sz w:val="22"/>
                <w:szCs w:val="24"/>
              </w:rPr>
              <w:t>（2）服务方案适合本项目采购需求，具有可行性、实用性、针对性的，得3分；</w:t>
            </w:r>
          </w:p>
          <w:p w14:paraId="36D934A0">
            <w:pPr>
              <w:keepNext w:val="0"/>
              <w:keepLines w:val="0"/>
              <w:pageBreakBefore w:val="0"/>
              <w:widowControl w:val="0"/>
              <w:kinsoku/>
              <w:wordWrap/>
              <w:overflowPunct/>
              <w:topLinePunct w:val="0"/>
              <w:autoSpaceDE w:val="0"/>
              <w:autoSpaceDN w:val="0"/>
              <w:bidi w:val="0"/>
              <w:spacing w:line="240" w:lineRule="auto"/>
              <w:jc w:val="left"/>
              <w:textAlignment w:val="auto"/>
              <w:rPr>
                <w:rFonts w:hint="eastAsia" w:asciiTheme="minorEastAsia" w:hAnsiTheme="minorEastAsia" w:eastAsiaTheme="minorEastAsia"/>
                <w:sz w:val="22"/>
                <w:szCs w:val="24"/>
              </w:rPr>
            </w:pPr>
            <w:r>
              <w:rPr>
                <w:rFonts w:hint="eastAsia" w:asciiTheme="minorEastAsia" w:hAnsiTheme="minorEastAsia" w:eastAsiaTheme="minorEastAsia"/>
                <w:sz w:val="22"/>
                <w:szCs w:val="24"/>
              </w:rPr>
              <w:t>（3）服务方案基本适合本项目采购需求，可行性、实用性、针对性有待改善，得1分；</w:t>
            </w:r>
          </w:p>
          <w:p w14:paraId="0D2E35BE">
            <w:pPr>
              <w:keepNext w:val="0"/>
              <w:keepLines w:val="0"/>
              <w:pageBreakBefore w:val="0"/>
              <w:widowControl w:val="0"/>
              <w:kinsoku/>
              <w:wordWrap/>
              <w:overflowPunct/>
              <w:topLinePunct w:val="0"/>
              <w:autoSpaceDE w:val="0"/>
              <w:autoSpaceDN w:val="0"/>
              <w:bidi w:val="0"/>
              <w:spacing w:line="240" w:lineRule="auto"/>
              <w:jc w:val="left"/>
              <w:textAlignment w:val="auto"/>
              <w:rPr>
                <w:rFonts w:asciiTheme="minorEastAsia" w:hAnsiTheme="minorEastAsia" w:eastAsiaTheme="minorEastAsia"/>
                <w:sz w:val="22"/>
                <w:szCs w:val="24"/>
              </w:rPr>
            </w:pPr>
            <w:r>
              <w:rPr>
                <w:rFonts w:hint="eastAsia" w:asciiTheme="minorEastAsia" w:hAnsiTheme="minorEastAsia" w:eastAsiaTheme="minorEastAsia"/>
                <w:sz w:val="22"/>
                <w:szCs w:val="24"/>
              </w:rPr>
              <w:t>（4）方案不可行或未提供的得0分</w:t>
            </w:r>
          </w:p>
        </w:tc>
        <w:tc>
          <w:tcPr>
            <w:tcW w:w="1402" w:type="dxa"/>
            <w:tcBorders>
              <w:top w:val="single" w:color="auto" w:sz="4" w:space="0"/>
              <w:left w:val="single" w:color="auto" w:sz="4" w:space="0"/>
              <w:bottom w:val="single" w:color="auto" w:sz="4" w:space="0"/>
              <w:right w:val="single" w:color="auto" w:sz="4" w:space="0"/>
            </w:tcBorders>
            <w:vAlign w:val="center"/>
          </w:tcPr>
          <w:p w14:paraId="608FC5CD">
            <w:pPr>
              <w:keepNext w:val="0"/>
              <w:keepLines w:val="0"/>
              <w:pageBreakBefore w:val="0"/>
              <w:widowControl w:val="0"/>
              <w:kinsoku/>
              <w:wordWrap/>
              <w:overflowPunct/>
              <w:topLinePunct w:val="0"/>
              <w:bidi w:val="0"/>
              <w:spacing w:line="240" w:lineRule="auto"/>
              <w:jc w:val="center"/>
              <w:textAlignment w:val="auto"/>
              <w:rPr>
                <w:rFonts w:hint="default" w:asciiTheme="minorEastAsia" w:hAnsiTheme="minorEastAsia" w:eastAsiaTheme="minorEastAsia"/>
                <w:b/>
                <w:bCs/>
                <w:sz w:val="24"/>
                <w:lang w:val="en-US" w:eastAsia="zh-CN"/>
              </w:rPr>
            </w:pPr>
            <w:r>
              <w:rPr>
                <w:rFonts w:hint="eastAsia" w:asciiTheme="minorEastAsia" w:hAnsiTheme="minorEastAsia" w:eastAsiaTheme="minorEastAsia"/>
                <w:b/>
                <w:bCs/>
                <w:sz w:val="24"/>
              </w:rPr>
              <w:t>0-</w:t>
            </w:r>
            <w:r>
              <w:rPr>
                <w:rFonts w:hint="eastAsia" w:asciiTheme="minorEastAsia" w:hAnsiTheme="minorEastAsia" w:eastAsiaTheme="minorEastAsia"/>
                <w:b/>
                <w:bCs/>
                <w:sz w:val="24"/>
                <w:lang w:val="en-US" w:eastAsia="zh-CN"/>
              </w:rPr>
              <w:t>6</w:t>
            </w:r>
          </w:p>
        </w:tc>
      </w:tr>
      <w:tr w14:paraId="430D3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715" w:type="dxa"/>
            <w:vMerge w:val="continue"/>
            <w:tcBorders>
              <w:left w:val="single" w:color="auto" w:sz="4" w:space="0"/>
              <w:right w:val="single" w:color="auto" w:sz="4" w:space="0"/>
            </w:tcBorders>
            <w:vAlign w:val="center"/>
          </w:tcPr>
          <w:p w14:paraId="326F4AB0">
            <w:pPr>
              <w:keepNext w:val="0"/>
              <w:keepLines w:val="0"/>
              <w:pageBreakBefore w:val="0"/>
              <w:widowControl w:val="0"/>
              <w:kinsoku/>
              <w:wordWrap/>
              <w:overflowPunct/>
              <w:topLinePunct w:val="0"/>
              <w:bidi w:val="0"/>
              <w:spacing w:line="240" w:lineRule="auto"/>
              <w:ind w:firstLine="435"/>
              <w:jc w:val="center"/>
              <w:textAlignment w:val="auto"/>
              <w:rPr>
                <w:rFonts w:asciiTheme="minorEastAsia" w:hAnsiTheme="minorEastAsia" w:eastAsiaTheme="minorEastAsia"/>
                <w:b/>
                <w:bCs/>
                <w:sz w:val="24"/>
              </w:rPr>
            </w:pPr>
          </w:p>
        </w:tc>
        <w:tc>
          <w:tcPr>
            <w:tcW w:w="1998" w:type="dxa"/>
            <w:tcBorders>
              <w:top w:val="single" w:color="auto" w:sz="4" w:space="0"/>
              <w:left w:val="single" w:color="auto" w:sz="4" w:space="0"/>
              <w:bottom w:val="single" w:color="auto" w:sz="4" w:space="0"/>
              <w:right w:val="single" w:color="auto" w:sz="4" w:space="0"/>
            </w:tcBorders>
            <w:vAlign w:val="center"/>
          </w:tcPr>
          <w:p w14:paraId="60A5B948">
            <w:pPr>
              <w:keepNext w:val="0"/>
              <w:keepLines w:val="0"/>
              <w:pageBreakBefore w:val="0"/>
              <w:widowControl w:val="0"/>
              <w:kinsoku/>
              <w:wordWrap/>
              <w:overflowPunct/>
              <w:topLinePunct w:val="0"/>
              <w:bidi w:val="0"/>
              <w:spacing w:after="50" w:line="240" w:lineRule="auto"/>
              <w:ind w:right="-10"/>
              <w:jc w:val="center"/>
              <w:textAlignment w:val="auto"/>
              <w:rPr>
                <w:rFonts w:ascii="宋体" w:hAnsi="宋体" w:eastAsia="宋体" w:cs="宋体"/>
                <w:sz w:val="24"/>
                <w:szCs w:val="24"/>
              </w:rPr>
            </w:pPr>
            <w:r>
              <w:rPr>
                <w:rFonts w:ascii="宋体" w:hAnsi="宋体" w:eastAsia="宋体" w:cs="宋体"/>
                <w:sz w:val="24"/>
                <w:szCs w:val="24"/>
              </w:rPr>
              <w:t>质量保障措施</w:t>
            </w:r>
          </w:p>
        </w:tc>
        <w:tc>
          <w:tcPr>
            <w:tcW w:w="4796" w:type="dxa"/>
            <w:tcBorders>
              <w:top w:val="single" w:color="auto" w:sz="4" w:space="0"/>
              <w:left w:val="single" w:color="auto" w:sz="4" w:space="0"/>
              <w:bottom w:val="single" w:color="auto" w:sz="4" w:space="0"/>
              <w:right w:val="single" w:color="auto" w:sz="4" w:space="0"/>
            </w:tcBorders>
            <w:vAlign w:val="center"/>
          </w:tcPr>
          <w:p w14:paraId="3112E8EA">
            <w:pPr>
              <w:keepNext w:val="0"/>
              <w:keepLines w:val="0"/>
              <w:pageBreakBefore w:val="0"/>
              <w:widowControl w:val="0"/>
              <w:kinsoku/>
              <w:wordWrap/>
              <w:overflowPunct/>
              <w:topLinePunct w:val="0"/>
              <w:autoSpaceDE w:val="0"/>
              <w:autoSpaceDN w:val="0"/>
              <w:bidi w:val="0"/>
              <w:spacing w:line="240" w:lineRule="auto"/>
              <w:jc w:val="left"/>
              <w:textAlignment w:val="auto"/>
              <w:rPr>
                <w:rFonts w:hint="eastAsia" w:asciiTheme="minorEastAsia" w:hAnsiTheme="minorEastAsia" w:eastAsiaTheme="minorEastAsia"/>
                <w:sz w:val="22"/>
                <w:szCs w:val="24"/>
              </w:rPr>
            </w:pPr>
            <w:r>
              <w:rPr>
                <w:rFonts w:hint="eastAsia" w:asciiTheme="minorEastAsia" w:hAnsiTheme="minorEastAsia" w:eastAsiaTheme="minorEastAsia"/>
                <w:sz w:val="22"/>
                <w:szCs w:val="24"/>
              </w:rPr>
              <w:t>磋商小组根据磋商文件要求及供应商提供的质量保障措施，进行综合评分：</w:t>
            </w:r>
          </w:p>
          <w:p w14:paraId="09635034">
            <w:pPr>
              <w:keepNext w:val="0"/>
              <w:keepLines w:val="0"/>
              <w:pageBreakBefore w:val="0"/>
              <w:widowControl w:val="0"/>
              <w:kinsoku/>
              <w:wordWrap/>
              <w:overflowPunct/>
              <w:topLinePunct w:val="0"/>
              <w:autoSpaceDE w:val="0"/>
              <w:autoSpaceDN w:val="0"/>
              <w:bidi w:val="0"/>
              <w:spacing w:line="240" w:lineRule="auto"/>
              <w:jc w:val="left"/>
              <w:textAlignment w:val="auto"/>
              <w:rPr>
                <w:rFonts w:hint="eastAsia" w:asciiTheme="minorEastAsia" w:hAnsiTheme="minorEastAsia" w:eastAsiaTheme="minorEastAsia"/>
                <w:sz w:val="22"/>
                <w:szCs w:val="24"/>
              </w:rPr>
            </w:pPr>
            <w:r>
              <w:rPr>
                <w:rFonts w:hint="eastAsia" w:asciiTheme="minorEastAsia" w:hAnsiTheme="minorEastAsia" w:eastAsiaTheme="minorEastAsia"/>
                <w:sz w:val="22"/>
                <w:szCs w:val="24"/>
                <w:lang w:eastAsia="zh-CN"/>
              </w:rPr>
              <w:t>（</w:t>
            </w:r>
            <w:r>
              <w:rPr>
                <w:rFonts w:hint="eastAsia" w:asciiTheme="minorEastAsia" w:hAnsiTheme="minorEastAsia" w:eastAsiaTheme="minorEastAsia"/>
                <w:sz w:val="22"/>
                <w:szCs w:val="24"/>
                <w:lang w:val="en-US" w:eastAsia="zh-CN"/>
              </w:rPr>
              <w:t>1</w:t>
            </w:r>
            <w:r>
              <w:rPr>
                <w:rFonts w:hint="eastAsia" w:asciiTheme="minorEastAsia" w:hAnsiTheme="minorEastAsia" w:eastAsiaTheme="minorEastAsia"/>
                <w:sz w:val="22"/>
                <w:szCs w:val="24"/>
                <w:lang w:eastAsia="zh-CN"/>
              </w:rPr>
              <w:t>）</w:t>
            </w:r>
            <w:r>
              <w:rPr>
                <w:rFonts w:hint="eastAsia" w:asciiTheme="minorEastAsia" w:hAnsiTheme="minorEastAsia" w:eastAsiaTheme="minorEastAsia"/>
                <w:sz w:val="22"/>
                <w:szCs w:val="24"/>
              </w:rPr>
              <w:t>质量保障措施优于本项目采购需求，完整详细，可行性、实用性、针对性强，得</w:t>
            </w:r>
            <w:r>
              <w:rPr>
                <w:rFonts w:hint="eastAsia" w:asciiTheme="minorEastAsia" w:hAnsiTheme="minorEastAsia" w:eastAsiaTheme="minorEastAsia"/>
                <w:sz w:val="22"/>
                <w:szCs w:val="24"/>
                <w:lang w:val="en-US" w:eastAsia="zh-CN"/>
              </w:rPr>
              <w:t>6</w:t>
            </w:r>
            <w:r>
              <w:rPr>
                <w:rFonts w:hint="eastAsia" w:asciiTheme="minorEastAsia" w:hAnsiTheme="minorEastAsia" w:eastAsiaTheme="minorEastAsia"/>
                <w:sz w:val="22"/>
                <w:szCs w:val="24"/>
              </w:rPr>
              <w:t>分；</w:t>
            </w:r>
          </w:p>
          <w:p w14:paraId="2FF74C43">
            <w:pPr>
              <w:keepNext w:val="0"/>
              <w:keepLines w:val="0"/>
              <w:pageBreakBefore w:val="0"/>
              <w:widowControl w:val="0"/>
              <w:kinsoku/>
              <w:wordWrap/>
              <w:overflowPunct/>
              <w:topLinePunct w:val="0"/>
              <w:autoSpaceDE w:val="0"/>
              <w:autoSpaceDN w:val="0"/>
              <w:bidi w:val="0"/>
              <w:spacing w:line="240" w:lineRule="auto"/>
              <w:jc w:val="left"/>
              <w:textAlignment w:val="auto"/>
              <w:rPr>
                <w:rFonts w:hint="eastAsia" w:asciiTheme="minorEastAsia" w:hAnsiTheme="minorEastAsia" w:eastAsiaTheme="minorEastAsia"/>
                <w:sz w:val="22"/>
                <w:szCs w:val="24"/>
              </w:rPr>
            </w:pPr>
            <w:r>
              <w:rPr>
                <w:rFonts w:hint="eastAsia" w:asciiTheme="minorEastAsia" w:hAnsiTheme="minorEastAsia" w:eastAsiaTheme="minorEastAsia"/>
                <w:sz w:val="22"/>
                <w:szCs w:val="24"/>
              </w:rPr>
              <w:t>（2）质量保障措施适合本项目采购需求，完整详细，具有可行性、实用性、针对性，得3分；</w:t>
            </w:r>
          </w:p>
          <w:p w14:paraId="7405CC00">
            <w:pPr>
              <w:keepNext w:val="0"/>
              <w:keepLines w:val="0"/>
              <w:pageBreakBefore w:val="0"/>
              <w:widowControl w:val="0"/>
              <w:kinsoku/>
              <w:wordWrap/>
              <w:overflowPunct/>
              <w:topLinePunct w:val="0"/>
              <w:autoSpaceDE w:val="0"/>
              <w:autoSpaceDN w:val="0"/>
              <w:bidi w:val="0"/>
              <w:spacing w:line="240" w:lineRule="auto"/>
              <w:jc w:val="left"/>
              <w:textAlignment w:val="auto"/>
              <w:rPr>
                <w:rFonts w:hint="eastAsia" w:asciiTheme="minorEastAsia" w:hAnsiTheme="minorEastAsia" w:eastAsiaTheme="minorEastAsia"/>
                <w:sz w:val="22"/>
                <w:szCs w:val="24"/>
              </w:rPr>
            </w:pPr>
            <w:r>
              <w:rPr>
                <w:rFonts w:hint="eastAsia" w:asciiTheme="minorEastAsia" w:hAnsiTheme="minorEastAsia" w:eastAsiaTheme="minorEastAsia"/>
                <w:sz w:val="22"/>
                <w:szCs w:val="24"/>
                <w:lang w:eastAsia="zh-CN"/>
              </w:rPr>
              <w:t>（</w:t>
            </w:r>
            <w:r>
              <w:rPr>
                <w:rFonts w:hint="eastAsia" w:asciiTheme="minorEastAsia" w:hAnsiTheme="minorEastAsia" w:eastAsiaTheme="minorEastAsia"/>
                <w:sz w:val="22"/>
                <w:szCs w:val="24"/>
                <w:lang w:val="en-US" w:eastAsia="zh-CN"/>
              </w:rPr>
              <w:t>3</w:t>
            </w:r>
            <w:r>
              <w:rPr>
                <w:rFonts w:hint="eastAsia" w:asciiTheme="minorEastAsia" w:hAnsiTheme="minorEastAsia" w:eastAsiaTheme="minorEastAsia"/>
                <w:sz w:val="22"/>
                <w:szCs w:val="24"/>
                <w:lang w:eastAsia="zh-CN"/>
              </w:rPr>
              <w:t>）</w:t>
            </w:r>
            <w:r>
              <w:rPr>
                <w:rFonts w:hint="eastAsia" w:asciiTheme="minorEastAsia" w:hAnsiTheme="minorEastAsia" w:eastAsiaTheme="minorEastAsia"/>
                <w:sz w:val="22"/>
                <w:szCs w:val="24"/>
              </w:rPr>
              <w:t>质量保障措施基本适合本项目采购需求，可行性、实用性、针对性有待改善，得1分；</w:t>
            </w:r>
          </w:p>
          <w:p w14:paraId="383743C5">
            <w:pPr>
              <w:keepNext w:val="0"/>
              <w:keepLines w:val="0"/>
              <w:pageBreakBefore w:val="0"/>
              <w:widowControl w:val="0"/>
              <w:kinsoku/>
              <w:wordWrap/>
              <w:overflowPunct/>
              <w:topLinePunct w:val="0"/>
              <w:autoSpaceDE w:val="0"/>
              <w:autoSpaceDN w:val="0"/>
              <w:bidi w:val="0"/>
              <w:spacing w:line="240" w:lineRule="auto"/>
              <w:jc w:val="left"/>
              <w:textAlignment w:val="auto"/>
              <w:rPr>
                <w:rFonts w:hint="eastAsia" w:asciiTheme="minorEastAsia" w:hAnsiTheme="minorEastAsia" w:eastAsiaTheme="minorEastAsia"/>
                <w:sz w:val="22"/>
                <w:szCs w:val="24"/>
              </w:rPr>
            </w:pPr>
            <w:r>
              <w:rPr>
                <w:rFonts w:hint="eastAsia" w:asciiTheme="minorEastAsia" w:hAnsiTheme="minorEastAsia" w:eastAsiaTheme="minorEastAsia"/>
                <w:sz w:val="22"/>
                <w:szCs w:val="24"/>
              </w:rPr>
              <w:t>（4）措施不可行或者未提供得0分。</w:t>
            </w:r>
          </w:p>
        </w:tc>
        <w:tc>
          <w:tcPr>
            <w:tcW w:w="1402" w:type="dxa"/>
            <w:tcBorders>
              <w:top w:val="single" w:color="auto" w:sz="4" w:space="0"/>
              <w:left w:val="single" w:color="auto" w:sz="4" w:space="0"/>
              <w:bottom w:val="single" w:color="auto" w:sz="4" w:space="0"/>
              <w:right w:val="single" w:color="auto" w:sz="4" w:space="0"/>
            </w:tcBorders>
            <w:vAlign w:val="center"/>
          </w:tcPr>
          <w:p w14:paraId="37941793">
            <w:pPr>
              <w:keepNext w:val="0"/>
              <w:keepLines w:val="0"/>
              <w:pageBreakBefore w:val="0"/>
              <w:widowControl w:val="0"/>
              <w:kinsoku/>
              <w:wordWrap/>
              <w:overflowPunct/>
              <w:topLinePunct w:val="0"/>
              <w:bidi w:val="0"/>
              <w:spacing w:line="240" w:lineRule="auto"/>
              <w:jc w:val="center"/>
              <w:textAlignment w:val="auto"/>
              <w:rPr>
                <w:rFonts w:hint="default" w:asciiTheme="minorEastAsia" w:hAnsiTheme="minorEastAsia" w:eastAsiaTheme="minorEastAsia"/>
                <w:b/>
                <w:bCs/>
                <w:sz w:val="24"/>
                <w:lang w:val="en-US" w:eastAsia="zh-CN"/>
              </w:rPr>
            </w:pPr>
            <w:r>
              <w:rPr>
                <w:rFonts w:hint="eastAsia" w:asciiTheme="minorEastAsia" w:hAnsiTheme="minorEastAsia" w:eastAsiaTheme="minorEastAsia"/>
                <w:b/>
                <w:bCs/>
                <w:sz w:val="24"/>
                <w:lang w:val="en-US" w:eastAsia="zh-CN"/>
              </w:rPr>
              <w:t>0-6</w:t>
            </w:r>
          </w:p>
        </w:tc>
      </w:tr>
      <w:tr w14:paraId="7079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715" w:type="dxa"/>
            <w:vMerge w:val="continue"/>
            <w:tcBorders>
              <w:left w:val="single" w:color="auto" w:sz="4" w:space="0"/>
              <w:right w:val="single" w:color="auto" w:sz="4" w:space="0"/>
            </w:tcBorders>
            <w:vAlign w:val="center"/>
          </w:tcPr>
          <w:p w14:paraId="1173C155">
            <w:pPr>
              <w:keepNext w:val="0"/>
              <w:keepLines w:val="0"/>
              <w:pageBreakBefore w:val="0"/>
              <w:widowControl w:val="0"/>
              <w:kinsoku/>
              <w:wordWrap/>
              <w:overflowPunct/>
              <w:topLinePunct w:val="0"/>
              <w:bidi w:val="0"/>
              <w:spacing w:line="240" w:lineRule="auto"/>
              <w:ind w:firstLine="435"/>
              <w:jc w:val="center"/>
              <w:textAlignment w:val="auto"/>
              <w:rPr>
                <w:rFonts w:asciiTheme="minorEastAsia" w:hAnsiTheme="minorEastAsia" w:eastAsiaTheme="minorEastAsia"/>
                <w:b/>
                <w:bCs/>
                <w:sz w:val="24"/>
              </w:rPr>
            </w:pPr>
          </w:p>
        </w:tc>
        <w:tc>
          <w:tcPr>
            <w:tcW w:w="1998" w:type="dxa"/>
            <w:tcBorders>
              <w:top w:val="single" w:color="auto" w:sz="4" w:space="0"/>
              <w:left w:val="single" w:color="auto" w:sz="4" w:space="0"/>
              <w:bottom w:val="single" w:color="auto" w:sz="4" w:space="0"/>
              <w:right w:val="single" w:color="auto" w:sz="4" w:space="0"/>
            </w:tcBorders>
            <w:vAlign w:val="center"/>
          </w:tcPr>
          <w:p w14:paraId="0A6B2591">
            <w:pPr>
              <w:keepNext w:val="0"/>
              <w:keepLines w:val="0"/>
              <w:pageBreakBefore w:val="0"/>
              <w:widowControl w:val="0"/>
              <w:kinsoku/>
              <w:wordWrap/>
              <w:overflowPunct/>
              <w:topLinePunct w:val="0"/>
              <w:bidi w:val="0"/>
              <w:spacing w:after="50" w:line="240" w:lineRule="auto"/>
              <w:ind w:right="-10"/>
              <w:jc w:val="center"/>
              <w:textAlignment w:val="auto"/>
              <w:rPr>
                <w:rFonts w:ascii="宋体" w:hAnsi="宋体" w:eastAsia="宋体" w:cs="宋体"/>
                <w:sz w:val="24"/>
                <w:szCs w:val="24"/>
              </w:rPr>
            </w:pPr>
            <w:r>
              <w:rPr>
                <w:rFonts w:hint="eastAsia" w:ascii="宋体" w:hAnsi="宋体" w:eastAsia="宋体"/>
                <w:sz w:val="24"/>
              </w:rPr>
              <w:t>设备配备</w:t>
            </w:r>
          </w:p>
        </w:tc>
        <w:tc>
          <w:tcPr>
            <w:tcW w:w="4796" w:type="dxa"/>
            <w:tcBorders>
              <w:top w:val="single" w:color="auto" w:sz="4" w:space="0"/>
              <w:left w:val="single" w:color="auto" w:sz="4" w:space="0"/>
              <w:bottom w:val="single" w:color="auto" w:sz="4" w:space="0"/>
              <w:right w:val="single" w:color="auto" w:sz="4" w:space="0"/>
            </w:tcBorders>
            <w:vAlign w:val="center"/>
          </w:tcPr>
          <w:p w14:paraId="7EEF9CBE">
            <w:pPr>
              <w:keepNext w:val="0"/>
              <w:keepLines w:val="0"/>
              <w:pageBreakBefore w:val="0"/>
              <w:widowControl w:val="0"/>
              <w:kinsoku/>
              <w:wordWrap/>
              <w:overflowPunct/>
              <w:topLinePunct w:val="0"/>
              <w:autoSpaceDE w:val="0"/>
              <w:autoSpaceDN w:val="0"/>
              <w:bidi w:val="0"/>
              <w:spacing w:line="240" w:lineRule="auto"/>
              <w:jc w:val="left"/>
              <w:textAlignment w:val="auto"/>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磋商小组根据供应商为本项目拟投入的主要设备数量、型号、使用年限进行综合评分</w:t>
            </w:r>
            <w:r>
              <w:rPr>
                <w:rFonts w:hint="eastAsia" w:asciiTheme="minorEastAsia" w:hAnsiTheme="minorEastAsia" w:eastAsiaTheme="minorEastAsia"/>
                <w:sz w:val="21"/>
                <w:szCs w:val="21"/>
                <w:lang w:eastAsia="zh-CN"/>
              </w:rPr>
              <w:t>：</w:t>
            </w:r>
          </w:p>
          <w:p w14:paraId="34916DF8">
            <w:pPr>
              <w:keepNext w:val="0"/>
              <w:keepLines w:val="0"/>
              <w:pageBreakBefore w:val="0"/>
              <w:widowControl w:val="0"/>
              <w:kinsoku/>
              <w:wordWrap/>
              <w:overflowPunct/>
              <w:topLinePunct w:val="0"/>
              <w:autoSpaceDE w:val="0"/>
              <w:autoSpaceDN w:val="0"/>
              <w:bidi w:val="0"/>
              <w:spacing w:line="240" w:lineRule="auto"/>
              <w:jc w:val="left"/>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（1）设备数量多且齐全，型号先进，使用年限短，得</w:t>
            </w:r>
            <w:r>
              <w:rPr>
                <w:rFonts w:hint="eastAsia" w:asciiTheme="minorEastAsia" w:hAnsiTheme="minorEastAsia" w:eastAsiaTheme="minorEastAsia"/>
                <w:sz w:val="21"/>
                <w:szCs w:val="21"/>
                <w:lang w:val="en-US" w:eastAsia="zh-CN"/>
              </w:rPr>
              <w:t>6</w:t>
            </w:r>
            <w:r>
              <w:rPr>
                <w:rFonts w:hint="eastAsia" w:asciiTheme="minorEastAsia" w:hAnsiTheme="minorEastAsia" w:eastAsiaTheme="minorEastAsia"/>
                <w:sz w:val="21"/>
                <w:szCs w:val="21"/>
              </w:rPr>
              <w:t>分；</w:t>
            </w:r>
          </w:p>
          <w:p w14:paraId="5E2AAE66">
            <w:pPr>
              <w:keepNext w:val="0"/>
              <w:keepLines w:val="0"/>
              <w:pageBreakBefore w:val="0"/>
              <w:widowControl w:val="0"/>
              <w:kinsoku/>
              <w:wordWrap/>
              <w:overflowPunct/>
              <w:topLinePunct w:val="0"/>
              <w:autoSpaceDE w:val="0"/>
              <w:autoSpaceDN w:val="0"/>
              <w:bidi w:val="0"/>
              <w:spacing w:line="240" w:lineRule="auto"/>
              <w:jc w:val="left"/>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（2）设备数量基本满足需求，型号满足使用要求，使用年限适中的，得3分；</w:t>
            </w:r>
          </w:p>
          <w:p w14:paraId="5828B0CE">
            <w:pPr>
              <w:keepNext w:val="0"/>
              <w:keepLines w:val="0"/>
              <w:pageBreakBefore w:val="0"/>
              <w:widowControl w:val="0"/>
              <w:kinsoku/>
              <w:wordWrap/>
              <w:overflowPunct/>
              <w:topLinePunct w:val="0"/>
              <w:autoSpaceDE w:val="0"/>
              <w:autoSpaceDN w:val="0"/>
              <w:bidi w:val="0"/>
              <w:spacing w:line="240" w:lineRule="auto"/>
              <w:jc w:val="left"/>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（3）拟投入设备有待提高的，得1分；</w:t>
            </w:r>
          </w:p>
          <w:p w14:paraId="3759913A">
            <w:pPr>
              <w:keepNext w:val="0"/>
              <w:keepLines w:val="0"/>
              <w:pageBreakBefore w:val="0"/>
              <w:widowControl w:val="0"/>
              <w:kinsoku/>
              <w:wordWrap/>
              <w:overflowPunct/>
              <w:topLinePunct w:val="0"/>
              <w:autoSpaceDE w:val="0"/>
              <w:autoSpaceDN w:val="0"/>
              <w:bidi w:val="0"/>
              <w:spacing w:line="240" w:lineRule="auto"/>
              <w:jc w:val="left"/>
              <w:textAlignment w:val="auto"/>
              <w:rPr>
                <w:rFonts w:hint="eastAsia" w:asciiTheme="minorEastAsia" w:hAnsiTheme="minorEastAsia" w:eastAsiaTheme="minorEastAsia"/>
                <w:sz w:val="22"/>
                <w:szCs w:val="24"/>
              </w:rPr>
            </w:pPr>
            <w:r>
              <w:rPr>
                <w:rFonts w:hint="eastAsia" w:asciiTheme="minorEastAsia" w:hAnsiTheme="minorEastAsia" w:eastAsiaTheme="minorEastAsia"/>
                <w:sz w:val="21"/>
                <w:szCs w:val="21"/>
              </w:rPr>
              <w:t>（4）差的或未提供</w:t>
            </w:r>
            <w:r>
              <w:rPr>
                <w:rFonts w:hint="eastAsia" w:asciiTheme="minorEastAsia" w:hAnsiTheme="minorEastAsia" w:eastAsiaTheme="minorEastAsia"/>
                <w:sz w:val="22"/>
                <w:szCs w:val="24"/>
              </w:rPr>
              <w:t>得0分</w:t>
            </w:r>
            <w:r>
              <w:rPr>
                <w:rFonts w:hint="eastAsia" w:asciiTheme="minorEastAsia" w:hAnsiTheme="minorEastAsia" w:eastAsiaTheme="minorEastAsia"/>
                <w:sz w:val="21"/>
                <w:szCs w:val="21"/>
              </w:rPr>
              <w:t>。</w:t>
            </w:r>
          </w:p>
        </w:tc>
        <w:tc>
          <w:tcPr>
            <w:tcW w:w="1402" w:type="dxa"/>
            <w:tcBorders>
              <w:top w:val="single" w:color="auto" w:sz="4" w:space="0"/>
              <w:left w:val="single" w:color="auto" w:sz="4" w:space="0"/>
              <w:bottom w:val="single" w:color="auto" w:sz="4" w:space="0"/>
              <w:right w:val="single" w:color="auto" w:sz="4" w:space="0"/>
            </w:tcBorders>
            <w:vAlign w:val="center"/>
          </w:tcPr>
          <w:p w14:paraId="02DB6808">
            <w:pPr>
              <w:keepNext w:val="0"/>
              <w:keepLines w:val="0"/>
              <w:pageBreakBefore w:val="0"/>
              <w:widowControl w:val="0"/>
              <w:kinsoku/>
              <w:wordWrap/>
              <w:overflowPunct/>
              <w:topLinePunct w:val="0"/>
              <w:bidi w:val="0"/>
              <w:spacing w:line="240" w:lineRule="auto"/>
              <w:jc w:val="center"/>
              <w:textAlignment w:val="auto"/>
              <w:rPr>
                <w:rFonts w:hint="default" w:asciiTheme="minorEastAsia" w:hAnsiTheme="minorEastAsia" w:eastAsiaTheme="minorEastAsia"/>
                <w:b/>
                <w:bCs/>
                <w:sz w:val="24"/>
                <w:lang w:val="en-US" w:eastAsia="zh-CN"/>
              </w:rPr>
            </w:pPr>
            <w:r>
              <w:rPr>
                <w:rFonts w:hint="eastAsia" w:asciiTheme="minorEastAsia" w:hAnsiTheme="minorEastAsia" w:eastAsiaTheme="minorEastAsia"/>
                <w:b/>
                <w:bCs/>
                <w:sz w:val="24"/>
                <w:lang w:val="en-US" w:eastAsia="zh-CN"/>
              </w:rPr>
              <w:t>0-6</w:t>
            </w:r>
          </w:p>
        </w:tc>
      </w:tr>
      <w:tr w14:paraId="5B04E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715" w:type="dxa"/>
            <w:vMerge w:val="continue"/>
            <w:tcBorders>
              <w:left w:val="single" w:color="auto" w:sz="4" w:space="0"/>
              <w:right w:val="single" w:color="auto" w:sz="4" w:space="0"/>
            </w:tcBorders>
            <w:vAlign w:val="center"/>
          </w:tcPr>
          <w:p w14:paraId="3D5AC08A">
            <w:pPr>
              <w:keepNext w:val="0"/>
              <w:keepLines w:val="0"/>
              <w:pageBreakBefore w:val="0"/>
              <w:widowControl w:val="0"/>
              <w:kinsoku/>
              <w:wordWrap/>
              <w:overflowPunct/>
              <w:topLinePunct w:val="0"/>
              <w:bidi w:val="0"/>
              <w:spacing w:line="240" w:lineRule="auto"/>
              <w:ind w:firstLine="435"/>
              <w:jc w:val="center"/>
              <w:textAlignment w:val="auto"/>
              <w:rPr>
                <w:rFonts w:asciiTheme="minorEastAsia" w:hAnsiTheme="minorEastAsia" w:eastAsiaTheme="minorEastAsia"/>
                <w:b/>
                <w:bCs/>
                <w:sz w:val="24"/>
              </w:rPr>
            </w:pPr>
          </w:p>
        </w:tc>
        <w:tc>
          <w:tcPr>
            <w:tcW w:w="1998" w:type="dxa"/>
            <w:tcBorders>
              <w:top w:val="single" w:color="auto" w:sz="4" w:space="0"/>
              <w:left w:val="single" w:color="auto" w:sz="4" w:space="0"/>
              <w:bottom w:val="single" w:color="auto" w:sz="4" w:space="0"/>
              <w:right w:val="single" w:color="auto" w:sz="4" w:space="0"/>
            </w:tcBorders>
            <w:vAlign w:val="center"/>
          </w:tcPr>
          <w:p w14:paraId="05832A70">
            <w:pPr>
              <w:keepNext w:val="0"/>
              <w:keepLines w:val="0"/>
              <w:pageBreakBefore w:val="0"/>
              <w:widowControl w:val="0"/>
              <w:kinsoku/>
              <w:wordWrap/>
              <w:overflowPunct/>
              <w:topLinePunct w:val="0"/>
              <w:bidi w:val="0"/>
              <w:spacing w:after="50" w:line="240" w:lineRule="auto"/>
              <w:ind w:right="-10"/>
              <w:jc w:val="center"/>
              <w:textAlignment w:val="auto"/>
              <w:rPr>
                <w:rFonts w:ascii="宋体" w:hAnsi="宋体" w:eastAsia="宋体" w:cs="宋体"/>
                <w:sz w:val="24"/>
                <w:szCs w:val="24"/>
              </w:rPr>
            </w:pPr>
            <w:r>
              <w:rPr>
                <w:rFonts w:ascii="宋体" w:hAnsi="宋体" w:eastAsia="宋体" w:cs="宋体"/>
                <w:sz w:val="24"/>
                <w:szCs w:val="24"/>
              </w:rPr>
              <w:t>进度控制措施</w:t>
            </w:r>
          </w:p>
        </w:tc>
        <w:tc>
          <w:tcPr>
            <w:tcW w:w="4796" w:type="dxa"/>
            <w:tcBorders>
              <w:top w:val="single" w:color="auto" w:sz="4" w:space="0"/>
              <w:left w:val="single" w:color="auto" w:sz="4" w:space="0"/>
              <w:bottom w:val="single" w:color="auto" w:sz="4" w:space="0"/>
              <w:right w:val="single" w:color="auto" w:sz="4" w:space="0"/>
            </w:tcBorders>
            <w:vAlign w:val="center"/>
          </w:tcPr>
          <w:p w14:paraId="0B12FE16">
            <w:pPr>
              <w:keepNext w:val="0"/>
              <w:keepLines w:val="0"/>
              <w:pageBreakBefore w:val="0"/>
              <w:widowControl w:val="0"/>
              <w:kinsoku/>
              <w:wordWrap/>
              <w:overflowPunct/>
              <w:topLinePunct w:val="0"/>
              <w:autoSpaceDE w:val="0"/>
              <w:autoSpaceDN w:val="0"/>
              <w:bidi w:val="0"/>
              <w:spacing w:line="240" w:lineRule="auto"/>
              <w:jc w:val="left"/>
              <w:textAlignment w:val="auto"/>
              <w:rPr>
                <w:rFonts w:hint="eastAsia" w:asciiTheme="minorEastAsia" w:hAnsiTheme="minorEastAsia" w:eastAsiaTheme="minorEastAsia"/>
                <w:sz w:val="22"/>
                <w:szCs w:val="24"/>
              </w:rPr>
            </w:pPr>
            <w:r>
              <w:rPr>
                <w:rFonts w:hint="eastAsia" w:asciiTheme="minorEastAsia" w:hAnsiTheme="minorEastAsia" w:eastAsiaTheme="minorEastAsia"/>
                <w:sz w:val="22"/>
                <w:szCs w:val="24"/>
              </w:rPr>
              <w:t>磋商小组根据磋商文件要求及供应商提供的进度控制措施，进行综合评分：</w:t>
            </w:r>
          </w:p>
          <w:p w14:paraId="4604F888">
            <w:pPr>
              <w:keepNext w:val="0"/>
              <w:keepLines w:val="0"/>
              <w:pageBreakBefore w:val="0"/>
              <w:widowControl w:val="0"/>
              <w:kinsoku/>
              <w:wordWrap/>
              <w:overflowPunct/>
              <w:topLinePunct w:val="0"/>
              <w:autoSpaceDE w:val="0"/>
              <w:autoSpaceDN w:val="0"/>
              <w:bidi w:val="0"/>
              <w:spacing w:line="240" w:lineRule="auto"/>
              <w:jc w:val="left"/>
              <w:textAlignment w:val="auto"/>
              <w:rPr>
                <w:rFonts w:hint="eastAsia" w:asciiTheme="minorEastAsia" w:hAnsiTheme="minorEastAsia" w:eastAsiaTheme="minorEastAsia"/>
                <w:sz w:val="22"/>
                <w:szCs w:val="24"/>
              </w:rPr>
            </w:pPr>
            <w:r>
              <w:rPr>
                <w:rFonts w:hint="eastAsia" w:asciiTheme="minorEastAsia" w:hAnsiTheme="minorEastAsia" w:eastAsiaTheme="minorEastAsia"/>
                <w:sz w:val="22"/>
                <w:szCs w:val="24"/>
                <w:lang w:eastAsia="zh-CN"/>
              </w:rPr>
              <w:t>（</w:t>
            </w:r>
            <w:r>
              <w:rPr>
                <w:rFonts w:hint="eastAsia" w:asciiTheme="minorEastAsia" w:hAnsiTheme="minorEastAsia" w:eastAsiaTheme="minorEastAsia"/>
                <w:sz w:val="22"/>
                <w:szCs w:val="24"/>
                <w:lang w:val="en-US" w:eastAsia="zh-CN"/>
              </w:rPr>
              <w:t>1</w:t>
            </w:r>
            <w:r>
              <w:rPr>
                <w:rFonts w:hint="eastAsia" w:asciiTheme="minorEastAsia" w:hAnsiTheme="minorEastAsia" w:eastAsiaTheme="minorEastAsia"/>
                <w:sz w:val="22"/>
                <w:szCs w:val="24"/>
                <w:lang w:eastAsia="zh-CN"/>
              </w:rPr>
              <w:t>）</w:t>
            </w:r>
            <w:r>
              <w:rPr>
                <w:rFonts w:hint="eastAsia" w:asciiTheme="minorEastAsia" w:hAnsiTheme="minorEastAsia" w:eastAsiaTheme="minorEastAsia"/>
                <w:sz w:val="22"/>
                <w:szCs w:val="24"/>
              </w:rPr>
              <w:t>进度控制措施优于本项目采购需求，完整详细，可行性、实用性、针对性强，得</w:t>
            </w:r>
            <w:r>
              <w:rPr>
                <w:rFonts w:hint="eastAsia" w:asciiTheme="minorEastAsia" w:hAnsiTheme="minorEastAsia" w:eastAsiaTheme="minorEastAsia"/>
                <w:sz w:val="22"/>
                <w:szCs w:val="24"/>
                <w:lang w:val="en-US" w:eastAsia="zh-CN"/>
              </w:rPr>
              <w:t>6</w:t>
            </w:r>
            <w:r>
              <w:rPr>
                <w:rFonts w:hint="eastAsia" w:asciiTheme="minorEastAsia" w:hAnsiTheme="minorEastAsia" w:eastAsiaTheme="minorEastAsia"/>
                <w:sz w:val="22"/>
                <w:szCs w:val="24"/>
              </w:rPr>
              <w:t>分；</w:t>
            </w:r>
          </w:p>
          <w:p w14:paraId="796CA863">
            <w:pPr>
              <w:keepNext w:val="0"/>
              <w:keepLines w:val="0"/>
              <w:pageBreakBefore w:val="0"/>
              <w:widowControl w:val="0"/>
              <w:kinsoku/>
              <w:wordWrap/>
              <w:overflowPunct/>
              <w:topLinePunct w:val="0"/>
              <w:autoSpaceDE w:val="0"/>
              <w:autoSpaceDN w:val="0"/>
              <w:bidi w:val="0"/>
              <w:spacing w:line="240" w:lineRule="auto"/>
              <w:jc w:val="left"/>
              <w:textAlignment w:val="auto"/>
              <w:rPr>
                <w:rFonts w:hint="eastAsia" w:asciiTheme="minorEastAsia" w:hAnsiTheme="minorEastAsia" w:eastAsiaTheme="minorEastAsia"/>
                <w:sz w:val="22"/>
                <w:szCs w:val="24"/>
              </w:rPr>
            </w:pPr>
            <w:r>
              <w:rPr>
                <w:rFonts w:hint="eastAsia" w:asciiTheme="minorEastAsia" w:hAnsiTheme="minorEastAsia" w:eastAsiaTheme="minorEastAsia"/>
                <w:sz w:val="22"/>
                <w:szCs w:val="24"/>
                <w:lang w:eastAsia="zh-CN"/>
              </w:rPr>
              <w:t>（</w:t>
            </w:r>
            <w:r>
              <w:rPr>
                <w:rFonts w:hint="eastAsia" w:asciiTheme="minorEastAsia" w:hAnsiTheme="minorEastAsia" w:eastAsiaTheme="minorEastAsia"/>
                <w:sz w:val="22"/>
                <w:szCs w:val="24"/>
                <w:lang w:val="en-US" w:eastAsia="zh-CN"/>
              </w:rPr>
              <w:t>2</w:t>
            </w:r>
            <w:r>
              <w:rPr>
                <w:rFonts w:hint="eastAsia" w:asciiTheme="minorEastAsia" w:hAnsiTheme="minorEastAsia" w:eastAsiaTheme="minorEastAsia"/>
                <w:sz w:val="22"/>
                <w:szCs w:val="24"/>
                <w:lang w:eastAsia="zh-CN"/>
              </w:rPr>
              <w:t>）</w:t>
            </w:r>
            <w:r>
              <w:rPr>
                <w:rFonts w:hint="eastAsia" w:asciiTheme="minorEastAsia" w:hAnsiTheme="minorEastAsia" w:eastAsiaTheme="minorEastAsia"/>
                <w:sz w:val="22"/>
                <w:szCs w:val="24"/>
              </w:rPr>
              <w:t>进度控制措施适合本项目采购需求，完整详细，具有可行性、实用性、针对性，得3分；</w:t>
            </w:r>
          </w:p>
          <w:p w14:paraId="6AED4F75">
            <w:pPr>
              <w:keepNext w:val="0"/>
              <w:keepLines w:val="0"/>
              <w:pageBreakBefore w:val="0"/>
              <w:widowControl w:val="0"/>
              <w:kinsoku/>
              <w:wordWrap/>
              <w:overflowPunct/>
              <w:topLinePunct w:val="0"/>
              <w:autoSpaceDE w:val="0"/>
              <w:autoSpaceDN w:val="0"/>
              <w:bidi w:val="0"/>
              <w:spacing w:line="240" w:lineRule="auto"/>
              <w:jc w:val="left"/>
              <w:textAlignment w:val="auto"/>
              <w:rPr>
                <w:rFonts w:hint="eastAsia" w:asciiTheme="minorEastAsia" w:hAnsiTheme="minorEastAsia" w:eastAsiaTheme="minorEastAsia"/>
                <w:sz w:val="22"/>
                <w:szCs w:val="24"/>
              </w:rPr>
            </w:pPr>
            <w:r>
              <w:rPr>
                <w:rFonts w:hint="eastAsia" w:asciiTheme="minorEastAsia" w:hAnsiTheme="minorEastAsia" w:eastAsiaTheme="minorEastAsia"/>
                <w:sz w:val="22"/>
                <w:szCs w:val="24"/>
                <w:lang w:eastAsia="zh-CN"/>
              </w:rPr>
              <w:t>（</w:t>
            </w:r>
            <w:r>
              <w:rPr>
                <w:rFonts w:hint="eastAsia" w:asciiTheme="minorEastAsia" w:hAnsiTheme="minorEastAsia" w:eastAsiaTheme="minorEastAsia"/>
                <w:sz w:val="22"/>
                <w:szCs w:val="24"/>
                <w:lang w:val="en-US" w:eastAsia="zh-CN"/>
              </w:rPr>
              <w:t>3</w:t>
            </w:r>
            <w:r>
              <w:rPr>
                <w:rFonts w:hint="eastAsia" w:asciiTheme="minorEastAsia" w:hAnsiTheme="minorEastAsia" w:eastAsiaTheme="minorEastAsia"/>
                <w:sz w:val="22"/>
                <w:szCs w:val="24"/>
                <w:lang w:eastAsia="zh-CN"/>
              </w:rPr>
              <w:t>）</w:t>
            </w:r>
            <w:r>
              <w:rPr>
                <w:rFonts w:hint="eastAsia" w:asciiTheme="minorEastAsia" w:hAnsiTheme="minorEastAsia" w:eastAsiaTheme="minorEastAsia"/>
                <w:sz w:val="22"/>
                <w:szCs w:val="24"/>
              </w:rPr>
              <w:t>进度控制措施基本适合本项目采购需求，可行性、实用性、针对性有待改善，得1分；</w:t>
            </w:r>
          </w:p>
          <w:p w14:paraId="54D0DB33">
            <w:pPr>
              <w:keepNext w:val="0"/>
              <w:keepLines w:val="0"/>
              <w:pageBreakBefore w:val="0"/>
              <w:widowControl w:val="0"/>
              <w:kinsoku/>
              <w:wordWrap/>
              <w:overflowPunct/>
              <w:topLinePunct w:val="0"/>
              <w:autoSpaceDE w:val="0"/>
              <w:autoSpaceDN w:val="0"/>
              <w:bidi w:val="0"/>
              <w:spacing w:line="240" w:lineRule="auto"/>
              <w:jc w:val="left"/>
              <w:textAlignment w:val="auto"/>
              <w:rPr>
                <w:rFonts w:hint="eastAsia" w:asciiTheme="minorEastAsia" w:hAnsiTheme="minorEastAsia" w:eastAsiaTheme="minorEastAsia"/>
                <w:sz w:val="22"/>
                <w:szCs w:val="24"/>
              </w:rPr>
            </w:pPr>
            <w:r>
              <w:rPr>
                <w:rFonts w:hint="eastAsia" w:asciiTheme="minorEastAsia" w:hAnsiTheme="minorEastAsia" w:eastAsiaTheme="minorEastAsia"/>
                <w:sz w:val="22"/>
                <w:szCs w:val="24"/>
              </w:rPr>
              <w:t>（4）措施不可行或者未提供得0分。</w:t>
            </w:r>
          </w:p>
        </w:tc>
        <w:tc>
          <w:tcPr>
            <w:tcW w:w="1402" w:type="dxa"/>
            <w:tcBorders>
              <w:top w:val="single" w:color="auto" w:sz="4" w:space="0"/>
              <w:left w:val="single" w:color="auto" w:sz="4" w:space="0"/>
              <w:bottom w:val="single" w:color="auto" w:sz="4" w:space="0"/>
              <w:right w:val="single" w:color="auto" w:sz="4" w:space="0"/>
            </w:tcBorders>
            <w:vAlign w:val="center"/>
          </w:tcPr>
          <w:p w14:paraId="5C6AEE79">
            <w:pPr>
              <w:keepNext w:val="0"/>
              <w:keepLines w:val="0"/>
              <w:pageBreakBefore w:val="0"/>
              <w:widowControl w:val="0"/>
              <w:kinsoku/>
              <w:wordWrap/>
              <w:overflowPunct/>
              <w:topLinePunct w:val="0"/>
              <w:bidi w:val="0"/>
              <w:spacing w:line="240" w:lineRule="auto"/>
              <w:jc w:val="center"/>
              <w:textAlignment w:val="auto"/>
              <w:rPr>
                <w:rFonts w:hint="default" w:asciiTheme="minorEastAsia" w:hAnsiTheme="minorEastAsia" w:eastAsiaTheme="minorEastAsia"/>
                <w:b/>
                <w:bCs/>
                <w:sz w:val="24"/>
                <w:lang w:val="en-US" w:eastAsia="zh-CN"/>
              </w:rPr>
            </w:pPr>
            <w:r>
              <w:rPr>
                <w:rFonts w:hint="eastAsia" w:asciiTheme="minorEastAsia" w:hAnsiTheme="minorEastAsia" w:eastAsiaTheme="minorEastAsia"/>
                <w:b/>
                <w:bCs/>
                <w:sz w:val="24"/>
                <w:lang w:val="en-US" w:eastAsia="zh-CN"/>
              </w:rPr>
              <w:t>0-6</w:t>
            </w:r>
          </w:p>
        </w:tc>
      </w:tr>
      <w:tr w14:paraId="2A009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1715" w:type="dxa"/>
            <w:tcBorders>
              <w:left w:val="single" w:color="auto" w:sz="4" w:space="0"/>
              <w:right w:val="single" w:color="auto" w:sz="4" w:space="0"/>
            </w:tcBorders>
            <w:vAlign w:val="center"/>
          </w:tcPr>
          <w:p w14:paraId="2D6CB78A">
            <w:pPr>
              <w:keepNext w:val="0"/>
              <w:keepLines w:val="0"/>
              <w:pageBreakBefore w:val="0"/>
              <w:widowControl w:val="0"/>
              <w:kinsoku/>
              <w:wordWrap/>
              <w:overflowPunct/>
              <w:topLinePunct w:val="0"/>
              <w:bidi w:val="0"/>
              <w:spacing w:line="240" w:lineRule="auto"/>
              <w:jc w:val="center"/>
              <w:textAlignment w:val="auto"/>
              <w:rPr>
                <w:rFonts w:asciiTheme="minorEastAsia" w:hAnsiTheme="minorEastAsia" w:eastAsiaTheme="minorEastAsia"/>
                <w:sz w:val="24"/>
              </w:rPr>
            </w:pPr>
            <w:r>
              <w:rPr>
                <w:rFonts w:hint="eastAsia" w:asciiTheme="minorEastAsia" w:hAnsiTheme="minorEastAsia" w:eastAsiaTheme="minorEastAsia"/>
                <w:sz w:val="24"/>
              </w:rPr>
              <w:t>价格分</w:t>
            </w:r>
          </w:p>
          <w:p w14:paraId="25246510">
            <w:pPr>
              <w:keepNext w:val="0"/>
              <w:keepLines w:val="0"/>
              <w:pageBreakBefore w:val="0"/>
              <w:widowControl w:val="0"/>
              <w:kinsoku/>
              <w:wordWrap/>
              <w:overflowPunct/>
              <w:topLinePunct w:val="0"/>
              <w:bidi w:val="0"/>
              <w:spacing w:line="240" w:lineRule="auto"/>
              <w:jc w:val="center"/>
              <w:textAlignment w:val="auto"/>
              <w:rPr>
                <w:rFonts w:asciiTheme="minorEastAsia" w:hAnsiTheme="minorEastAsia" w:eastAsiaTheme="minorEastAsia"/>
                <w:b/>
                <w:bCs/>
                <w:sz w:val="24"/>
              </w:rPr>
            </w:pPr>
            <w:r>
              <w:rPr>
                <w:rFonts w:hint="eastAsia" w:asciiTheme="minorEastAsia" w:hAnsiTheme="minorEastAsia" w:eastAsiaTheme="minorEastAsia"/>
                <w:sz w:val="24"/>
              </w:rPr>
              <w:t>（</w:t>
            </w:r>
            <w:r>
              <w:rPr>
                <w:rFonts w:hint="eastAsia" w:asciiTheme="minorEastAsia" w:hAnsiTheme="minorEastAsia" w:eastAsiaTheme="minorEastAsia"/>
                <w:sz w:val="24"/>
                <w:u w:val="single"/>
              </w:rPr>
              <w:t>10</w:t>
            </w:r>
            <w:r>
              <w:rPr>
                <w:rFonts w:hint="eastAsia" w:asciiTheme="minorEastAsia" w:hAnsiTheme="minorEastAsia" w:eastAsiaTheme="minorEastAsia"/>
                <w:sz w:val="24"/>
              </w:rPr>
              <w:t>分）</w:t>
            </w:r>
          </w:p>
        </w:tc>
        <w:tc>
          <w:tcPr>
            <w:tcW w:w="8196" w:type="dxa"/>
            <w:gridSpan w:val="3"/>
            <w:tcBorders>
              <w:top w:val="single" w:color="auto" w:sz="4" w:space="0"/>
              <w:left w:val="single" w:color="auto" w:sz="4" w:space="0"/>
              <w:bottom w:val="single" w:color="auto" w:sz="4" w:space="0"/>
              <w:right w:val="single" w:color="auto" w:sz="4" w:space="0"/>
            </w:tcBorders>
            <w:vAlign w:val="center"/>
          </w:tcPr>
          <w:p w14:paraId="1427426C">
            <w:pPr>
              <w:keepNext w:val="0"/>
              <w:keepLines w:val="0"/>
              <w:pageBreakBefore w:val="0"/>
              <w:widowControl w:val="0"/>
              <w:kinsoku/>
              <w:wordWrap/>
              <w:overflowPunct/>
              <w:topLinePunct w:val="0"/>
              <w:bidi w:val="0"/>
              <w:spacing w:line="240" w:lineRule="auto"/>
              <w:textAlignment w:val="auto"/>
              <w:rPr>
                <w:rFonts w:asciiTheme="minorEastAsia" w:hAnsiTheme="minorEastAsia" w:eastAsiaTheme="minorEastAsia"/>
                <w:sz w:val="24"/>
              </w:rPr>
            </w:pPr>
            <w:r>
              <w:rPr>
                <w:rFonts w:hint="eastAsia" w:asciiTheme="minorEastAsia" w:hAnsiTheme="minorEastAsia" w:eastAsiaTheme="minorEastAsia"/>
                <w:sz w:val="24"/>
              </w:rPr>
              <w:t>价格分统一采用低价优先法，即满足竞争性磋商文件要求且价格最低的最后报价为评标基准价，其价格分为满分</w:t>
            </w:r>
            <w:r>
              <w:rPr>
                <w:rFonts w:hint="eastAsia" w:asciiTheme="minorEastAsia" w:hAnsiTheme="minorEastAsia" w:eastAsiaTheme="minorEastAsia"/>
                <w:sz w:val="24"/>
                <w:u w:val="single"/>
              </w:rPr>
              <w:t>10</w:t>
            </w:r>
            <w:r>
              <w:rPr>
                <w:rFonts w:hint="eastAsia" w:asciiTheme="minorEastAsia" w:hAnsiTheme="minorEastAsia" w:eastAsiaTheme="minorEastAsia"/>
                <w:sz w:val="24"/>
              </w:rPr>
              <w:t>分。其他供应商的价格分统一按照下列公式计算：</w:t>
            </w:r>
          </w:p>
          <w:p w14:paraId="3E3FDF75">
            <w:pPr>
              <w:keepNext w:val="0"/>
              <w:keepLines w:val="0"/>
              <w:pageBreakBefore w:val="0"/>
              <w:widowControl w:val="0"/>
              <w:kinsoku/>
              <w:wordWrap/>
              <w:overflowPunct/>
              <w:topLinePunct w:val="0"/>
              <w:bidi w:val="0"/>
              <w:spacing w:line="240" w:lineRule="auto"/>
              <w:textAlignment w:val="auto"/>
              <w:rPr>
                <w:rFonts w:asciiTheme="minorEastAsia" w:hAnsiTheme="minorEastAsia" w:eastAsiaTheme="minorEastAsia"/>
                <w:sz w:val="24"/>
              </w:rPr>
            </w:pPr>
            <w:r>
              <w:rPr>
                <w:rFonts w:hint="eastAsia" w:asciiTheme="minorEastAsia" w:hAnsiTheme="minorEastAsia" w:eastAsiaTheme="minorEastAsia"/>
                <w:sz w:val="24"/>
              </w:rPr>
              <w:t>最后报价得分＝（评标基准价/</w:t>
            </w:r>
            <w:r>
              <w:rPr>
                <w:rFonts w:hint="eastAsia" w:ascii="宋体" w:hAnsi="宋体" w:eastAsia="宋体"/>
                <w:sz w:val="24"/>
              </w:rPr>
              <w:t>最后</w:t>
            </w:r>
            <w:r>
              <w:rPr>
                <w:rFonts w:hint="eastAsia" w:asciiTheme="minorEastAsia" w:hAnsiTheme="minorEastAsia" w:eastAsiaTheme="minorEastAsia"/>
                <w:sz w:val="24"/>
              </w:rPr>
              <w:t>报价）×</w:t>
            </w:r>
            <w:r>
              <w:rPr>
                <w:rFonts w:hint="eastAsia" w:asciiTheme="minorEastAsia" w:hAnsiTheme="minorEastAsia" w:eastAsiaTheme="minorEastAsia"/>
                <w:sz w:val="24"/>
                <w:u w:val="single"/>
              </w:rPr>
              <w:t>10</w:t>
            </w:r>
            <w:r>
              <w:rPr>
                <w:rFonts w:hint="eastAsia" w:asciiTheme="minorEastAsia" w:hAnsiTheme="minorEastAsia" w:eastAsiaTheme="minorEastAsia"/>
                <w:sz w:val="24"/>
              </w:rPr>
              <w:t>％×100</w:t>
            </w:r>
          </w:p>
          <w:p w14:paraId="70914CE0">
            <w:pPr>
              <w:keepNext w:val="0"/>
              <w:keepLines w:val="0"/>
              <w:pageBreakBefore w:val="0"/>
              <w:widowControl w:val="0"/>
              <w:kinsoku/>
              <w:wordWrap/>
              <w:overflowPunct/>
              <w:topLinePunct w:val="0"/>
              <w:bidi w:val="0"/>
              <w:spacing w:line="240" w:lineRule="auto"/>
              <w:textAlignment w:val="auto"/>
              <w:rPr>
                <w:rFonts w:asciiTheme="minorEastAsia" w:hAnsiTheme="minorEastAsia" w:eastAsiaTheme="minorEastAsia"/>
                <w:b/>
                <w:bCs/>
                <w:sz w:val="24"/>
              </w:rPr>
            </w:pPr>
            <w:r>
              <w:rPr>
                <w:rFonts w:hint="eastAsia" w:asciiTheme="minorEastAsia" w:hAnsiTheme="minorEastAsia" w:eastAsiaTheme="minorEastAsia"/>
                <w:b/>
                <w:bCs/>
                <w:sz w:val="24"/>
              </w:rPr>
              <w:t>最后报价得分保留二位小数，小数点后第三位四舍五入。</w:t>
            </w:r>
          </w:p>
        </w:tc>
      </w:tr>
    </w:tbl>
    <w:p w14:paraId="5D0E84E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.3</w:t>
      </w:r>
      <w:r>
        <w:rPr>
          <w:rFonts w:hint="eastAsia" w:asciiTheme="minorEastAsia" w:hAnsiTheme="minorEastAsia" w:eastAsiaTheme="minorEastAsia"/>
          <w:sz w:val="24"/>
        </w:rPr>
        <w:t>分值汇总</w:t>
      </w:r>
    </w:p>
    <w:p w14:paraId="4A3C076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（1）竞争性磋商小组各成员应当独立对每个有效响应的文件进行评价、打分，然后汇总每个供应商每项评分因素的得分</w:t>
      </w:r>
      <w:r>
        <w:rPr>
          <w:rFonts w:asciiTheme="minorEastAsia" w:hAnsiTheme="minorEastAsia" w:eastAsiaTheme="minorEastAsia"/>
          <w:sz w:val="24"/>
        </w:rPr>
        <w:t>，再</w:t>
      </w:r>
      <w:r>
        <w:rPr>
          <w:rFonts w:hint="eastAsia" w:asciiTheme="minorEastAsia" w:hAnsiTheme="minorEastAsia" w:eastAsiaTheme="minorEastAsia"/>
          <w:sz w:val="24"/>
        </w:rPr>
        <w:t>取各位评委评分之平均值，四舍五入保留至小数点后两位数，得到该供应商的技术资信分。</w:t>
      </w:r>
    </w:p>
    <w:p w14:paraId="108A9CF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将每个</w:t>
      </w:r>
      <w:r>
        <w:rPr>
          <w:rFonts w:hint="eastAsia" w:asciiTheme="minorEastAsia" w:hAnsiTheme="minorEastAsia" w:eastAsiaTheme="minorEastAsia"/>
          <w:sz w:val="24"/>
        </w:rPr>
        <w:t>供应商</w:t>
      </w:r>
      <w:r>
        <w:rPr>
          <w:rFonts w:asciiTheme="minorEastAsia" w:hAnsiTheme="minorEastAsia" w:eastAsiaTheme="minorEastAsia"/>
          <w:sz w:val="24"/>
        </w:rPr>
        <w:t>的技术资信分加上根据上述标准计算出的价格分，即为该</w:t>
      </w:r>
      <w:r>
        <w:rPr>
          <w:rFonts w:hint="eastAsia" w:asciiTheme="minorEastAsia" w:hAnsiTheme="minorEastAsia" w:eastAsiaTheme="minorEastAsia"/>
          <w:sz w:val="24"/>
        </w:rPr>
        <w:t>供应商</w:t>
      </w:r>
      <w:r>
        <w:rPr>
          <w:rFonts w:asciiTheme="minorEastAsia" w:hAnsiTheme="minorEastAsia" w:eastAsiaTheme="minorEastAsia"/>
          <w:sz w:val="24"/>
        </w:rPr>
        <w:t>的综合总得分。</w:t>
      </w:r>
    </w:p>
    <w:p w14:paraId="191F21D9">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27B92530">
      <w:pPr>
        <w:spacing w:line="360" w:lineRule="auto"/>
        <w:jc w:val="center"/>
        <w:outlineLvl w:val="1"/>
        <w:rPr>
          <w:rFonts w:asciiTheme="minorEastAsia" w:hAnsiTheme="minorEastAsia" w:eastAsiaTheme="minorEastAsia"/>
          <w:b/>
          <w:sz w:val="28"/>
        </w:rPr>
      </w:pPr>
      <w:bookmarkStart w:id="14" w:name="_Toc2472"/>
      <w:r>
        <w:rPr>
          <w:rFonts w:hint="eastAsia" w:asciiTheme="minorEastAsia" w:hAnsiTheme="minorEastAsia" w:eastAsiaTheme="minorEastAsia"/>
          <w:b/>
          <w:sz w:val="28"/>
        </w:rPr>
        <w:t xml:space="preserve">第五章  </w:t>
      </w:r>
      <w:r>
        <w:rPr>
          <w:rFonts w:asciiTheme="minorEastAsia" w:hAnsiTheme="minorEastAsia" w:eastAsiaTheme="minorEastAsia"/>
          <w:b/>
          <w:sz w:val="28"/>
        </w:rPr>
        <w:t>采购合同</w:t>
      </w:r>
      <w:bookmarkEnd w:id="14"/>
    </w:p>
    <w:p w14:paraId="5D4A3988">
      <w:pPr>
        <w:pStyle w:val="12"/>
        <w:bidi w:val="0"/>
        <w:jc w:val="left"/>
        <w:rPr>
          <w:rFonts w:hint="eastAsia"/>
        </w:rPr>
      </w:pPr>
      <w:bookmarkStart w:id="15" w:name="_Toc29662"/>
    </w:p>
    <w:p w14:paraId="096DDB82">
      <w:pPr>
        <w:pStyle w:val="12"/>
        <w:bidi w:val="0"/>
        <w:jc w:val="left"/>
        <w:rPr>
          <w:rFonts w:hint="eastAsia"/>
        </w:rPr>
      </w:pPr>
    </w:p>
    <w:p w14:paraId="370341D7">
      <w:pPr>
        <w:pStyle w:val="12"/>
        <w:bidi w:val="0"/>
        <w:jc w:val="left"/>
        <w:rPr>
          <w:rFonts w:hint="eastAsia"/>
        </w:rPr>
      </w:pPr>
    </w:p>
    <w:p w14:paraId="27B8947E">
      <w:pPr>
        <w:pStyle w:val="12"/>
        <w:bidi w:val="0"/>
        <w:jc w:val="left"/>
        <w:rPr>
          <w:rFonts w:hint="eastAsia"/>
        </w:rPr>
      </w:pPr>
    </w:p>
    <w:p w14:paraId="096EEFE5">
      <w:pPr>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b/>
          <w:bCs/>
          <w:color w:val="auto"/>
          <w:kern w:val="44"/>
          <w:sz w:val="28"/>
          <w:szCs w:val="28"/>
          <w:highlight w:val="none"/>
          <w:u w:val="none"/>
          <w:lang w:eastAsia="zh-CN"/>
        </w:rPr>
        <w:t>淠史杭水利文化展示中心项目第三方检测</w:t>
      </w:r>
    </w:p>
    <w:p w14:paraId="45EA42FC">
      <w:pPr>
        <w:widowControl w:val="0"/>
        <w:autoSpaceDE w:val="0"/>
        <w:autoSpaceDN w:val="0"/>
        <w:adjustRightInd w:val="0"/>
        <w:rPr>
          <w:rFonts w:hint="eastAsia" w:ascii="宋体" w:hAnsi="宋体" w:eastAsia="宋体" w:cs="宋体"/>
          <w:color w:val="auto"/>
          <w:sz w:val="28"/>
          <w:szCs w:val="28"/>
          <w:highlight w:val="none"/>
          <w:lang w:val="en-US" w:eastAsia="zh-CN" w:bidi="ar-SA"/>
        </w:rPr>
      </w:pPr>
    </w:p>
    <w:p w14:paraId="0842A0BE">
      <w:pPr>
        <w:widowControl w:val="0"/>
        <w:spacing w:after="120"/>
        <w:ind w:left="420" w:leftChars="200" w:firstLine="560" w:firstLineChars="200"/>
        <w:jc w:val="both"/>
        <w:rPr>
          <w:rFonts w:hint="eastAsia" w:ascii="宋体" w:hAnsi="宋体" w:eastAsia="宋体" w:cs="宋体"/>
          <w:color w:val="auto"/>
          <w:kern w:val="2"/>
          <w:sz w:val="28"/>
          <w:szCs w:val="28"/>
          <w:highlight w:val="none"/>
          <w:lang w:val="en-US" w:eastAsia="zh-CN" w:bidi="ar-SA"/>
        </w:rPr>
      </w:pPr>
    </w:p>
    <w:p w14:paraId="77AAAAD0">
      <w:pPr>
        <w:widowControl w:val="0"/>
        <w:autoSpaceDE w:val="0"/>
        <w:autoSpaceDN w:val="0"/>
        <w:adjustRightInd w:val="0"/>
        <w:spacing w:after="120" w:line="360" w:lineRule="auto"/>
        <w:ind w:right="-21" w:rightChars="-10" w:firstLine="630" w:firstLineChars="225"/>
        <w:jc w:val="both"/>
        <w:rPr>
          <w:rFonts w:hint="eastAsia" w:ascii="宋体" w:hAnsi="宋体" w:eastAsia="宋体" w:cs="宋体"/>
          <w:color w:val="auto"/>
          <w:kern w:val="0"/>
          <w:sz w:val="28"/>
          <w:szCs w:val="28"/>
          <w:highlight w:val="none"/>
          <w:lang w:val="en-US" w:eastAsia="zh-CN" w:bidi="ar-SA"/>
        </w:rPr>
      </w:pPr>
    </w:p>
    <w:p w14:paraId="6BE5EB96">
      <w:pPr>
        <w:widowControl w:val="0"/>
        <w:spacing w:after="120"/>
        <w:ind w:left="420" w:leftChars="200" w:firstLine="560" w:firstLineChars="200"/>
        <w:jc w:val="both"/>
        <w:rPr>
          <w:rFonts w:hint="eastAsia" w:ascii="宋体" w:hAnsi="宋体" w:eastAsia="宋体" w:cs="宋体"/>
          <w:color w:val="auto"/>
          <w:kern w:val="2"/>
          <w:sz w:val="28"/>
          <w:szCs w:val="28"/>
          <w:highlight w:val="none"/>
          <w:lang w:val="en-US" w:eastAsia="zh-CN" w:bidi="ar-SA"/>
        </w:rPr>
      </w:pPr>
    </w:p>
    <w:p w14:paraId="6DB14250">
      <w:pPr>
        <w:widowControl w:val="0"/>
        <w:autoSpaceDE w:val="0"/>
        <w:autoSpaceDN w:val="0"/>
        <w:adjustRightInd w:val="0"/>
        <w:spacing w:after="120" w:line="360" w:lineRule="auto"/>
        <w:ind w:right="-21" w:rightChars="-10" w:firstLine="630" w:firstLineChars="225"/>
        <w:jc w:val="both"/>
        <w:rPr>
          <w:rFonts w:hint="eastAsia" w:ascii="宋体" w:hAnsi="宋体" w:eastAsia="宋体" w:cs="宋体"/>
          <w:color w:val="auto"/>
          <w:kern w:val="0"/>
          <w:sz w:val="28"/>
          <w:szCs w:val="28"/>
          <w:highlight w:val="none"/>
          <w:lang w:val="en-US" w:eastAsia="zh-CN" w:bidi="ar-SA"/>
        </w:rPr>
      </w:pPr>
    </w:p>
    <w:p w14:paraId="45CE1478">
      <w:pPr>
        <w:widowControl w:val="0"/>
        <w:spacing w:after="120"/>
        <w:ind w:left="420" w:leftChars="200" w:firstLine="560" w:firstLineChars="200"/>
        <w:jc w:val="both"/>
        <w:rPr>
          <w:rFonts w:hint="eastAsia" w:ascii="宋体" w:hAnsi="宋体" w:eastAsia="宋体" w:cs="宋体"/>
          <w:color w:val="auto"/>
          <w:kern w:val="2"/>
          <w:sz w:val="28"/>
          <w:szCs w:val="28"/>
          <w:highlight w:val="none"/>
          <w:lang w:val="en-US" w:eastAsia="zh-CN" w:bidi="ar-SA"/>
        </w:rPr>
      </w:pPr>
    </w:p>
    <w:p w14:paraId="57CBFA9E">
      <w:pPr>
        <w:widowControl w:val="0"/>
        <w:autoSpaceDE w:val="0"/>
        <w:autoSpaceDN w:val="0"/>
        <w:adjustRightInd w:val="0"/>
        <w:spacing w:after="120" w:line="360" w:lineRule="auto"/>
        <w:ind w:right="-21" w:rightChars="-10" w:firstLine="630" w:firstLineChars="225"/>
        <w:jc w:val="both"/>
        <w:rPr>
          <w:rFonts w:hint="eastAsia" w:ascii="宋体" w:hAnsi="宋体" w:eastAsia="宋体" w:cs="宋体"/>
          <w:color w:val="auto"/>
          <w:kern w:val="0"/>
          <w:sz w:val="28"/>
          <w:szCs w:val="28"/>
          <w:highlight w:val="none"/>
          <w:lang w:val="en-US" w:eastAsia="zh-CN" w:bidi="ar-SA"/>
        </w:rPr>
      </w:pPr>
    </w:p>
    <w:p w14:paraId="7D051C75">
      <w:pPr>
        <w:widowControl w:val="0"/>
        <w:spacing w:after="120"/>
        <w:ind w:left="420" w:leftChars="200" w:firstLine="560" w:firstLineChars="200"/>
        <w:jc w:val="both"/>
        <w:rPr>
          <w:rFonts w:hint="eastAsia" w:ascii="宋体" w:hAnsi="宋体" w:eastAsia="宋体" w:cs="宋体"/>
          <w:color w:val="auto"/>
          <w:kern w:val="2"/>
          <w:sz w:val="28"/>
          <w:szCs w:val="28"/>
          <w:highlight w:val="none"/>
          <w:lang w:val="en-US" w:eastAsia="zh-CN" w:bidi="ar-SA"/>
        </w:rPr>
      </w:pPr>
    </w:p>
    <w:p w14:paraId="4BA6EAEE">
      <w:pPr>
        <w:widowControl w:val="0"/>
        <w:autoSpaceDE w:val="0"/>
        <w:autoSpaceDN w:val="0"/>
        <w:adjustRightInd w:val="0"/>
        <w:spacing w:after="120" w:line="360" w:lineRule="auto"/>
        <w:ind w:right="-21" w:rightChars="-10" w:firstLine="630" w:firstLineChars="225"/>
        <w:jc w:val="both"/>
        <w:rPr>
          <w:rFonts w:hint="eastAsia" w:ascii="宋体" w:hAnsi="宋体" w:eastAsia="宋体" w:cs="宋体"/>
          <w:color w:val="auto"/>
          <w:kern w:val="0"/>
          <w:sz w:val="28"/>
          <w:szCs w:val="28"/>
          <w:highlight w:val="none"/>
          <w:lang w:val="en-US" w:eastAsia="zh-CN" w:bidi="ar-SA"/>
        </w:rPr>
      </w:pPr>
    </w:p>
    <w:p w14:paraId="41061651">
      <w:pPr>
        <w:widowControl w:val="0"/>
        <w:spacing w:after="120"/>
        <w:ind w:left="420" w:leftChars="200" w:firstLine="560" w:firstLineChars="200"/>
        <w:jc w:val="both"/>
        <w:rPr>
          <w:rFonts w:hint="eastAsia" w:ascii="宋体" w:hAnsi="宋体" w:eastAsia="宋体" w:cs="宋体"/>
          <w:color w:val="auto"/>
          <w:kern w:val="2"/>
          <w:sz w:val="28"/>
          <w:szCs w:val="28"/>
          <w:highlight w:val="none"/>
          <w:lang w:val="en-US" w:eastAsia="zh-CN" w:bidi="ar-SA"/>
        </w:rPr>
      </w:pPr>
    </w:p>
    <w:p w14:paraId="76B4E194">
      <w:pPr>
        <w:widowControl w:val="0"/>
        <w:autoSpaceDE w:val="0"/>
        <w:autoSpaceDN w:val="0"/>
        <w:adjustRightInd w:val="0"/>
        <w:spacing w:after="120" w:line="360" w:lineRule="auto"/>
        <w:ind w:right="-21" w:rightChars="-10" w:firstLine="540" w:firstLineChars="225"/>
        <w:jc w:val="both"/>
        <w:rPr>
          <w:rFonts w:hint="eastAsia" w:ascii="Arial" w:hAnsi="Arial" w:eastAsia="仿宋_GB2312" w:cs="Times New Roman"/>
          <w:kern w:val="0"/>
          <w:sz w:val="24"/>
          <w:szCs w:val="32"/>
          <w:highlight w:val="none"/>
          <w:lang w:val="en-US" w:eastAsia="zh-CN" w:bidi="ar-SA"/>
        </w:rPr>
      </w:pPr>
    </w:p>
    <w:p w14:paraId="008FEBF5">
      <w:pPr>
        <w:widowControl w:val="0"/>
        <w:autoSpaceDE w:val="0"/>
        <w:autoSpaceDN w:val="0"/>
        <w:adjustRightInd w:val="0"/>
        <w:rPr>
          <w:rFonts w:hint="eastAsia" w:ascii="宋体" w:hAnsi="宋体" w:eastAsia="宋体" w:cs="宋体"/>
          <w:color w:val="auto"/>
          <w:sz w:val="28"/>
          <w:szCs w:val="28"/>
          <w:highlight w:val="none"/>
          <w:lang w:val="en-US" w:eastAsia="zh-CN" w:bidi="ar-SA"/>
        </w:rPr>
      </w:pPr>
    </w:p>
    <w:p w14:paraId="0D8017FC">
      <w:pPr>
        <w:spacing w:before="120" w:beforeLines="50" w:after="72" w:afterLines="30" w:line="360" w:lineRule="auto"/>
        <w:jc w:val="center"/>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委托人（甲方）：</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六安市水利局   </w:t>
      </w:r>
    </w:p>
    <w:p w14:paraId="6F49EEB0">
      <w:pPr>
        <w:spacing w:before="120" w:beforeLines="50" w:after="72" w:afterLines="30" w:line="360" w:lineRule="auto"/>
        <w:ind w:firstLine="2640" w:firstLineChars="1100"/>
        <w:jc w:val="both"/>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受托方</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14:paraId="24AA64AE">
      <w:pPr>
        <w:spacing w:before="120" w:beforeLines="50" w:after="72" w:afterLines="30" w:line="360" w:lineRule="auto"/>
        <w:ind w:firstLine="2880" w:firstLineChars="120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签订地点：</w:t>
      </w:r>
      <w:r>
        <w:rPr>
          <w:rFonts w:hint="eastAsia" w:ascii="宋体" w:hAnsi="宋体" w:eastAsia="宋体" w:cs="宋体"/>
          <w:color w:val="auto"/>
          <w:sz w:val="24"/>
          <w:szCs w:val="24"/>
          <w:highlight w:val="none"/>
          <w:u w:val="single"/>
          <w:lang w:val="en-US" w:eastAsia="zh-CN"/>
        </w:rPr>
        <w:t>六安市水利局</w:t>
      </w:r>
    </w:p>
    <w:p w14:paraId="253D16B6">
      <w:pPr>
        <w:pStyle w:val="12"/>
        <w:bidi w:val="0"/>
        <w:jc w:val="left"/>
        <w:rPr>
          <w:rFonts w:hint="eastAsia"/>
        </w:rPr>
        <w:sectPr>
          <w:footerReference r:id="rId6" w:type="default"/>
          <w:pgSz w:w="11910" w:h="16840"/>
          <w:pgMar w:top="1417" w:right="1417" w:bottom="1417" w:left="1417" w:header="877" w:footer="1304" w:gutter="0"/>
          <w:pgNumType w:fmt="decimal"/>
          <w:cols w:space="720" w:num="1"/>
        </w:sectPr>
      </w:pPr>
    </w:p>
    <w:p w14:paraId="305C08DF">
      <w:pPr>
        <w:pStyle w:val="53"/>
        <w:numPr>
          <w:ilvl w:val="2"/>
          <w:numId w:val="0"/>
        </w:numPr>
        <w:tabs>
          <w:tab w:val="left" w:pos="1315"/>
          <w:tab w:val="left" w:pos="8276"/>
        </w:tabs>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u w:val="single"/>
          <w:lang w:val="zh-CN" w:bidi="zh-CN"/>
        </w:rPr>
        <w:t>六安市水利局</w:t>
      </w:r>
      <w:r>
        <w:rPr>
          <w:rFonts w:hint="eastAsia" w:ascii="宋体" w:hAnsi="宋体" w:eastAsia="宋体" w:cs="宋体"/>
          <w:color w:val="auto"/>
          <w:kern w:val="0"/>
          <w:sz w:val="24"/>
          <w:szCs w:val="24"/>
          <w:highlight w:val="none"/>
          <w:lang w:val="zh-CN" w:bidi="zh-CN"/>
        </w:rPr>
        <w:t>（以下简称：甲方）通过</w:t>
      </w:r>
      <w:r>
        <w:rPr>
          <w:rFonts w:hint="eastAsia" w:ascii="宋体" w:hAnsi="宋体" w:eastAsia="宋体" w:cs="宋体"/>
          <w:color w:val="auto"/>
          <w:kern w:val="0"/>
          <w:sz w:val="24"/>
          <w:szCs w:val="24"/>
          <w:highlight w:val="none"/>
          <w:lang w:val="en-US" w:bidi="zh-CN"/>
        </w:rPr>
        <w:t>安徽安兆工程技术咨询服务有限公司</w:t>
      </w:r>
      <w:r>
        <w:rPr>
          <w:rFonts w:hint="eastAsia" w:ascii="宋体" w:hAnsi="宋体" w:eastAsia="宋体" w:cs="宋体"/>
          <w:color w:val="auto"/>
          <w:kern w:val="0"/>
          <w:sz w:val="24"/>
          <w:szCs w:val="24"/>
          <w:highlight w:val="none"/>
          <w:lang w:val="zh-CN" w:bidi="zh-CN"/>
        </w:rPr>
        <w:t>组织的公开招标方式采购活动，经评标委员会评定，</w:t>
      </w:r>
      <w:r>
        <w:rPr>
          <w:rFonts w:hint="eastAsia" w:ascii="宋体" w:hAnsi="宋体" w:eastAsia="宋体" w:cs="宋体"/>
          <w:color w:val="auto"/>
          <w:kern w:val="0"/>
          <w:sz w:val="24"/>
          <w:szCs w:val="24"/>
          <w:highlight w:val="none"/>
          <w:u w:val="single"/>
          <w:lang w:val="zh-CN" w:bidi="zh-CN"/>
        </w:rPr>
        <w:t>（中标人名称）</w:t>
      </w:r>
      <w:r>
        <w:rPr>
          <w:rFonts w:hint="eastAsia" w:ascii="宋体" w:hAnsi="宋体" w:eastAsia="宋体" w:cs="宋体"/>
          <w:color w:val="auto"/>
          <w:kern w:val="0"/>
          <w:sz w:val="24"/>
          <w:szCs w:val="24"/>
          <w:highlight w:val="none"/>
          <w:lang w:val="zh-CN" w:bidi="zh-CN"/>
        </w:rPr>
        <w:t>（以下简称：乙方）为本项目中标人，现按照采购文件确定的事项签订本合同。</w:t>
      </w:r>
    </w:p>
    <w:p w14:paraId="199E4341">
      <w:pPr>
        <w:pStyle w:val="53"/>
        <w:numPr>
          <w:ilvl w:val="2"/>
          <w:numId w:val="0"/>
        </w:numPr>
        <w:tabs>
          <w:tab w:val="left" w:pos="1315"/>
          <w:tab w:val="left" w:pos="8276"/>
        </w:tabs>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根据《中华人民共和国民法典》、《中华人民共和国政府采购法》等相关法律法规之规定，按照平等、自愿、公平和诚实信用的原则，经甲方和乙方协商一致，约定以下合同条款，以兹共同遵守、全面履行。</w:t>
      </w:r>
    </w:p>
    <w:p w14:paraId="5F8BDA56">
      <w:pPr>
        <w:pStyle w:val="4"/>
        <w:numPr>
          <w:ilvl w:val="1"/>
          <w:numId w:val="0"/>
        </w:numPr>
        <w:tabs>
          <w:tab w:val="left" w:pos="1142"/>
        </w:tabs>
        <w:adjustRightInd w:val="0"/>
        <w:snapToGrid w:val="0"/>
        <w:spacing w:before="0" w:line="360" w:lineRule="auto"/>
        <w:ind w:firstLine="482"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1.1合同组成部分</w:t>
      </w:r>
    </w:p>
    <w:p w14:paraId="63E5D2A4">
      <w:pPr>
        <w:pStyle w:val="8"/>
        <w:adjustRightInd w:val="0"/>
        <w:snapToGrid w:val="0"/>
        <w:spacing w:line="360" w:lineRule="auto"/>
        <w:ind w:left="0" w:firstLine="480" w:firstLineChars="200"/>
        <w:rPr>
          <w:rFonts w:hint="eastAsia" w:ascii="宋体" w:hAnsi="宋体" w:eastAsia="宋体" w:cs="宋体"/>
          <w:color w:val="auto"/>
          <w:kern w:val="0"/>
          <w:sz w:val="24"/>
          <w:szCs w:val="24"/>
          <w:highlight w:val="none"/>
          <w:lang w:val="zh-CN" w:eastAsia="zh-CN" w:bidi="zh-CN"/>
        </w:rPr>
      </w:pPr>
      <w:r>
        <w:rPr>
          <w:rFonts w:hint="eastAsia" w:ascii="宋体" w:hAnsi="宋体" w:eastAsia="宋体" w:cs="宋体"/>
          <w:color w:val="auto"/>
          <w:kern w:val="0"/>
          <w:sz w:val="24"/>
          <w:szCs w:val="24"/>
          <w:highlight w:val="none"/>
          <w:lang w:val="zh-CN" w:eastAsia="zh-CN" w:bidi="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021E6892">
      <w:pPr>
        <w:pStyle w:val="53"/>
        <w:numPr>
          <w:ilvl w:val="2"/>
          <w:numId w:val="0"/>
        </w:numPr>
        <w:tabs>
          <w:tab w:val="left" w:pos="1315"/>
        </w:tabs>
        <w:autoSpaceDE w:val="0"/>
        <w:autoSpaceDN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bidi="zh-CN"/>
        </w:rPr>
        <w:t>1.1.1</w:t>
      </w:r>
      <w:r>
        <w:rPr>
          <w:rFonts w:hint="eastAsia" w:ascii="宋体" w:hAnsi="宋体" w:eastAsia="宋体" w:cs="宋体"/>
          <w:kern w:val="0"/>
          <w:sz w:val="24"/>
          <w:szCs w:val="24"/>
          <w:highlight w:val="none"/>
        </w:rPr>
        <w:t>本合同及其补充合同、变更协议；</w:t>
      </w:r>
    </w:p>
    <w:p w14:paraId="6AAEEF83">
      <w:pPr>
        <w:pStyle w:val="53"/>
        <w:numPr>
          <w:ilvl w:val="2"/>
          <w:numId w:val="0"/>
        </w:numPr>
        <w:tabs>
          <w:tab w:val="left" w:pos="1315"/>
        </w:tabs>
        <w:autoSpaceDE w:val="0"/>
        <w:autoSpaceDN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bidi="zh-CN"/>
        </w:rPr>
        <w:t>1.1.2</w:t>
      </w:r>
      <w:r>
        <w:rPr>
          <w:rFonts w:hint="eastAsia" w:ascii="宋体" w:hAnsi="宋体" w:eastAsia="宋体" w:cs="宋体"/>
          <w:kern w:val="0"/>
          <w:sz w:val="24"/>
          <w:szCs w:val="24"/>
          <w:highlight w:val="none"/>
        </w:rPr>
        <w:t>中标通知书；</w:t>
      </w:r>
    </w:p>
    <w:p w14:paraId="45503385">
      <w:pPr>
        <w:pStyle w:val="53"/>
        <w:numPr>
          <w:ilvl w:val="2"/>
          <w:numId w:val="0"/>
        </w:numPr>
        <w:tabs>
          <w:tab w:val="left" w:pos="1315"/>
        </w:tabs>
        <w:autoSpaceDE w:val="0"/>
        <w:autoSpaceDN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bidi="zh-CN"/>
        </w:rPr>
        <w:t>1.1.3</w:t>
      </w:r>
      <w:r>
        <w:rPr>
          <w:rFonts w:hint="eastAsia" w:ascii="宋体" w:hAnsi="宋体" w:eastAsia="宋体" w:cs="宋体"/>
          <w:kern w:val="0"/>
          <w:sz w:val="24"/>
          <w:szCs w:val="24"/>
          <w:highlight w:val="none"/>
        </w:rPr>
        <w:t>投标文件（含澄清或者说明文件）；</w:t>
      </w:r>
    </w:p>
    <w:p w14:paraId="4580F859">
      <w:pPr>
        <w:pStyle w:val="53"/>
        <w:numPr>
          <w:ilvl w:val="2"/>
          <w:numId w:val="0"/>
        </w:numPr>
        <w:tabs>
          <w:tab w:val="left" w:pos="1315"/>
        </w:tabs>
        <w:autoSpaceDE w:val="0"/>
        <w:autoSpaceDN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bidi="zh-CN"/>
        </w:rPr>
        <w:t>1.1.4</w:t>
      </w:r>
      <w:r>
        <w:rPr>
          <w:rFonts w:hint="eastAsia" w:ascii="宋体" w:hAnsi="宋体" w:eastAsia="宋体" w:cs="宋体"/>
          <w:kern w:val="0"/>
          <w:sz w:val="24"/>
          <w:szCs w:val="24"/>
          <w:highlight w:val="none"/>
        </w:rPr>
        <w:t>招标文件（含澄清或者修改文件）；</w:t>
      </w:r>
    </w:p>
    <w:p w14:paraId="44AF39E2">
      <w:pPr>
        <w:pStyle w:val="53"/>
        <w:numPr>
          <w:ilvl w:val="2"/>
          <w:numId w:val="0"/>
        </w:numPr>
        <w:tabs>
          <w:tab w:val="left" w:pos="1315"/>
        </w:tabs>
        <w:autoSpaceDE w:val="0"/>
        <w:autoSpaceDN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bidi="zh-CN"/>
        </w:rPr>
        <w:t>1.1.5</w:t>
      </w:r>
      <w:r>
        <w:rPr>
          <w:rFonts w:hint="eastAsia" w:ascii="宋体" w:hAnsi="宋体" w:eastAsia="宋体" w:cs="宋体"/>
          <w:kern w:val="0"/>
          <w:sz w:val="24"/>
          <w:szCs w:val="24"/>
          <w:highlight w:val="none"/>
        </w:rPr>
        <w:t>其他相关采购文件。</w:t>
      </w:r>
    </w:p>
    <w:p w14:paraId="0ED5410A">
      <w:pPr>
        <w:pStyle w:val="4"/>
        <w:numPr>
          <w:ilvl w:val="1"/>
          <w:numId w:val="0"/>
        </w:numPr>
        <w:tabs>
          <w:tab w:val="left" w:pos="1142"/>
        </w:tabs>
        <w:adjustRightInd w:val="0"/>
        <w:snapToGrid w:val="0"/>
        <w:spacing w:before="0" w:line="360" w:lineRule="auto"/>
        <w:ind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1.2服务</w:t>
      </w:r>
    </w:p>
    <w:p w14:paraId="0A31A25B">
      <w:pPr>
        <w:pStyle w:val="53"/>
        <w:numPr>
          <w:ilvl w:val="2"/>
          <w:numId w:val="0"/>
        </w:numPr>
        <w:tabs>
          <w:tab w:val="left" w:pos="1315"/>
          <w:tab w:val="left" w:pos="8276"/>
        </w:tabs>
        <w:autoSpaceDE w:val="0"/>
        <w:autoSpaceDN w:val="0"/>
        <w:adjustRightInd w:val="0"/>
        <w:snapToGrid w:val="0"/>
        <w:spacing w:line="360" w:lineRule="auto"/>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lang w:val="zh-CN" w:bidi="zh-CN"/>
        </w:rPr>
        <w:t>1.2.1</w:t>
      </w:r>
      <w:r>
        <w:rPr>
          <w:rFonts w:hint="eastAsia" w:ascii="宋体" w:hAnsi="宋体" w:eastAsia="宋体" w:cs="宋体"/>
          <w:kern w:val="0"/>
          <w:sz w:val="24"/>
          <w:szCs w:val="24"/>
          <w:highlight w:val="none"/>
        </w:rPr>
        <w:t>服务名称：</w:t>
      </w:r>
      <w:r>
        <w:rPr>
          <w:rFonts w:hint="eastAsia" w:ascii="宋体" w:hAnsi="宋体" w:eastAsia="宋体" w:cs="宋体"/>
          <w:kern w:val="0"/>
          <w:sz w:val="24"/>
          <w:szCs w:val="24"/>
          <w:highlight w:val="none"/>
          <w:u w:val="single"/>
        </w:rPr>
        <w:t>淠史杭水利文化展示中心项目第三方检测</w:t>
      </w:r>
    </w:p>
    <w:p w14:paraId="70907AA6">
      <w:pPr>
        <w:pStyle w:val="53"/>
        <w:numPr>
          <w:ilvl w:val="2"/>
          <w:numId w:val="0"/>
        </w:numPr>
        <w:tabs>
          <w:tab w:val="left" w:pos="1315"/>
          <w:tab w:val="left" w:pos="8276"/>
        </w:tabs>
        <w:autoSpaceDE w:val="0"/>
        <w:autoSpaceDN w:val="0"/>
        <w:adjustRightInd w:val="0"/>
        <w:snapToGrid w:val="0"/>
        <w:spacing w:line="360" w:lineRule="auto"/>
        <w:ind w:firstLine="480" w:firstLineChars="200"/>
        <w:rPr>
          <w:rFonts w:hint="default" w:ascii="宋体" w:hAnsi="宋体" w:eastAsia="宋体" w:cs="宋体"/>
          <w:kern w:val="0"/>
          <w:sz w:val="24"/>
          <w:szCs w:val="24"/>
          <w:highlight w:val="none"/>
          <w:u w:val="single"/>
          <w:lang w:val="en-US" w:eastAsia="zh-CN"/>
        </w:rPr>
      </w:pPr>
      <w:r>
        <w:rPr>
          <w:rFonts w:hint="eastAsia" w:ascii="宋体" w:hAnsi="宋体" w:eastAsia="宋体" w:cs="宋体"/>
          <w:kern w:val="0"/>
          <w:sz w:val="24"/>
          <w:szCs w:val="24"/>
          <w:highlight w:val="none"/>
          <w:lang w:val="zh-CN" w:bidi="zh-CN"/>
        </w:rPr>
        <w:t>1.2.2</w:t>
      </w:r>
      <w:r>
        <w:rPr>
          <w:rFonts w:hint="eastAsia" w:ascii="宋体" w:hAnsi="宋体" w:eastAsia="宋体" w:cs="宋体"/>
          <w:kern w:val="0"/>
          <w:sz w:val="24"/>
          <w:szCs w:val="24"/>
          <w:highlight w:val="none"/>
        </w:rPr>
        <w:t>服务内容：</w:t>
      </w:r>
      <w:r>
        <w:rPr>
          <w:rFonts w:hint="eastAsia" w:ascii="宋体" w:hAnsi="宋体" w:eastAsia="宋体" w:cs="宋体"/>
          <w:kern w:val="0"/>
          <w:sz w:val="24"/>
          <w:szCs w:val="24"/>
          <w:highlight w:val="none"/>
          <w:u w:val="single"/>
        </w:rPr>
        <w:t>淠史杭水利文化展示中心项目第三方检测</w:t>
      </w:r>
      <w:r>
        <w:rPr>
          <w:rFonts w:hint="eastAsia" w:ascii="宋体" w:hAnsi="宋体" w:eastAsia="宋体" w:cs="宋体"/>
          <w:kern w:val="0"/>
          <w:sz w:val="24"/>
          <w:szCs w:val="24"/>
          <w:highlight w:val="none"/>
          <w:u w:val="single"/>
          <w:lang w:eastAsia="zh-CN"/>
        </w:rPr>
        <w:t>，</w:t>
      </w:r>
      <w:r>
        <w:rPr>
          <w:rFonts w:hint="eastAsia" w:ascii="宋体" w:hAnsi="宋体" w:eastAsia="宋体" w:cs="宋体"/>
          <w:kern w:val="0"/>
          <w:sz w:val="24"/>
          <w:szCs w:val="24"/>
          <w:highlight w:val="none"/>
          <w:u w:val="single"/>
          <w:lang w:val="en-US" w:eastAsia="zh-CN"/>
        </w:rPr>
        <w:t>具体详见第三章采购需求。</w:t>
      </w:r>
    </w:p>
    <w:p w14:paraId="0703F428">
      <w:pPr>
        <w:pStyle w:val="53"/>
        <w:numPr>
          <w:ilvl w:val="2"/>
          <w:numId w:val="0"/>
        </w:numPr>
        <w:tabs>
          <w:tab w:val="left" w:pos="1315"/>
          <w:tab w:val="left" w:pos="8276"/>
        </w:tabs>
        <w:autoSpaceDE w:val="0"/>
        <w:autoSpaceDN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bidi="zh-CN"/>
        </w:rPr>
        <w:t>1.2.3</w:t>
      </w:r>
      <w:r>
        <w:rPr>
          <w:rFonts w:hint="eastAsia" w:ascii="宋体" w:hAnsi="宋体" w:eastAsia="宋体" w:cs="宋体"/>
          <w:kern w:val="0"/>
          <w:sz w:val="24"/>
          <w:szCs w:val="24"/>
          <w:highlight w:val="none"/>
        </w:rPr>
        <w:t>服务质量：</w:t>
      </w:r>
      <w:r>
        <w:rPr>
          <w:rFonts w:hint="eastAsia" w:ascii="宋体" w:hAnsi="宋体" w:eastAsia="宋体" w:cs="宋体"/>
          <w:bCs/>
          <w:kern w:val="0"/>
          <w:sz w:val="24"/>
          <w:szCs w:val="24"/>
          <w:highlight w:val="none"/>
          <w:u w:val="single"/>
        </w:rPr>
        <w:t>符合相关标准及相应的技术规范和采购人要求</w:t>
      </w:r>
      <w:r>
        <w:rPr>
          <w:rFonts w:hint="eastAsia" w:ascii="宋体" w:hAnsi="宋体" w:eastAsia="宋体" w:cs="宋体"/>
          <w:kern w:val="0"/>
          <w:sz w:val="24"/>
          <w:szCs w:val="24"/>
          <w:highlight w:val="none"/>
        </w:rPr>
        <w:t>。</w:t>
      </w:r>
    </w:p>
    <w:p w14:paraId="4ABDBF10">
      <w:pPr>
        <w:pStyle w:val="4"/>
        <w:numPr>
          <w:ilvl w:val="1"/>
          <w:numId w:val="0"/>
        </w:numPr>
        <w:tabs>
          <w:tab w:val="left" w:pos="1142"/>
        </w:tabs>
        <w:adjustRightInd w:val="0"/>
        <w:snapToGrid w:val="0"/>
        <w:spacing w:before="0" w:line="360" w:lineRule="auto"/>
        <w:ind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1.3价款</w:t>
      </w:r>
    </w:p>
    <w:p w14:paraId="616CD8A0">
      <w:pPr>
        <w:pStyle w:val="8"/>
        <w:tabs>
          <w:tab w:val="left" w:pos="3895"/>
          <w:tab w:val="left" w:pos="7856"/>
        </w:tabs>
        <w:adjustRightInd w:val="0"/>
        <w:snapToGrid w:val="0"/>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本合同总价为：￥</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元（大写：人民币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元）。</w:t>
      </w:r>
    </w:p>
    <w:p w14:paraId="5A60A1F3">
      <w:pPr>
        <w:pStyle w:val="8"/>
        <w:tabs>
          <w:tab w:val="left" w:pos="3895"/>
          <w:tab w:val="left" w:pos="7856"/>
        </w:tabs>
        <w:adjustRightInd w:val="0"/>
        <w:snapToGrid w:val="0"/>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分项价格：</w:t>
      </w:r>
    </w:p>
    <w:tbl>
      <w:tblPr>
        <w:tblStyle w:val="2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4317"/>
        <w:gridCol w:w="3239"/>
      </w:tblGrid>
      <w:tr w14:paraId="7BB18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14:paraId="0051AFD8">
            <w:pPr>
              <w:pStyle w:val="73"/>
              <w:spacing w:before="28"/>
              <w:ind w:left="217" w:right="211"/>
              <w:jc w:val="center"/>
              <w:rPr>
                <w:rFonts w:hint="eastAsia" w:ascii="宋体" w:hAnsi="宋体" w:eastAsia="宋体" w:cs="宋体"/>
                <w:snapToGrid w:val="0"/>
                <w:sz w:val="24"/>
                <w:szCs w:val="24"/>
                <w:highlight w:val="none"/>
                <w:lang w:eastAsia="en-US"/>
              </w:rPr>
            </w:pPr>
            <w:r>
              <w:rPr>
                <w:rFonts w:hint="eastAsia" w:ascii="宋体" w:hAnsi="宋体" w:eastAsia="宋体" w:cs="宋体"/>
                <w:snapToGrid w:val="0"/>
                <w:sz w:val="24"/>
                <w:szCs w:val="24"/>
                <w:highlight w:val="none"/>
                <w:lang w:eastAsia="en-US"/>
              </w:rPr>
              <w:t>序号</w:t>
            </w:r>
          </w:p>
        </w:tc>
        <w:tc>
          <w:tcPr>
            <w:tcW w:w="4317" w:type="dxa"/>
            <w:noWrap w:val="0"/>
            <w:vAlign w:val="top"/>
          </w:tcPr>
          <w:p w14:paraId="47E0E323">
            <w:pPr>
              <w:pStyle w:val="73"/>
              <w:spacing w:before="28"/>
              <w:ind w:left="1755" w:right="1551"/>
              <w:jc w:val="center"/>
              <w:rPr>
                <w:rFonts w:hint="eastAsia" w:ascii="宋体" w:hAnsi="宋体" w:eastAsia="宋体" w:cs="宋体"/>
                <w:snapToGrid w:val="0"/>
                <w:sz w:val="24"/>
                <w:szCs w:val="24"/>
                <w:highlight w:val="none"/>
                <w:lang w:eastAsia="en-US"/>
              </w:rPr>
            </w:pPr>
            <w:r>
              <w:rPr>
                <w:rFonts w:hint="eastAsia" w:ascii="宋体" w:hAnsi="宋体" w:eastAsia="宋体" w:cs="宋体"/>
                <w:snapToGrid w:val="0"/>
                <w:sz w:val="24"/>
                <w:szCs w:val="24"/>
                <w:highlight w:val="none"/>
                <w:lang w:eastAsia="en-US"/>
              </w:rPr>
              <w:t>分项名称</w:t>
            </w:r>
          </w:p>
        </w:tc>
        <w:tc>
          <w:tcPr>
            <w:tcW w:w="3239" w:type="dxa"/>
            <w:noWrap w:val="0"/>
            <w:vAlign w:val="top"/>
          </w:tcPr>
          <w:p w14:paraId="3F35841C">
            <w:pPr>
              <w:pStyle w:val="73"/>
              <w:spacing w:before="28"/>
              <w:ind w:left="1116" w:right="1113"/>
              <w:jc w:val="center"/>
              <w:rPr>
                <w:rFonts w:hint="eastAsia" w:ascii="宋体" w:hAnsi="宋体" w:eastAsia="宋体" w:cs="宋体"/>
                <w:snapToGrid w:val="0"/>
                <w:sz w:val="24"/>
                <w:szCs w:val="24"/>
                <w:highlight w:val="none"/>
                <w:lang w:eastAsia="en-US"/>
              </w:rPr>
            </w:pPr>
            <w:r>
              <w:rPr>
                <w:rFonts w:hint="eastAsia" w:ascii="宋体" w:hAnsi="宋体" w:eastAsia="宋体" w:cs="宋体"/>
                <w:snapToGrid w:val="0"/>
                <w:sz w:val="24"/>
                <w:szCs w:val="24"/>
                <w:highlight w:val="none"/>
                <w:lang w:eastAsia="en-US"/>
              </w:rPr>
              <w:t>分项价格</w:t>
            </w:r>
          </w:p>
        </w:tc>
      </w:tr>
      <w:tr w14:paraId="4DDBB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14:paraId="29257B29">
            <w:pPr>
              <w:pStyle w:val="73"/>
              <w:spacing w:line="307" w:lineRule="exact"/>
              <w:ind w:left="6"/>
              <w:jc w:val="center"/>
              <w:rPr>
                <w:rFonts w:hint="eastAsia" w:ascii="宋体" w:hAnsi="宋体" w:eastAsia="宋体" w:cs="宋体"/>
                <w:snapToGrid w:val="0"/>
                <w:sz w:val="24"/>
                <w:szCs w:val="24"/>
                <w:highlight w:val="none"/>
                <w:lang w:eastAsia="en-US"/>
              </w:rPr>
            </w:pPr>
            <w:r>
              <w:rPr>
                <w:rFonts w:hint="eastAsia" w:ascii="宋体" w:hAnsi="宋体" w:eastAsia="宋体" w:cs="宋体"/>
                <w:snapToGrid w:val="0"/>
                <w:sz w:val="24"/>
                <w:szCs w:val="24"/>
                <w:highlight w:val="none"/>
                <w:lang w:eastAsia="en-US"/>
              </w:rPr>
              <w:t>1</w:t>
            </w:r>
          </w:p>
        </w:tc>
        <w:tc>
          <w:tcPr>
            <w:tcW w:w="4317" w:type="dxa"/>
            <w:noWrap w:val="0"/>
            <w:vAlign w:val="top"/>
          </w:tcPr>
          <w:p w14:paraId="2308AC31">
            <w:pPr>
              <w:pStyle w:val="73"/>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淠史杭水利文化展示中心项目第三方检测</w:t>
            </w:r>
          </w:p>
        </w:tc>
        <w:tc>
          <w:tcPr>
            <w:tcW w:w="3239" w:type="dxa"/>
            <w:noWrap w:val="0"/>
            <w:vAlign w:val="top"/>
          </w:tcPr>
          <w:p w14:paraId="5A91ACFC">
            <w:pPr>
              <w:pStyle w:val="73"/>
              <w:rPr>
                <w:rFonts w:hint="eastAsia" w:ascii="宋体" w:hAnsi="宋体" w:eastAsia="宋体" w:cs="宋体"/>
                <w:snapToGrid w:val="0"/>
                <w:sz w:val="24"/>
                <w:szCs w:val="24"/>
                <w:highlight w:val="none"/>
              </w:rPr>
            </w:pPr>
          </w:p>
        </w:tc>
      </w:tr>
      <w:tr w14:paraId="3FBFF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14:paraId="492CAF8D">
            <w:pPr>
              <w:pStyle w:val="73"/>
              <w:ind w:left="6"/>
              <w:jc w:val="center"/>
              <w:rPr>
                <w:rFonts w:hint="eastAsia" w:ascii="宋体" w:hAnsi="宋体" w:eastAsia="宋体" w:cs="宋体"/>
                <w:snapToGrid w:val="0"/>
                <w:sz w:val="24"/>
                <w:szCs w:val="24"/>
                <w:highlight w:val="none"/>
                <w:lang w:eastAsia="en-US"/>
              </w:rPr>
            </w:pPr>
            <w:r>
              <w:rPr>
                <w:rFonts w:hint="eastAsia" w:ascii="宋体" w:hAnsi="宋体" w:eastAsia="宋体" w:cs="宋体"/>
                <w:snapToGrid w:val="0"/>
                <w:sz w:val="24"/>
                <w:szCs w:val="24"/>
                <w:highlight w:val="none"/>
                <w:lang w:eastAsia="en-US"/>
              </w:rPr>
              <w:t>2</w:t>
            </w:r>
          </w:p>
        </w:tc>
        <w:tc>
          <w:tcPr>
            <w:tcW w:w="4317" w:type="dxa"/>
            <w:noWrap w:val="0"/>
            <w:vAlign w:val="top"/>
          </w:tcPr>
          <w:p w14:paraId="21436DF4">
            <w:pPr>
              <w:pStyle w:val="73"/>
              <w:rPr>
                <w:rFonts w:hint="eastAsia" w:ascii="宋体" w:hAnsi="宋体" w:eastAsia="宋体" w:cs="宋体"/>
                <w:snapToGrid w:val="0"/>
                <w:sz w:val="24"/>
                <w:szCs w:val="24"/>
                <w:highlight w:val="none"/>
                <w:lang w:eastAsia="en-US"/>
              </w:rPr>
            </w:pPr>
          </w:p>
        </w:tc>
        <w:tc>
          <w:tcPr>
            <w:tcW w:w="3239" w:type="dxa"/>
            <w:noWrap w:val="0"/>
            <w:vAlign w:val="top"/>
          </w:tcPr>
          <w:p w14:paraId="5951BA61">
            <w:pPr>
              <w:pStyle w:val="73"/>
              <w:rPr>
                <w:rFonts w:hint="eastAsia" w:ascii="宋体" w:hAnsi="宋体" w:eastAsia="宋体" w:cs="宋体"/>
                <w:snapToGrid w:val="0"/>
                <w:sz w:val="24"/>
                <w:szCs w:val="24"/>
                <w:highlight w:val="none"/>
                <w:lang w:eastAsia="en-US"/>
              </w:rPr>
            </w:pPr>
          </w:p>
        </w:tc>
      </w:tr>
      <w:tr w14:paraId="74913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14:paraId="1C5BDF6D">
            <w:pPr>
              <w:pStyle w:val="73"/>
              <w:spacing w:line="307" w:lineRule="exact"/>
              <w:ind w:left="6"/>
              <w:jc w:val="center"/>
              <w:rPr>
                <w:rFonts w:hint="eastAsia" w:ascii="宋体" w:hAnsi="宋体" w:eastAsia="宋体" w:cs="宋体"/>
                <w:snapToGrid w:val="0"/>
                <w:sz w:val="24"/>
                <w:szCs w:val="24"/>
                <w:highlight w:val="none"/>
                <w:lang w:eastAsia="en-US"/>
              </w:rPr>
            </w:pPr>
            <w:r>
              <w:rPr>
                <w:rFonts w:hint="eastAsia" w:ascii="宋体" w:hAnsi="宋体" w:eastAsia="宋体" w:cs="宋体"/>
                <w:snapToGrid w:val="0"/>
                <w:sz w:val="24"/>
                <w:szCs w:val="24"/>
                <w:highlight w:val="none"/>
                <w:lang w:eastAsia="en-US"/>
              </w:rPr>
              <w:t>3</w:t>
            </w:r>
          </w:p>
        </w:tc>
        <w:tc>
          <w:tcPr>
            <w:tcW w:w="4317" w:type="dxa"/>
            <w:noWrap w:val="0"/>
            <w:vAlign w:val="top"/>
          </w:tcPr>
          <w:p w14:paraId="684D5A66">
            <w:pPr>
              <w:pStyle w:val="73"/>
              <w:rPr>
                <w:rFonts w:hint="eastAsia" w:ascii="宋体" w:hAnsi="宋体" w:eastAsia="宋体" w:cs="宋体"/>
                <w:snapToGrid w:val="0"/>
                <w:sz w:val="24"/>
                <w:szCs w:val="24"/>
                <w:highlight w:val="none"/>
                <w:lang w:eastAsia="en-US"/>
              </w:rPr>
            </w:pPr>
          </w:p>
        </w:tc>
        <w:tc>
          <w:tcPr>
            <w:tcW w:w="3239" w:type="dxa"/>
            <w:noWrap w:val="0"/>
            <w:vAlign w:val="top"/>
          </w:tcPr>
          <w:p w14:paraId="5024E642">
            <w:pPr>
              <w:pStyle w:val="73"/>
              <w:rPr>
                <w:rFonts w:hint="eastAsia" w:ascii="宋体" w:hAnsi="宋体" w:eastAsia="宋体" w:cs="宋体"/>
                <w:snapToGrid w:val="0"/>
                <w:sz w:val="24"/>
                <w:szCs w:val="24"/>
                <w:highlight w:val="none"/>
                <w:lang w:eastAsia="en-US"/>
              </w:rPr>
            </w:pPr>
          </w:p>
        </w:tc>
      </w:tr>
      <w:tr w14:paraId="27AF2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14:paraId="15329965">
            <w:pPr>
              <w:pStyle w:val="73"/>
              <w:spacing w:line="307" w:lineRule="exact"/>
              <w:ind w:left="217" w:right="211"/>
              <w:jc w:val="center"/>
              <w:rPr>
                <w:rFonts w:hint="eastAsia" w:ascii="宋体" w:hAnsi="宋体" w:eastAsia="宋体" w:cs="宋体"/>
                <w:snapToGrid w:val="0"/>
                <w:sz w:val="24"/>
                <w:szCs w:val="24"/>
                <w:highlight w:val="none"/>
                <w:lang w:eastAsia="en-US"/>
              </w:rPr>
            </w:pPr>
            <w:r>
              <w:rPr>
                <w:rFonts w:hint="eastAsia" w:ascii="宋体" w:hAnsi="宋体" w:eastAsia="宋体" w:cs="宋体"/>
                <w:snapToGrid w:val="0"/>
                <w:sz w:val="24"/>
                <w:szCs w:val="24"/>
                <w:highlight w:val="none"/>
                <w:lang w:eastAsia="en-US"/>
              </w:rPr>
              <w:t>„„</w:t>
            </w:r>
          </w:p>
        </w:tc>
        <w:tc>
          <w:tcPr>
            <w:tcW w:w="4317" w:type="dxa"/>
            <w:noWrap w:val="0"/>
            <w:vAlign w:val="top"/>
          </w:tcPr>
          <w:p w14:paraId="600BFD47">
            <w:pPr>
              <w:pStyle w:val="73"/>
              <w:rPr>
                <w:rFonts w:hint="eastAsia" w:ascii="宋体" w:hAnsi="宋体" w:eastAsia="宋体" w:cs="宋体"/>
                <w:snapToGrid w:val="0"/>
                <w:sz w:val="24"/>
                <w:szCs w:val="24"/>
                <w:highlight w:val="none"/>
                <w:lang w:eastAsia="en-US"/>
              </w:rPr>
            </w:pPr>
          </w:p>
        </w:tc>
        <w:tc>
          <w:tcPr>
            <w:tcW w:w="3239" w:type="dxa"/>
            <w:noWrap w:val="0"/>
            <w:vAlign w:val="top"/>
          </w:tcPr>
          <w:p w14:paraId="724CDA54">
            <w:pPr>
              <w:pStyle w:val="73"/>
              <w:rPr>
                <w:rFonts w:hint="eastAsia" w:ascii="宋体" w:hAnsi="宋体" w:eastAsia="宋体" w:cs="宋体"/>
                <w:snapToGrid w:val="0"/>
                <w:sz w:val="24"/>
                <w:szCs w:val="24"/>
                <w:highlight w:val="none"/>
                <w:lang w:eastAsia="en-US"/>
              </w:rPr>
            </w:pPr>
          </w:p>
        </w:tc>
      </w:tr>
      <w:tr w14:paraId="39386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275" w:type="dxa"/>
            <w:gridSpan w:val="2"/>
            <w:noWrap w:val="0"/>
            <w:vAlign w:val="top"/>
          </w:tcPr>
          <w:p w14:paraId="33C11F5A">
            <w:pPr>
              <w:pStyle w:val="73"/>
              <w:spacing w:before="28"/>
              <w:ind w:left="2481" w:right="2264"/>
              <w:jc w:val="center"/>
              <w:rPr>
                <w:rFonts w:hint="eastAsia" w:ascii="宋体" w:hAnsi="宋体" w:eastAsia="宋体" w:cs="宋体"/>
                <w:snapToGrid w:val="0"/>
                <w:sz w:val="24"/>
                <w:szCs w:val="24"/>
                <w:highlight w:val="none"/>
                <w:lang w:eastAsia="en-US"/>
              </w:rPr>
            </w:pPr>
            <w:r>
              <w:rPr>
                <w:rFonts w:hint="eastAsia" w:ascii="宋体" w:hAnsi="宋体" w:eastAsia="宋体" w:cs="宋体"/>
                <w:snapToGrid w:val="0"/>
                <w:sz w:val="24"/>
                <w:szCs w:val="24"/>
                <w:highlight w:val="none"/>
                <w:lang w:eastAsia="en-US"/>
              </w:rPr>
              <w:t>总价</w:t>
            </w:r>
          </w:p>
        </w:tc>
        <w:tc>
          <w:tcPr>
            <w:tcW w:w="3239" w:type="dxa"/>
            <w:tcBorders>
              <w:right w:val="single" w:color="000000" w:sz="6" w:space="0"/>
            </w:tcBorders>
            <w:noWrap w:val="0"/>
            <w:vAlign w:val="top"/>
          </w:tcPr>
          <w:p w14:paraId="3F899B43">
            <w:pPr>
              <w:pStyle w:val="73"/>
              <w:rPr>
                <w:rFonts w:hint="eastAsia" w:ascii="宋体" w:hAnsi="宋体" w:eastAsia="宋体" w:cs="宋体"/>
                <w:snapToGrid w:val="0"/>
                <w:sz w:val="24"/>
                <w:szCs w:val="24"/>
                <w:highlight w:val="none"/>
                <w:lang w:eastAsia="en-US"/>
              </w:rPr>
            </w:pPr>
          </w:p>
        </w:tc>
      </w:tr>
    </w:tbl>
    <w:p w14:paraId="3D46CC8E">
      <w:pPr>
        <w:pStyle w:val="4"/>
        <w:numPr>
          <w:ilvl w:val="1"/>
          <w:numId w:val="0"/>
        </w:numPr>
        <w:tabs>
          <w:tab w:val="left" w:pos="1142"/>
        </w:tabs>
        <w:adjustRightInd w:val="0"/>
        <w:snapToGrid w:val="0"/>
        <w:spacing w:before="0" w:line="360" w:lineRule="auto"/>
        <w:ind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1.4付款方式和发票开具方式</w:t>
      </w:r>
    </w:p>
    <w:p w14:paraId="1373B7A2">
      <w:pPr>
        <w:pStyle w:val="53"/>
        <w:numPr>
          <w:ilvl w:val="2"/>
          <w:numId w:val="0"/>
        </w:numPr>
        <w:tabs>
          <w:tab w:val="left" w:pos="1315"/>
          <w:tab w:val="left" w:pos="8276"/>
        </w:tabs>
        <w:autoSpaceDE w:val="0"/>
        <w:autoSpaceDN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bidi="zh-CN"/>
        </w:rPr>
        <w:t>1.4.1</w:t>
      </w:r>
      <w:r>
        <w:rPr>
          <w:rFonts w:hint="eastAsia" w:ascii="宋体" w:hAnsi="宋体" w:eastAsia="宋体" w:cs="宋体"/>
          <w:kern w:val="0"/>
          <w:sz w:val="24"/>
          <w:szCs w:val="24"/>
          <w:highlight w:val="none"/>
        </w:rPr>
        <w:t>付款方式：</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p>
    <w:p w14:paraId="69B8E32F">
      <w:pPr>
        <w:pStyle w:val="53"/>
        <w:numPr>
          <w:ilvl w:val="2"/>
          <w:numId w:val="0"/>
        </w:numPr>
        <w:tabs>
          <w:tab w:val="left" w:pos="1315"/>
          <w:tab w:val="left" w:pos="8276"/>
        </w:tabs>
        <w:autoSpaceDE w:val="0"/>
        <w:autoSpaceDN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bidi="zh-CN"/>
        </w:rPr>
        <w:t>1.4.2</w:t>
      </w:r>
      <w:r>
        <w:rPr>
          <w:rFonts w:hint="eastAsia" w:ascii="宋体" w:hAnsi="宋体" w:eastAsia="宋体" w:cs="宋体"/>
          <w:kern w:val="0"/>
          <w:sz w:val="24"/>
          <w:szCs w:val="24"/>
          <w:highlight w:val="none"/>
        </w:rPr>
        <w:t>发票开具方式：</w:t>
      </w:r>
      <w:r>
        <w:rPr>
          <w:rFonts w:hint="eastAsia" w:ascii="宋体" w:hAnsi="宋体" w:eastAsia="宋体" w:cs="宋体"/>
          <w:kern w:val="0"/>
          <w:sz w:val="24"/>
          <w:szCs w:val="24"/>
          <w:highlight w:val="none"/>
          <w:u w:val="single"/>
        </w:rPr>
        <w:t>增值税发票</w:t>
      </w:r>
      <w:r>
        <w:rPr>
          <w:rFonts w:hint="eastAsia" w:ascii="宋体" w:hAnsi="宋体" w:eastAsia="宋体" w:cs="宋体"/>
          <w:kern w:val="0"/>
          <w:sz w:val="24"/>
          <w:szCs w:val="24"/>
          <w:highlight w:val="none"/>
        </w:rPr>
        <w:t>。</w:t>
      </w:r>
    </w:p>
    <w:p w14:paraId="76026DF8">
      <w:pPr>
        <w:pStyle w:val="4"/>
        <w:numPr>
          <w:ilvl w:val="1"/>
          <w:numId w:val="0"/>
        </w:numPr>
        <w:tabs>
          <w:tab w:val="left" w:pos="1142"/>
        </w:tabs>
        <w:adjustRightInd w:val="0"/>
        <w:snapToGrid w:val="0"/>
        <w:spacing w:before="0" w:line="360" w:lineRule="auto"/>
        <w:ind w:firstLine="482"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1.5服务期限、地点和方式</w:t>
      </w:r>
    </w:p>
    <w:p w14:paraId="5661F2E8">
      <w:pPr>
        <w:pStyle w:val="53"/>
        <w:numPr>
          <w:ilvl w:val="2"/>
          <w:numId w:val="0"/>
        </w:numPr>
        <w:tabs>
          <w:tab w:val="left" w:pos="1315"/>
          <w:tab w:val="left" w:pos="8276"/>
        </w:tabs>
        <w:autoSpaceDE w:val="0"/>
        <w:autoSpaceDN w:val="0"/>
        <w:adjustRightInd w:val="0"/>
        <w:snapToGrid w:val="0"/>
        <w:spacing w:line="360" w:lineRule="auto"/>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zh-CN" w:bidi="zh-CN"/>
        </w:rPr>
        <w:t>1.5.1</w:t>
      </w:r>
      <w:r>
        <w:rPr>
          <w:rFonts w:hint="eastAsia" w:ascii="宋体" w:hAnsi="宋体" w:eastAsia="宋体" w:cs="宋体"/>
          <w:kern w:val="0"/>
          <w:sz w:val="24"/>
          <w:szCs w:val="24"/>
          <w:highlight w:val="none"/>
        </w:rPr>
        <w:t>服务期限：</w:t>
      </w:r>
      <w:r>
        <w:rPr>
          <w:rFonts w:hint="eastAsia" w:ascii="宋体" w:hAnsi="宋体" w:eastAsia="宋体" w:cs="宋体"/>
          <w:kern w:val="0"/>
          <w:sz w:val="24"/>
          <w:szCs w:val="24"/>
          <w:highlight w:val="none"/>
          <w:u w:val="single"/>
        </w:rPr>
        <w:t>施工工期120天。检测服务期自检测合同签订之日起至全部工程竣工验收合格、移交完成止</w:t>
      </w:r>
      <w:r>
        <w:rPr>
          <w:rFonts w:hint="eastAsia" w:ascii="宋体" w:hAnsi="宋体" w:eastAsia="宋体" w:cs="宋体"/>
          <w:kern w:val="0"/>
          <w:sz w:val="24"/>
          <w:szCs w:val="24"/>
          <w:highlight w:val="none"/>
          <w:u w:val="single"/>
          <w:lang w:eastAsia="zh-CN"/>
        </w:rPr>
        <w:t>。</w:t>
      </w:r>
    </w:p>
    <w:p w14:paraId="3F9C7068">
      <w:pPr>
        <w:pStyle w:val="53"/>
        <w:numPr>
          <w:ilvl w:val="2"/>
          <w:numId w:val="0"/>
        </w:numPr>
        <w:tabs>
          <w:tab w:val="left" w:pos="1315"/>
          <w:tab w:val="left" w:pos="8276"/>
        </w:tabs>
        <w:autoSpaceDE w:val="0"/>
        <w:autoSpaceDN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bidi="zh-CN"/>
        </w:rPr>
        <w:t>1.5.2</w:t>
      </w:r>
      <w:r>
        <w:rPr>
          <w:rFonts w:hint="eastAsia" w:ascii="宋体" w:hAnsi="宋体" w:eastAsia="宋体" w:cs="宋体"/>
          <w:kern w:val="0"/>
          <w:sz w:val="24"/>
          <w:szCs w:val="24"/>
          <w:highlight w:val="none"/>
        </w:rPr>
        <w:t>服务地点：</w:t>
      </w:r>
      <w:r>
        <w:rPr>
          <w:rFonts w:hint="eastAsia" w:ascii="宋体" w:hAnsi="宋体" w:eastAsia="宋体" w:cs="宋体"/>
          <w:kern w:val="0"/>
          <w:sz w:val="24"/>
          <w:szCs w:val="24"/>
          <w:highlight w:val="none"/>
          <w:u w:val="single"/>
          <w:lang w:val="en-US" w:eastAsia="zh-CN"/>
        </w:rPr>
        <w:t>六安</w:t>
      </w:r>
      <w:r>
        <w:rPr>
          <w:rFonts w:hint="eastAsia" w:ascii="宋体" w:hAnsi="宋体" w:eastAsia="宋体" w:cs="宋体"/>
          <w:kern w:val="0"/>
          <w:sz w:val="24"/>
          <w:szCs w:val="24"/>
          <w:highlight w:val="none"/>
          <w:u w:val="single"/>
        </w:rPr>
        <w:t>市</w:t>
      </w:r>
      <w:r>
        <w:rPr>
          <w:rFonts w:hint="eastAsia" w:ascii="宋体" w:hAnsi="宋体" w:eastAsia="宋体" w:cs="宋体"/>
          <w:kern w:val="0"/>
          <w:sz w:val="24"/>
          <w:szCs w:val="24"/>
          <w:highlight w:val="none"/>
        </w:rPr>
        <w:t>；</w:t>
      </w:r>
    </w:p>
    <w:p w14:paraId="43C302EA">
      <w:pPr>
        <w:pStyle w:val="53"/>
        <w:numPr>
          <w:ilvl w:val="2"/>
          <w:numId w:val="0"/>
        </w:numPr>
        <w:tabs>
          <w:tab w:val="left" w:pos="1315"/>
          <w:tab w:val="left" w:pos="8276"/>
        </w:tabs>
        <w:autoSpaceDE w:val="0"/>
        <w:autoSpaceDN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bidi="zh-CN"/>
        </w:rPr>
        <w:t>1.5.3</w:t>
      </w:r>
      <w:r>
        <w:rPr>
          <w:rFonts w:hint="eastAsia" w:ascii="宋体" w:hAnsi="宋体" w:eastAsia="宋体" w:cs="宋体"/>
          <w:kern w:val="0"/>
          <w:sz w:val="24"/>
          <w:szCs w:val="24"/>
          <w:highlight w:val="none"/>
        </w:rPr>
        <w:t>服务方式：</w:t>
      </w:r>
      <w:r>
        <w:rPr>
          <w:rFonts w:hint="eastAsia" w:ascii="宋体" w:hAnsi="宋体" w:eastAsia="宋体" w:cs="宋体"/>
          <w:kern w:val="0"/>
          <w:sz w:val="24"/>
          <w:szCs w:val="24"/>
          <w:highlight w:val="none"/>
          <w:u w:val="single"/>
        </w:rPr>
        <w:t>采用有偿委托方式</w:t>
      </w:r>
      <w:r>
        <w:rPr>
          <w:rFonts w:hint="eastAsia" w:ascii="宋体" w:hAnsi="宋体" w:eastAsia="宋体" w:cs="宋体"/>
          <w:kern w:val="0"/>
          <w:sz w:val="24"/>
          <w:szCs w:val="24"/>
          <w:highlight w:val="none"/>
        </w:rPr>
        <w:t>。</w:t>
      </w:r>
    </w:p>
    <w:p w14:paraId="26E876BD">
      <w:pPr>
        <w:pStyle w:val="4"/>
        <w:numPr>
          <w:ilvl w:val="1"/>
          <w:numId w:val="0"/>
        </w:numPr>
        <w:tabs>
          <w:tab w:val="left" w:pos="1142"/>
        </w:tabs>
        <w:adjustRightInd w:val="0"/>
        <w:snapToGrid w:val="0"/>
        <w:spacing w:before="0" w:line="360" w:lineRule="auto"/>
        <w:ind w:firstLine="482"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1.6违约责任</w:t>
      </w:r>
    </w:p>
    <w:p w14:paraId="347664CE">
      <w:pPr>
        <w:pStyle w:val="53"/>
        <w:numPr>
          <w:ilvl w:val="2"/>
          <w:numId w:val="0"/>
        </w:numPr>
        <w:tabs>
          <w:tab w:val="left" w:pos="1327"/>
        </w:tabs>
        <w:autoSpaceDE w:val="0"/>
        <w:autoSpaceDN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bidi="zh-CN"/>
        </w:rPr>
        <w:t>1.6.1</w:t>
      </w:r>
      <w:r>
        <w:rPr>
          <w:rFonts w:hint="eastAsia" w:ascii="宋体" w:hAnsi="宋体" w:eastAsia="宋体" w:cs="宋体"/>
          <w:kern w:val="0"/>
          <w:sz w:val="24"/>
          <w:szCs w:val="24"/>
          <w:highlight w:val="none"/>
        </w:rPr>
        <w:t>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kern w:val="0"/>
          <w:sz w:val="24"/>
          <w:szCs w:val="24"/>
          <w:highlight w:val="none"/>
          <w:u w:val="single"/>
        </w:rPr>
        <w:t xml:space="preserve">1 </w:t>
      </w:r>
      <w:r>
        <w:rPr>
          <w:rFonts w:hint="eastAsia" w:ascii="宋体" w:hAnsi="宋体" w:eastAsia="宋体" w:cs="宋体"/>
          <w:kern w:val="0"/>
          <w:sz w:val="24"/>
          <w:szCs w:val="24"/>
          <w:highlight w:val="none"/>
        </w:rPr>
        <w:t>%计算，最高限额为本合同总价的</w:t>
      </w:r>
      <w:r>
        <w:rPr>
          <w:rFonts w:hint="eastAsia" w:ascii="宋体" w:hAnsi="宋体" w:eastAsia="宋体" w:cs="宋体"/>
          <w:kern w:val="0"/>
          <w:sz w:val="24"/>
          <w:szCs w:val="24"/>
          <w:highlight w:val="none"/>
          <w:u w:val="single"/>
        </w:rPr>
        <w:t xml:space="preserve"> 10 </w:t>
      </w:r>
      <w:r>
        <w:rPr>
          <w:rFonts w:hint="eastAsia" w:ascii="宋体" w:hAnsi="宋体" w:eastAsia="宋体" w:cs="宋体"/>
          <w:kern w:val="0"/>
          <w:sz w:val="24"/>
          <w:szCs w:val="24"/>
          <w:highlight w:val="none"/>
        </w:rPr>
        <w:t>%；迟延履行的违约金计算数额达到前述最高限额之日起，甲方有权在要求乙方支付违约金的同时，书面通知乙方解除本合同；</w:t>
      </w:r>
    </w:p>
    <w:p w14:paraId="3D44B1E5">
      <w:pPr>
        <w:pStyle w:val="53"/>
        <w:numPr>
          <w:ilvl w:val="2"/>
          <w:numId w:val="0"/>
        </w:numPr>
        <w:tabs>
          <w:tab w:val="left" w:pos="1327"/>
        </w:tabs>
        <w:autoSpaceDE w:val="0"/>
        <w:autoSpaceDN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bidi="zh-CN"/>
        </w:rPr>
        <w:t>1.6.2</w:t>
      </w:r>
      <w:r>
        <w:rPr>
          <w:rFonts w:hint="eastAsia" w:ascii="宋体" w:hAnsi="宋体" w:eastAsia="宋体" w:cs="宋体"/>
          <w:kern w:val="0"/>
          <w:sz w:val="24"/>
          <w:szCs w:val="24"/>
          <w:highlight w:val="none"/>
        </w:rPr>
        <w:t>除不可抗力外，如果甲方没有按照本合同约定的付款方式付款，那么乙方可要求甲方支付违约金，违约金按每迟延付款一日的应付而未付款的</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1</w:t>
      </w:r>
      <w:r>
        <w:rPr>
          <w:rFonts w:hint="eastAsia" w:ascii="宋体" w:hAnsi="宋体" w:eastAsia="宋体" w:cs="宋体"/>
          <w:kern w:val="0"/>
          <w:sz w:val="24"/>
          <w:szCs w:val="24"/>
          <w:highlight w:val="none"/>
        </w:rPr>
        <w:t xml:space="preserve"> %计算，最高限额为本合同总价的</w:t>
      </w:r>
      <w:r>
        <w:rPr>
          <w:rFonts w:hint="eastAsia" w:ascii="宋体" w:hAnsi="宋体" w:eastAsia="宋体" w:cs="宋体"/>
          <w:kern w:val="0"/>
          <w:sz w:val="24"/>
          <w:szCs w:val="24"/>
          <w:highlight w:val="none"/>
          <w:u w:val="single"/>
        </w:rPr>
        <w:t xml:space="preserve"> 10 </w:t>
      </w:r>
      <w:r>
        <w:rPr>
          <w:rFonts w:hint="eastAsia" w:ascii="宋体" w:hAnsi="宋体" w:eastAsia="宋体" w:cs="宋体"/>
          <w:kern w:val="0"/>
          <w:sz w:val="24"/>
          <w:szCs w:val="24"/>
          <w:highlight w:val="none"/>
        </w:rPr>
        <w:t>%；迟延付款的违约金计算数额达到前述最高限额之日起，乙方有权在要求甲方支付违约金的同时，书面通知甲方解除本合同；</w:t>
      </w:r>
    </w:p>
    <w:p w14:paraId="1E286797">
      <w:pPr>
        <w:pStyle w:val="53"/>
        <w:numPr>
          <w:ilvl w:val="2"/>
          <w:numId w:val="0"/>
        </w:numPr>
        <w:tabs>
          <w:tab w:val="left" w:pos="1327"/>
        </w:tabs>
        <w:autoSpaceDE w:val="0"/>
        <w:autoSpaceDN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bidi="zh-CN"/>
        </w:rPr>
        <w:t>1.6.3</w:t>
      </w:r>
      <w:r>
        <w:rPr>
          <w:rFonts w:hint="eastAsia" w:ascii="宋体" w:hAnsi="宋体" w:eastAsia="宋体" w:cs="宋体"/>
          <w:kern w:val="0"/>
          <w:sz w:val="24"/>
          <w:szCs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95F6C51">
      <w:pPr>
        <w:pStyle w:val="53"/>
        <w:numPr>
          <w:ilvl w:val="2"/>
          <w:numId w:val="0"/>
        </w:numPr>
        <w:tabs>
          <w:tab w:val="left" w:pos="1327"/>
        </w:tabs>
        <w:autoSpaceDE w:val="0"/>
        <w:autoSpaceDN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bidi="zh-CN"/>
        </w:rPr>
        <w:t>1.6.4</w:t>
      </w:r>
      <w:r>
        <w:rPr>
          <w:rFonts w:hint="eastAsia" w:ascii="宋体" w:hAnsi="宋体" w:eastAsia="宋体" w:cs="宋体"/>
          <w:kern w:val="0"/>
          <w:sz w:val="24"/>
          <w:szCs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54823DF">
      <w:pPr>
        <w:pStyle w:val="53"/>
        <w:numPr>
          <w:ilvl w:val="2"/>
          <w:numId w:val="0"/>
        </w:numPr>
        <w:tabs>
          <w:tab w:val="left" w:pos="1327"/>
        </w:tabs>
        <w:autoSpaceDE w:val="0"/>
        <w:autoSpaceDN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bidi="zh-CN"/>
        </w:rPr>
        <w:t>1.6.5</w:t>
      </w:r>
      <w:r>
        <w:rPr>
          <w:rFonts w:hint="eastAsia" w:ascii="宋体" w:hAnsi="宋体" w:eastAsia="宋体" w:cs="宋体"/>
          <w:kern w:val="0"/>
          <w:sz w:val="24"/>
          <w:szCs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9CCC1EF">
      <w:pPr>
        <w:pStyle w:val="53"/>
        <w:numPr>
          <w:ilvl w:val="2"/>
          <w:numId w:val="0"/>
        </w:numPr>
        <w:tabs>
          <w:tab w:val="left" w:pos="1327"/>
        </w:tabs>
        <w:autoSpaceDE w:val="0"/>
        <w:autoSpaceDN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bidi="zh-CN"/>
        </w:rPr>
        <w:t>1.6.6</w:t>
      </w:r>
      <w:r>
        <w:rPr>
          <w:rFonts w:hint="eastAsia" w:ascii="宋体" w:hAnsi="宋体" w:eastAsia="宋体" w:cs="宋体"/>
          <w:kern w:val="0"/>
          <w:sz w:val="24"/>
          <w:szCs w:val="24"/>
          <w:highlight w:val="none"/>
        </w:rPr>
        <w:t>如果出现采购监督管理部门在处理投诉事项期间，书面通知甲方暂停采购活动的情形，或者询问或质疑事项可能影响中标结果的，导致甲方中止履行合同的情形，均不视为甲方违约；</w:t>
      </w:r>
    </w:p>
    <w:p w14:paraId="38433BD0">
      <w:pPr>
        <w:pStyle w:val="53"/>
        <w:numPr>
          <w:ilvl w:val="2"/>
          <w:numId w:val="0"/>
        </w:numPr>
        <w:tabs>
          <w:tab w:val="left" w:pos="1327"/>
        </w:tabs>
        <w:autoSpaceDE w:val="0"/>
        <w:autoSpaceDN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bidi="zh-CN"/>
        </w:rPr>
        <w:t>1.6.7</w:t>
      </w:r>
      <w:r>
        <w:rPr>
          <w:rFonts w:hint="eastAsia" w:ascii="宋体" w:hAnsi="宋体" w:eastAsia="宋体" w:cs="宋体"/>
          <w:kern w:val="0"/>
          <w:sz w:val="24"/>
          <w:szCs w:val="24"/>
          <w:highlight w:val="none"/>
        </w:rPr>
        <w:t>因甲方未按合同约定受领标的物、擅自解除合同导致乙方遭受的直接损失，乙方可向甲方申请赔偿，赔偿金额由双方协商-致;针对因政策变化等原因不能签订合同或解除合同时，造成乙方合法利益受损的情形，可以给予乙方合理补偿，补偿金额不得超过乙方的直接损失。</w:t>
      </w:r>
    </w:p>
    <w:p w14:paraId="3C5C8B8A">
      <w:pPr>
        <w:pStyle w:val="4"/>
        <w:numPr>
          <w:ilvl w:val="1"/>
          <w:numId w:val="0"/>
        </w:numPr>
        <w:tabs>
          <w:tab w:val="left" w:pos="1142"/>
        </w:tabs>
        <w:adjustRightInd w:val="0"/>
        <w:snapToGrid w:val="0"/>
        <w:spacing w:before="0" w:line="360" w:lineRule="auto"/>
        <w:ind w:firstLine="482"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1.7合同争议的解决</w:t>
      </w:r>
    </w:p>
    <w:p w14:paraId="0BE41A92">
      <w:pPr>
        <w:pStyle w:val="53"/>
        <w:numPr>
          <w:ilvl w:val="2"/>
          <w:numId w:val="0"/>
        </w:numPr>
        <w:tabs>
          <w:tab w:val="left" w:pos="1327"/>
        </w:tabs>
        <w:autoSpaceDE w:val="0"/>
        <w:autoSpaceDN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kern w:val="0"/>
          <w:sz w:val="24"/>
          <w:szCs w:val="24"/>
          <w:highlight w:val="none"/>
          <w:u w:val="single"/>
        </w:rPr>
        <w:t xml:space="preserve"> 1.7.1</w:t>
      </w:r>
      <w:r>
        <w:rPr>
          <w:rFonts w:hint="eastAsia" w:ascii="宋体" w:hAnsi="宋体" w:eastAsia="宋体" w:cs="宋体"/>
          <w:kern w:val="0"/>
          <w:sz w:val="24"/>
          <w:szCs w:val="24"/>
          <w:highlight w:val="none"/>
        </w:rPr>
        <w:t>种方式解决：</w:t>
      </w:r>
    </w:p>
    <w:p w14:paraId="61970232">
      <w:pPr>
        <w:pStyle w:val="53"/>
        <w:numPr>
          <w:ilvl w:val="2"/>
          <w:numId w:val="0"/>
        </w:numPr>
        <w:tabs>
          <w:tab w:val="left" w:pos="1327"/>
        </w:tabs>
        <w:autoSpaceDE w:val="0"/>
        <w:autoSpaceDN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bidi="zh-CN"/>
        </w:rPr>
        <w:t>1.7.1</w:t>
      </w:r>
      <w:r>
        <w:rPr>
          <w:rFonts w:hint="eastAsia" w:ascii="宋体" w:hAnsi="宋体" w:eastAsia="宋体" w:cs="宋体"/>
          <w:kern w:val="0"/>
          <w:sz w:val="24"/>
          <w:szCs w:val="24"/>
          <w:highlight w:val="none"/>
        </w:rPr>
        <w:t>将争议提交</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六安</w:t>
      </w:r>
      <w:r>
        <w:rPr>
          <w:rFonts w:hint="eastAsia" w:ascii="宋体" w:hAnsi="宋体" w:eastAsia="宋体" w:cs="宋体"/>
          <w:kern w:val="0"/>
          <w:sz w:val="24"/>
          <w:szCs w:val="24"/>
          <w:highlight w:val="none"/>
          <w:u w:val="single"/>
        </w:rPr>
        <w:t>市</w:t>
      </w:r>
      <w:r>
        <w:rPr>
          <w:rFonts w:hint="eastAsia" w:ascii="宋体" w:hAnsi="宋体" w:eastAsia="宋体" w:cs="宋体"/>
          <w:kern w:val="0"/>
          <w:sz w:val="24"/>
          <w:szCs w:val="24"/>
          <w:highlight w:val="none"/>
        </w:rPr>
        <w:t>仲裁委员会依申请仲裁时其现行有效的仲裁规则裁决；</w:t>
      </w:r>
    </w:p>
    <w:p w14:paraId="5D604DE5">
      <w:pPr>
        <w:pStyle w:val="53"/>
        <w:numPr>
          <w:ilvl w:val="2"/>
          <w:numId w:val="0"/>
        </w:numPr>
        <w:tabs>
          <w:tab w:val="left" w:pos="1327"/>
        </w:tabs>
        <w:autoSpaceDE w:val="0"/>
        <w:autoSpaceDN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bidi="zh-CN"/>
        </w:rPr>
        <w:t>1.7.2</w:t>
      </w:r>
      <w:r>
        <w:rPr>
          <w:rFonts w:hint="eastAsia" w:ascii="宋体" w:hAnsi="宋体" w:eastAsia="宋体" w:cs="宋体"/>
          <w:kern w:val="0"/>
          <w:sz w:val="24"/>
          <w:szCs w:val="24"/>
          <w:highlight w:val="none"/>
        </w:rPr>
        <w:t>向</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人民法院起诉。</w:t>
      </w:r>
    </w:p>
    <w:p w14:paraId="5EB21085">
      <w:pPr>
        <w:pStyle w:val="4"/>
        <w:numPr>
          <w:ilvl w:val="1"/>
          <w:numId w:val="0"/>
        </w:numPr>
        <w:tabs>
          <w:tab w:val="left" w:pos="1142"/>
        </w:tabs>
        <w:adjustRightInd w:val="0"/>
        <w:snapToGrid w:val="0"/>
        <w:spacing w:before="0" w:line="360" w:lineRule="auto"/>
        <w:ind w:firstLine="482"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1.8合同生效</w:t>
      </w:r>
    </w:p>
    <w:p w14:paraId="03821F5E">
      <w:pPr>
        <w:pStyle w:val="53"/>
        <w:numPr>
          <w:ilvl w:val="2"/>
          <w:numId w:val="0"/>
        </w:numPr>
        <w:tabs>
          <w:tab w:val="left" w:pos="1327"/>
        </w:tabs>
        <w:autoSpaceDE w:val="0"/>
        <w:autoSpaceDN w:val="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本合同自双方当事人盖章时生效。</w:t>
      </w:r>
    </w:p>
    <w:p w14:paraId="6154C9AE">
      <w:pPr>
        <w:pStyle w:val="8"/>
        <w:spacing w:line="360" w:lineRule="auto"/>
        <w:ind w:left="0"/>
        <w:rPr>
          <w:rFonts w:hint="eastAsia" w:ascii="宋体" w:hAnsi="宋体" w:eastAsia="宋体" w:cs="宋体"/>
          <w:sz w:val="24"/>
          <w:szCs w:val="24"/>
          <w:highlight w:val="none"/>
        </w:rPr>
      </w:pPr>
    </w:p>
    <w:p w14:paraId="286B0CBB">
      <w:pPr>
        <w:pStyle w:val="8"/>
        <w:spacing w:line="360" w:lineRule="auto"/>
        <w:ind w:left="0"/>
        <w:rPr>
          <w:rFonts w:hint="eastAsia" w:ascii="宋体" w:hAnsi="宋体" w:eastAsia="宋体" w:cs="宋体"/>
          <w:sz w:val="24"/>
          <w:szCs w:val="24"/>
          <w:highlight w:val="none"/>
        </w:rPr>
      </w:pPr>
    </w:p>
    <w:p w14:paraId="537847F6">
      <w:pPr>
        <w:pStyle w:val="8"/>
        <w:spacing w:line="360" w:lineRule="auto"/>
        <w:ind w:left="0"/>
        <w:rPr>
          <w:rFonts w:hint="eastAsia" w:ascii="宋体" w:hAnsi="宋体" w:eastAsia="宋体" w:cs="宋体"/>
          <w:sz w:val="24"/>
          <w:szCs w:val="24"/>
          <w:highlight w:val="none"/>
        </w:rPr>
      </w:pPr>
    </w:p>
    <w:p w14:paraId="2A959CA6">
      <w:pPr>
        <w:pStyle w:val="8"/>
        <w:spacing w:line="360" w:lineRule="auto"/>
        <w:ind w:left="0"/>
        <w:rPr>
          <w:rFonts w:hint="eastAsia" w:ascii="宋体" w:hAnsi="宋体" w:eastAsia="宋体" w:cs="宋体"/>
          <w:sz w:val="24"/>
          <w:szCs w:val="24"/>
          <w:highlight w:val="none"/>
        </w:rPr>
      </w:pPr>
    </w:p>
    <w:p w14:paraId="3A7BB22E">
      <w:pPr>
        <w:pStyle w:val="8"/>
        <w:spacing w:line="360" w:lineRule="auto"/>
        <w:ind w:left="0"/>
        <w:rPr>
          <w:rFonts w:hint="eastAsia" w:ascii="宋体" w:hAnsi="宋体" w:eastAsia="宋体" w:cs="宋体"/>
          <w:sz w:val="24"/>
          <w:szCs w:val="24"/>
          <w:highlight w:val="none"/>
        </w:rPr>
      </w:pPr>
    </w:p>
    <w:p w14:paraId="124F8F4A">
      <w:pPr>
        <w:pStyle w:val="8"/>
        <w:spacing w:line="360" w:lineRule="auto"/>
        <w:ind w:left="0"/>
        <w:rPr>
          <w:rFonts w:hint="eastAsia" w:ascii="宋体" w:hAnsi="宋体" w:eastAsia="宋体" w:cs="宋体"/>
          <w:sz w:val="24"/>
          <w:szCs w:val="24"/>
          <w:highlight w:val="none"/>
        </w:rPr>
      </w:pPr>
    </w:p>
    <w:p w14:paraId="2F945538">
      <w:pPr>
        <w:pStyle w:val="8"/>
        <w:spacing w:line="360" w:lineRule="auto"/>
        <w:ind w:left="0"/>
        <w:rPr>
          <w:rFonts w:hint="eastAsia" w:ascii="宋体" w:hAnsi="宋体" w:eastAsia="宋体" w:cs="宋体"/>
          <w:sz w:val="24"/>
          <w:szCs w:val="24"/>
          <w:highlight w:val="none"/>
        </w:rPr>
      </w:pPr>
    </w:p>
    <w:p w14:paraId="7209F285">
      <w:pPr>
        <w:pStyle w:val="8"/>
        <w:spacing w:before="10" w:line="360" w:lineRule="auto"/>
        <w:ind w:left="0"/>
        <w:rPr>
          <w:rFonts w:hint="eastAsia" w:ascii="宋体" w:hAnsi="宋体" w:eastAsia="宋体" w:cs="宋体"/>
          <w:sz w:val="24"/>
          <w:szCs w:val="24"/>
          <w:highlight w:val="none"/>
        </w:rPr>
      </w:pPr>
    </w:p>
    <w:p w14:paraId="5C215317">
      <w:pPr>
        <w:pStyle w:val="8"/>
        <w:tabs>
          <w:tab w:val="left" w:pos="940"/>
          <w:tab w:val="left" w:pos="1900"/>
          <w:tab w:val="left" w:pos="3940"/>
          <w:tab w:val="left" w:pos="5141"/>
          <w:tab w:val="left" w:pos="6341"/>
          <w:tab w:val="left" w:pos="8381"/>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甲</w:t>
      </w:r>
      <w:r>
        <w:rPr>
          <w:rFonts w:hint="eastAsia" w:ascii="宋体" w:hAnsi="宋体" w:eastAsia="宋体" w:cs="宋体"/>
          <w:sz w:val="24"/>
          <w:szCs w:val="24"/>
          <w:highlight w:val="none"/>
        </w:rPr>
        <w:tab/>
      </w:r>
      <w:r>
        <w:rPr>
          <w:rFonts w:hint="eastAsia" w:ascii="宋体" w:hAnsi="宋体" w:eastAsia="宋体" w:cs="宋体"/>
          <w:sz w:val="24"/>
          <w:szCs w:val="24"/>
          <w:highlight w:val="none"/>
        </w:rPr>
        <w:t>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（单位盖章）</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乙方：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（单位盖章）</w:t>
      </w:r>
      <w:r>
        <w:rPr>
          <w:rFonts w:hint="eastAsia" w:ascii="宋体" w:hAnsi="宋体" w:eastAsia="宋体" w:cs="宋体"/>
          <w:sz w:val="24"/>
          <w:szCs w:val="24"/>
          <w:highlight w:val="none"/>
          <w:u w:val="single"/>
        </w:rPr>
        <w:tab/>
      </w:r>
    </w:p>
    <w:p w14:paraId="30E9B7A8">
      <w:pPr>
        <w:pStyle w:val="8"/>
        <w:spacing w:before="6" w:line="360" w:lineRule="auto"/>
        <w:ind w:left="0"/>
        <w:rPr>
          <w:rFonts w:hint="eastAsia" w:ascii="宋体" w:hAnsi="宋体" w:eastAsia="宋体" w:cs="宋体"/>
          <w:sz w:val="24"/>
          <w:szCs w:val="24"/>
          <w:highlight w:val="none"/>
        </w:rPr>
      </w:pPr>
    </w:p>
    <w:p w14:paraId="731C28B1">
      <w:pPr>
        <w:pStyle w:val="8"/>
        <w:tabs>
          <w:tab w:val="left" w:pos="5141"/>
        </w:tabs>
        <w:spacing w:before="66"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rPr>
        <w:tab/>
      </w:r>
      <w:r>
        <w:rPr>
          <w:rFonts w:hint="eastAsia" w:ascii="宋体" w:hAnsi="宋体" w:eastAsia="宋体" w:cs="宋体"/>
          <w:sz w:val="24"/>
          <w:szCs w:val="24"/>
          <w:highlight w:val="none"/>
        </w:rPr>
        <w:t>法定代表人</w:t>
      </w:r>
    </w:p>
    <w:p w14:paraId="0BD5B091">
      <w:pPr>
        <w:pStyle w:val="8"/>
        <w:spacing w:before="11" w:line="360" w:lineRule="auto"/>
        <w:ind w:left="0"/>
        <w:rPr>
          <w:rFonts w:hint="eastAsia" w:ascii="宋体" w:hAnsi="宋体" w:eastAsia="宋体" w:cs="宋体"/>
          <w:sz w:val="24"/>
          <w:szCs w:val="24"/>
          <w:highlight w:val="none"/>
        </w:rPr>
      </w:pPr>
    </w:p>
    <w:p w14:paraId="3C886F6C">
      <w:pPr>
        <w:pStyle w:val="8"/>
        <w:tabs>
          <w:tab w:val="left" w:pos="5141"/>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或授权代表（签字</w:t>
      </w:r>
      <w:r>
        <w:rPr>
          <w:rFonts w:hint="eastAsia" w:ascii="宋体" w:hAnsi="宋体" w:eastAsia="宋体" w:cs="宋体"/>
          <w:spacing w:val="-120"/>
          <w:sz w:val="24"/>
          <w:szCs w:val="24"/>
          <w:highlight w:val="none"/>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rPr>
        <w:tab/>
      </w:r>
      <w:r>
        <w:rPr>
          <w:rFonts w:hint="eastAsia" w:ascii="宋体" w:hAnsi="宋体" w:eastAsia="宋体" w:cs="宋体"/>
          <w:sz w:val="24"/>
          <w:szCs w:val="24"/>
          <w:highlight w:val="none"/>
        </w:rPr>
        <w:t>或授权代表（签字</w:t>
      </w:r>
      <w:r>
        <w:rPr>
          <w:rFonts w:hint="eastAsia" w:ascii="宋体" w:hAnsi="宋体" w:eastAsia="宋体" w:cs="宋体"/>
          <w:spacing w:val="-120"/>
          <w:sz w:val="24"/>
          <w:szCs w:val="24"/>
          <w:highlight w:val="none"/>
        </w:rPr>
        <w:t>））</w:t>
      </w:r>
      <w:r>
        <w:rPr>
          <w:rFonts w:hint="eastAsia" w:ascii="宋体" w:hAnsi="宋体" w:eastAsia="宋体" w:cs="宋体"/>
          <w:sz w:val="24"/>
          <w:szCs w:val="24"/>
          <w:highlight w:val="none"/>
        </w:rPr>
        <w:t>）：</w:t>
      </w:r>
    </w:p>
    <w:p w14:paraId="1ECC5EF9">
      <w:pPr>
        <w:pStyle w:val="8"/>
        <w:spacing w:before="8" w:line="360" w:lineRule="auto"/>
        <w:ind w:left="0"/>
        <w:rPr>
          <w:rFonts w:hint="eastAsia" w:ascii="宋体" w:hAnsi="宋体" w:eastAsia="宋体" w:cs="宋体"/>
          <w:sz w:val="24"/>
          <w:szCs w:val="24"/>
          <w:highlight w:val="none"/>
        </w:rPr>
      </w:pPr>
    </w:p>
    <w:p w14:paraId="6FF35934">
      <w:pPr>
        <w:pStyle w:val="8"/>
        <w:tabs>
          <w:tab w:val="left" w:pos="1660"/>
          <w:tab w:val="left" w:pos="2380"/>
          <w:tab w:val="left" w:pos="3100"/>
          <w:tab w:val="left" w:pos="5141"/>
          <w:tab w:val="left" w:pos="6581"/>
          <w:tab w:val="left" w:pos="7301"/>
          <w:tab w:val="left" w:pos="8021"/>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日</w:t>
      </w:r>
      <w:r>
        <w:rPr>
          <w:rFonts w:hint="eastAsia" w:ascii="宋体" w:hAnsi="宋体" w:eastAsia="宋体" w:cs="宋体"/>
          <w:sz w:val="24"/>
          <w:szCs w:val="24"/>
          <w:highlight w:val="none"/>
        </w:rPr>
        <w:tab/>
      </w:r>
      <w:r>
        <w:rPr>
          <w:rFonts w:hint="eastAsia" w:ascii="宋体" w:hAnsi="宋体" w:eastAsia="宋体" w:cs="宋体"/>
          <w:sz w:val="24"/>
          <w:szCs w:val="24"/>
          <w:highlight w:val="none"/>
        </w:rPr>
        <w:t>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日</w:t>
      </w:r>
    </w:p>
    <w:p w14:paraId="1E5D1102">
      <w:pPr>
        <w:spacing w:line="360" w:lineRule="auto"/>
        <w:rPr>
          <w:rFonts w:hint="eastAsia" w:ascii="宋体" w:hAnsi="宋体" w:eastAsia="宋体" w:cs="宋体"/>
          <w:sz w:val="24"/>
          <w:szCs w:val="24"/>
          <w:highlight w:val="none"/>
        </w:rPr>
        <w:sectPr>
          <w:pgSz w:w="11910" w:h="16840"/>
          <w:pgMar w:top="1417" w:right="1417" w:bottom="1417" w:left="1417" w:header="877" w:footer="1304" w:gutter="0"/>
          <w:pgNumType w:fmt="decimal"/>
          <w:cols w:space="720" w:num="1"/>
        </w:sectPr>
      </w:pPr>
    </w:p>
    <w:p w14:paraId="45B23246">
      <w:pPr>
        <w:spacing w:line="360" w:lineRule="auto"/>
        <w:jc w:val="center"/>
        <w:outlineLvl w:val="1"/>
        <w:rPr>
          <w:rFonts w:asciiTheme="minorEastAsia" w:hAnsiTheme="minorEastAsia" w:eastAsiaTheme="minorEastAsia"/>
          <w:b/>
          <w:sz w:val="28"/>
        </w:rPr>
      </w:pPr>
      <w:r>
        <w:rPr>
          <w:rFonts w:hint="eastAsia" w:asciiTheme="minorEastAsia" w:hAnsiTheme="minorEastAsia" w:eastAsiaTheme="minorEastAsia"/>
          <w:b/>
          <w:sz w:val="28"/>
        </w:rPr>
        <w:t>第六章  响应文件格式</w:t>
      </w:r>
      <w:bookmarkEnd w:id="15"/>
    </w:p>
    <w:p w14:paraId="319E85A3">
      <w:pPr>
        <w:spacing w:line="500" w:lineRule="exact"/>
        <w:jc w:val="center"/>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 xml:space="preserve">（项目名称） </w:t>
      </w:r>
    </w:p>
    <w:p w14:paraId="43CC3477">
      <w:pPr>
        <w:spacing w:line="900" w:lineRule="exact"/>
        <w:jc w:val="center"/>
        <w:rPr>
          <w:rFonts w:asciiTheme="minorEastAsia" w:hAnsiTheme="minorEastAsia" w:eastAsiaTheme="minorEastAsia"/>
          <w:b/>
          <w:sz w:val="72"/>
        </w:rPr>
      </w:pPr>
    </w:p>
    <w:p w14:paraId="094AC039">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响</w:t>
      </w:r>
    </w:p>
    <w:p w14:paraId="4CABBB3D">
      <w:pPr>
        <w:spacing w:line="900" w:lineRule="exact"/>
        <w:jc w:val="center"/>
        <w:rPr>
          <w:rFonts w:asciiTheme="minorEastAsia" w:hAnsiTheme="minorEastAsia" w:eastAsiaTheme="minorEastAsia"/>
          <w:b/>
          <w:sz w:val="72"/>
        </w:rPr>
      </w:pPr>
    </w:p>
    <w:p w14:paraId="70E48E0D">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应</w:t>
      </w:r>
    </w:p>
    <w:p w14:paraId="5C544424">
      <w:pPr>
        <w:spacing w:line="900" w:lineRule="exact"/>
        <w:jc w:val="center"/>
        <w:rPr>
          <w:rFonts w:asciiTheme="minorEastAsia" w:hAnsiTheme="minorEastAsia" w:eastAsiaTheme="minorEastAsia"/>
          <w:b/>
          <w:sz w:val="72"/>
        </w:rPr>
      </w:pPr>
    </w:p>
    <w:p w14:paraId="68F6E539">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文</w:t>
      </w:r>
    </w:p>
    <w:p w14:paraId="6F259189">
      <w:pPr>
        <w:spacing w:line="900" w:lineRule="exact"/>
        <w:jc w:val="center"/>
        <w:rPr>
          <w:rFonts w:asciiTheme="minorEastAsia" w:hAnsiTheme="minorEastAsia" w:eastAsiaTheme="minorEastAsia"/>
          <w:b/>
          <w:sz w:val="72"/>
        </w:rPr>
      </w:pPr>
    </w:p>
    <w:p w14:paraId="74B23717">
      <w:pPr>
        <w:jc w:val="center"/>
        <w:rPr>
          <w:rFonts w:asciiTheme="minorEastAsia" w:hAnsiTheme="minorEastAsia" w:eastAsiaTheme="minorEastAsia"/>
          <w:b/>
          <w:sz w:val="72"/>
        </w:rPr>
      </w:pPr>
      <w:r>
        <w:rPr>
          <w:rFonts w:hint="eastAsia" w:asciiTheme="minorEastAsia" w:hAnsiTheme="minorEastAsia" w:eastAsiaTheme="minorEastAsia"/>
          <w:b/>
          <w:sz w:val="72"/>
        </w:rPr>
        <w:t>件</w:t>
      </w:r>
    </w:p>
    <w:p w14:paraId="6248FEAA">
      <w:pPr>
        <w:spacing w:after="156" w:afterLines="50"/>
        <w:jc w:val="center"/>
        <w:rPr>
          <w:rFonts w:asciiTheme="minorEastAsia" w:hAnsiTheme="minorEastAsia" w:eastAsiaTheme="minorEastAsia"/>
          <w:b/>
          <w:sz w:val="72"/>
        </w:rPr>
      </w:pPr>
    </w:p>
    <w:p w14:paraId="1EC83316">
      <w:pPr>
        <w:spacing w:after="156" w:afterLines="50" w:line="500" w:lineRule="exact"/>
        <w:jc w:val="center"/>
        <w:rPr>
          <w:rFonts w:asciiTheme="minorEastAsia" w:hAnsiTheme="minorEastAsia" w:eastAsiaTheme="minorEastAsia"/>
          <w:b/>
          <w:sz w:val="28"/>
          <w:szCs w:val="28"/>
        </w:rPr>
      </w:pPr>
    </w:p>
    <w:p w14:paraId="37FCA966">
      <w:pPr>
        <w:spacing w:after="156" w:afterLines="50" w:line="500" w:lineRule="exact"/>
        <w:jc w:val="center"/>
        <w:rPr>
          <w:rFonts w:asciiTheme="minorEastAsia" w:hAnsiTheme="minorEastAsia" w:eastAsiaTheme="minorEastAsia"/>
          <w:b/>
          <w:sz w:val="72"/>
        </w:rPr>
      </w:pPr>
    </w:p>
    <w:p w14:paraId="5E031920">
      <w:pPr>
        <w:spacing w:after="156" w:afterLines="50" w:line="500" w:lineRule="exact"/>
        <w:ind w:firstLine="2522" w:firstLineChars="785"/>
        <w:rPr>
          <w:rFonts w:asciiTheme="minorEastAsia" w:hAnsiTheme="minorEastAsia" w:eastAsiaTheme="minorEastAsia"/>
          <w:b/>
          <w:sz w:val="32"/>
          <w:u w:val="single"/>
        </w:rPr>
      </w:pPr>
      <w:r>
        <w:rPr>
          <w:rFonts w:hint="eastAsia" w:asciiTheme="minorEastAsia" w:hAnsiTheme="minorEastAsia" w:eastAsiaTheme="minorEastAsia"/>
          <w:b/>
          <w:sz w:val="32"/>
        </w:rPr>
        <w:t>供应商：</w:t>
      </w:r>
      <w:r>
        <w:rPr>
          <w:rFonts w:hint="eastAsia" w:asciiTheme="minorEastAsia" w:hAnsiTheme="minorEastAsia" w:eastAsiaTheme="minorEastAsia"/>
          <w:b/>
          <w:sz w:val="32"/>
          <w:u w:val="single"/>
        </w:rPr>
        <w:t xml:space="preserve">               </w:t>
      </w:r>
    </w:p>
    <w:p w14:paraId="77EE8D2E">
      <w:pPr>
        <w:spacing w:after="156" w:afterLines="50" w:line="500" w:lineRule="exact"/>
        <w:jc w:val="center"/>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p>
    <w:p w14:paraId="54BD4B12">
      <w:pPr>
        <w:widowControl/>
        <w:jc w:val="left"/>
        <w:rPr>
          <w:rFonts w:asciiTheme="minorEastAsia" w:hAnsiTheme="minorEastAsia" w:eastAsiaTheme="minorEastAsia"/>
          <w:b/>
          <w:sz w:val="28"/>
        </w:rPr>
      </w:pPr>
      <w:r>
        <w:rPr>
          <w:rFonts w:asciiTheme="minorEastAsia" w:hAnsiTheme="minorEastAsia" w:eastAsiaTheme="minorEastAsia"/>
          <w:b/>
          <w:sz w:val="28"/>
        </w:rPr>
        <w:br w:type="page"/>
      </w:r>
    </w:p>
    <w:p w14:paraId="0BCBDBAF">
      <w:pPr>
        <w:spacing w:line="360" w:lineRule="auto"/>
        <w:jc w:val="center"/>
        <w:outlineLvl w:val="2"/>
        <w:rPr>
          <w:rFonts w:asciiTheme="minorEastAsia" w:hAnsiTheme="minorEastAsia" w:eastAsiaTheme="minorEastAsia"/>
          <w:b/>
          <w:sz w:val="24"/>
        </w:rPr>
      </w:pPr>
      <w:bookmarkStart w:id="16" w:name="_Toc461056631"/>
      <w:bookmarkStart w:id="17" w:name="_Toc461053086"/>
      <w:bookmarkStart w:id="18" w:name="_Toc520983587"/>
      <w:r>
        <w:rPr>
          <w:rFonts w:hint="eastAsia" w:asciiTheme="minorEastAsia" w:hAnsiTheme="minorEastAsia" w:eastAsiaTheme="minorEastAsia"/>
          <w:b/>
          <w:sz w:val="24"/>
        </w:rPr>
        <w:t>一</w:t>
      </w:r>
      <w:bookmarkEnd w:id="16"/>
      <w:bookmarkEnd w:id="17"/>
      <w:r>
        <w:rPr>
          <w:rFonts w:hint="eastAsia" w:asciiTheme="minorEastAsia" w:hAnsiTheme="minorEastAsia" w:eastAsiaTheme="minorEastAsia"/>
          <w:b/>
          <w:sz w:val="24"/>
        </w:rPr>
        <w:t>、报价表格式</w:t>
      </w:r>
      <w:bookmarkEnd w:id="18"/>
    </w:p>
    <w:p w14:paraId="2543CDFE">
      <w:pPr>
        <w:snapToGrid w:val="0"/>
        <w:spacing w:line="360" w:lineRule="auto"/>
        <w:jc w:val="left"/>
        <w:rPr>
          <w:rFonts w:ascii="宋体" w:hAnsi="宋体" w:eastAsia="宋体"/>
          <w:b/>
          <w:sz w:val="24"/>
          <w:szCs w:val="28"/>
        </w:rPr>
      </w:pPr>
      <w:r>
        <w:rPr>
          <w:rFonts w:hint="eastAsia" w:ascii="宋体" w:hAnsi="宋体" w:eastAsia="宋体"/>
          <w:b/>
          <w:sz w:val="24"/>
          <w:szCs w:val="28"/>
        </w:rPr>
        <w:t>项目名称：</w:t>
      </w:r>
      <w:r>
        <w:rPr>
          <w:rFonts w:hint="eastAsia" w:ascii="宋体" w:hAnsi="宋体" w:eastAsia="宋体"/>
          <w:b/>
          <w:sz w:val="24"/>
          <w:szCs w:val="28"/>
          <w:u w:val="single"/>
        </w:rPr>
        <w:t xml:space="preserve">                 </w:t>
      </w:r>
    </w:p>
    <w:p w14:paraId="36AB17D8">
      <w:pPr>
        <w:snapToGrid w:val="0"/>
        <w:spacing w:after="156" w:afterLines="50" w:line="360" w:lineRule="auto"/>
        <w:jc w:val="left"/>
        <w:rPr>
          <w:rFonts w:ascii="宋体" w:hAnsi="宋体" w:eastAsia="宋体"/>
          <w:b/>
          <w:bCs/>
          <w:sz w:val="24"/>
          <w:szCs w:val="28"/>
          <w:u w:val="single"/>
        </w:rPr>
      </w:pPr>
      <w:r>
        <w:rPr>
          <w:rFonts w:hint="eastAsia" w:ascii="宋体" w:hAnsi="宋体" w:eastAsia="宋体"/>
          <w:b/>
          <w:sz w:val="24"/>
          <w:szCs w:val="28"/>
        </w:rPr>
        <w:t>项目编号：</w:t>
      </w:r>
      <w:r>
        <w:rPr>
          <w:rFonts w:hint="eastAsia" w:ascii="宋体" w:hAnsi="宋体" w:eastAsia="宋体"/>
          <w:b/>
          <w:sz w:val="24"/>
          <w:szCs w:val="28"/>
          <w:u w:val="single"/>
        </w:rPr>
        <w:t xml:space="preserve">               </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14:paraId="016A6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474D53AE">
            <w:pPr>
              <w:spacing w:line="360" w:lineRule="auto"/>
              <w:jc w:val="center"/>
              <w:rPr>
                <w:rFonts w:ascii="宋体" w:hAnsi="宋体" w:eastAsia="宋体"/>
                <w:b/>
                <w:sz w:val="24"/>
              </w:rPr>
            </w:pPr>
            <w:r>
              <w:rPr>
                <w:rFonts w:hint="eastAsia" w:ascii="宋体" w:hAnsi="宋体" w:eastAsia="宋体"/>
                <w:b/>
                <w:sz w:val="24"/>
              </w:rPr>
              <w:t>供应商名称</w:t>
            </w:r>
          </w:p>
        </w:tc>
        <w:tc>
          <w:tcPr>
            <w:tcW w:w="6063" w:type="dxa"/>
            <w:tcBorders>
              <w:left w:val="single" w:color="auto" w:sz="4" w:space="0"/>
            </w:tcBorders>
          </w:tcPr>
          <w:p w14:paraId="5B194923">
            <w:pPr>
              <w:spacing w:line="360" w:lineRule="auto"/>
              <w:rPr>
                <w:rFonts w:ascii="宋体" w:hAnsi="宋体" w:eastAsia="宋体"/>
                <w:b/>
                <w:sz w:val="24"/>
              </w:rPr>
            </w:pPr>
          </w:p>
        </w:tc>
      </w:tr>
      <w:tr w14:paraId="1F61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60611434">
            <w:pPr>
              <w:spacing w:line="360" w:lineRule="exact"/>
              <w:jc w:val="center"/>
              <w:rPr>
                <w:rFonts w:ascii="宋体" w:hAnsi="宋体" w:eastAsia="宋体"/>
                <w:b/>
                <w:sz w:val="24"/>
              </w:rPr>
            </w:pPr>
            <w:r>
              <w:rPr>
                <w:rFonts w:hint="eastAsia" w:ascii="宋体" w:hAnsi="宋体" w:eastAsia="宋体"/>
                <w:b/>
                <w:sz w:val="24"/>
              </w:rPr>
              <w:t>竞争性磋商范围</w:t>
            </w:r>
          </w:p>
        </w:tc>
        <w:tc>
          <w:tcPr>
            <w:tcW w:w="6063" w:type="dxa"/>
            <w:tcBorders>
              <w:left w:val="single" w:color="auto" w:sz="4" w:space="0"/>
            </w:tcBorders>
            <w:vAlign w:val="center"/>
          </w:tcPr>
          <w:p w14:paraId="63C15EB8">
            <w:pPr>
              <w:widowControl/>
              <w:spacing w:line="360" w:lineRule="exact"/>
              <w:rPr>
                <w:rFonts w:ascii="宋体" w:hAnsi="宋体" w:eastAsia="宋体"/>
                <w:b/>
                <w:sz w:val="24"/>
              </w:rPr>
            </w:pPr>
            <w:r>
              <w:rPr>
                <w:rFonts w:hint="eastAsia" w:asciiTheme="minorEastAsia" w:hAnsiTheme="minorEastAsia" w:eastAsiaTheme="minorEastAsia"/>
                <w:sz w:val="24"/>
                <w:szCs w:val="28"/>
              </w:rPr>
              <w:t xml:space="preserve">全部 </w:t>
            </w:r>
          </w:p>
        </w:tc>
      </w:tr>
      <w:tr w14:paraId="43F10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14:paraId="557AA7F8">
            <w:pPr>
              <w:spacing w:line="360" w:lineRule="auto"/>
              <w:jc w:val="center"/>
              <w:rPr>
                <w:rFonts w:ascii="宋体" w:hAnsi="宋体" w:eastAsia="宋体"/>
                <w:b/>
                <w:sz w:val="24"/>
              </w:rPr>
            </w:pPr>
            <w:r>
              <w:rPr>
                <w:rFonts w:hint="eastAsia" w:ascii="宋体" w:hAnsi="宋体" w:eastAsia="宋体"/>
                <w:b/>
                <w:sz w:val="24"/>
              </w:rPr>
              <w:t>报价</w:t>
            </w:r>
          </w:p>
          <w:p w14:paraId="0E21681B">
            <w:pPr>
              <w:spacing w:line="360" w:lineRule="auto"/>
              <w:jc w:val="center"/>
              <w:rPr>
                <w:rFonts w:ascii="宋体" w:hAnsi="宋体" w:eastAsia="宋体"/>
                <w:b/>
                <w:sz w:val="24"/>
              </w:rPr>
            </w:pPr>
            <w:r>
              <w:rPr>
                <w:rFonts w:hint="eastAsia" w:ascii="宋体" w:hAnsi="宋体" w:eastAsia="宋体"/>
                <w:b/>
                <w:sz w:val="24"/>
              </w:rPr>
              <w:t>（详见备注说明）</w:t>
            </w:r>
          </w:p>
        </w:tc>
        <w:tc>
          <w:tcPr>
            <w:tcW w:w="6063" w:type="dxa"/>
            <w:vAlign w:val="center"/>
          </w:tcPr>
          <w:p w14:paraId="5620FBD1">
            <w:pPr>
              <w:snapToGrid w:val="0"/>
              <w:spacing w:line="360" w:lineRule="auto"/>
              <w:rPr>
                <w:rFonts w:ascii="宋体" w:hAnsi="宋体" w:eastAsia="宋体"/>
                <w:sz w:val="24"/>
                <w:szCs w:val="28"/>
              </w:rPr>
            </w:pPr>
          </w:p>
          <w:p w14:paraId="7F3CD456">
            <w:pPr>
              <w:snapToGrid w:val="0"/>
              <w:spacing w:line="360" w:lineRule="auto"/>
              <w:rPr>
                <w:rFonts w:ascii="宋体" w:hAnsi="宋体" w:eastAsia="宋体"/>
                <w:bCs/>
                <w:sz w:val="24"/>
                <w:u w:val="single"/>
              </w:rPr>
            </w:pPr>
            <w:r>
              <w:rPr>
                <w:rFonts w:hint="eastAsia" w:ascii="宋体" w:hAnsi="宋体" w:eastAsia="宋体"/>
                <w:bCs/>
                <w:sz w:val="24"/>
              </w:rPr>
              <w:t>人民币大写：</w:t>
            </w:r>
            <w:r>
              <w:rPr>
                <w:rFonts w:hint="eastAsia" w:ascii="宋体" w:hAnsi="宋体" w:eastAsia="宋体"/>
                <w:bCs/>
                <w:sz w:val="24"/>
                <w:u w:val="single"/>
              </w:rPr>
              <w:t xml:space="preserve">                        </w:t>
            </w:r>
          </w:p>
          <w:p w14:paraId="5AC563F2">
            <w:pPr>
              <w:snapToGrid w:val="0"/>
              <w:spacing w:line="360" w:lineRule="auto"/>
              <w:rPr>
                <w:rFonts w:ascii="宋体" w:hAnsi="宋体" w:eastAsia="宋体"/>
                <w:b/>
                <w:sz w:val="24"/>
              </w:rPr>
            </w:pPr>
            <w:r>
              <w:rPr>
                <w:rFonts w:hint="eastAsia" w:ascii="宋体" w:hAnsi="宋体" w:eastAsia="宋体"/>
                <w:bCs/>
                <w:sz w:val="24"/>
              </w:rPr>
              <w:t>人民币</w:t>
            </w:r>
            <w:r>
              <w:rPr>
                <w:rFonts w:hint="eastAsia" w:ascii="宋体" w:hAnsi="宋体" w:eastAsia="宋体"/>
                <w:bCs/>
                <w:sz w:val="24"/>
                <w:lang w:val="en-US" w:eastAsia="zh-CN"/>
              </w:rPr>
              <w:t>小</w:t>
            </w:r>
            <w:r>
              <w:rPr>
                <w:rFonts w:hint="eastAsia" w:ascii="宋体" w:hAnsi="宋体" w:eastAsia="宋体"/>
                <w:bCs/>
                <w:sz w:val="24"/>
              </w:rPr>
              <w:t>写：</w:t>
            </w:r>
            <w:r>
              <w:rPr>
                <w:rFonts w:hint="eastAsia" w:ascii="宋体" w:hAnsi="宋体" w:eastAsia="宋体"/>
                <w:bCs/>
                <w:sz w:val="24"/>
                <w:u w:val="single"/>
              </w:rPr>
              <w:t xml:space="preserve">                        </w:t>
            </w:r>
          </w:p>
        </w:tc>
      </w:tr>
      <w:tr w14:paraId="552FB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2459" w:type="dxa"/>
            <w:vAlign w:val="center"/>
          </w:tcPr>
          <w:p w14:paraId="126ECAE8">
            <w:pPr>
              <w:spacing w:line="360" w:lineRule="auto"/>
              <w:jc w:val="center"/>
              <w:rPr>
                <w:rFonts w:ascii="宋体" w:hAnsi="宋体" w:eastAsia="宋体"/>
                <w:b/>
                <w:sz w:val="24"/>
              </w:rPr>
            </w:pPr>
            <w:r>
              <w:rPr>
                <w:rFonts w:hint="eastAsia" w:ascii="宋体" w:hAnsi="宋体" w:eastAsia="宋体"/>
                <w:b/>
                <w:sz w:val="24"/>
              </w:rPr>
              <w:t>备注说明</w:t>
            </w:r>
          </w:p>
        </w:tc>
        <w:tc>
          <w:tcPr>
            <w:tcW w:w="6063" w:type="dxa"/>
          </w:tcPr>
          <w:p w14:paraId="3B1A741E">
            <w:pPr>
              <w:spacing w:line="360" w:lineRule="auto"/>
              <w:rPr>
                <w:rFonts w:ascii="宋体" w:hAnsi="宋体" w:eastAsia="宋体"/>
                <w:b/>
                <w:sz w:val="24"/>
              </w:rPr>
            </w:pPr>
          </w:p>
        </w:tc>
      </w:tr>
    </w:tbl>
    <w:p w14:paraId="57DAA329">
      <w:pPr>
        <w:spacing w:line="360" w:lineRule="auto"/>
        <w:ind w:firstLine="4560" w:firstLineChars="1900"/>
        <w:rPr>
          <w:rFonts w:ascii="宋体" w:hAnsi="宋体" w:eastAsia="宋体"/>
          <w:sz w:val="24"/>
        </w:rPr>
      </w:pPr>
      <w:r>
        <w:rPr>
          <w:rFonts w:hint="eastAsia" w:ascii="宋体" w:hAnsi="宋体" w:eastAsia="宋体"/>
          <w:sz w:val="24"/>
        </w:rPr>
        <w:t>供应商</w:t>
      </w:r>
      <w:r>
        <w:rPr>
          <w:rFonts w:hint="eastAsia" w:ascii="宋体" w:hAnsi="宋体" w:eastAsia="宋体"/>
          <w:sz w:val="24"/>
          <w:lang w:val="en-US" w:eastAsia="zh-CN"/>
        </w:rPr>
        <w:t>盖公</w:t>
      </w:r>
      <w:r>
        <w:rPr>
          <w:rFonts w:hint="eastAsia" w:ascii="宋体" w:hAnsi="宋体" w:eastAsia="宋体"/>
          <w:sz w:val="24"/>
        </w:rPr>
        <w:t>章：</w:t>
      </w:r>
      <w:r>
        <w:rPr>
          <w:rFonts w:hint="eastAsia" w:ascii="宋体" w:hAnsi="宋体" w:eastAsia="宋体"/>
          <w:sz w:val="24"/>
          <w:u w:val="single"/>
        </w:rPr>
        <w:t xml:space="preserve">                </w:t>
      </w:r>
    </w:p>
    <w:p w14:paraId="1C83D454">
      <w:pPr>
        <w:spacing w:line="360" w:lineRule="auto"/>
        <w:ind w:firstLine="4560" w:firstLineChars="1900"/>
        <w:rPr>
          <w:rFonts w:ascii="宋体" w:hAnsi="宋体" w:eastAsia="宋体"/>
          <w:sz w:val="24"/>
          <w:u w:val="single"/>
        </w:rPr>
      </w:pPr>
      <w:r>
        <w:rPr>
          <w:rFonts w:hint="eastAsia" w:ascii="宋体" w:hAnsi="宋体" w:eastAsia="宋体"/>
          <w:sz w:val="24"/>
        </w:rPr>
        <w:t xml:space="preserve">日   </w:t>
      </w:r>
      <w:r>
        <w:rPr>
          <w:rFonts w:hint="eastAsia" w:ascii="宋体" w:hAnsi="宋体" w:eastAsia="宋体"/>
          <w:sz w:val="24"/>
          <w:lang w:val="en-US" w:eastAsia="zh-CN"/>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11CE0F73">
      <w:pPr>
        <w:adjustRightInd w:val="0"/>
        <w:snapToGrid w:val="0"/>
        <w:spacing w:line="360" w:lineRule="auto"/>
        <w:rPr>
          <w:rFonts w:ascii="宋体" w:hAnsi="宋体" w:eastAsia="宋体"/>
          <w:b/>
          <w:bCs/>
          <w:sz w:val="24"/>
          <w:szCs w:val="28"/>
        </w:rPr>
      </w:pPr>
      <w:r>
        <w:rPr>
          <w:rFonts w:hint="eastAsia" w:ascii="宋体" w:hAnsi="宋体" w:eastAsia="宋体"/>
          <w:b/>
          <w:bCs/>
          <w:sz w:val="24"/>
          <w:szCs w:val="28"/>
        </w:rPr>
        <w:t>注：</w:t>
      </w:r>
    </w:p>
    <w:p w14:paraId="74866412">
      <w:pPr>
        <w:adjustRightInd w:val="0"/>
        <w:snapToGrid w:val="0"/>
        <w:spacing w:line="360" w:lineRule="auto"/>
        <w:ind w:firstLine="482" w:firstLineChars="200"/>
        <w:rPr>
          <w:rFonts w:ascii="宋体" w:hAnsi="宋体" w:eastAsia="宋体"/>
          <w:sz w:val="24"/>
        </w:rPr>
      </w:pPr>
      <w:r>
        <w:rPr>
          <w:rFonts w:hint="eastAsia" w:ascii="宋体" w:hAnsi="宋体" w:eastAsia="宋体"/>
          <w:b/>
          <w:bCs/>
          <w:sz w:val="24"/>
          <w:szCs w:val="28"/>
        </w:rPr>
        <w:t>1.本表内容根据竞争性磋商文件要求包括了</w:t>
      </w:r>
      <w:r>
        <w:rPr>
          <w:rFonts w:hint="eastAsia" w:ascii="宋体" w:hAnsi="宋体" w:eastAsia="宋体"/>
          <w:b/>
          <w:bCs/>
          <w:sz w:val="24"/>
          <w:szCs w:val="28"/>
          <w:u w:val="single"/>
        </w:rPr>
        <w:t xml:space="preserve"> </w:t>
      </w:r>
      <w:r>
        <w:rPr>
          <w:rFonts w:hint="eastAsia" w:ascii="宋体" w:hAnsi="宋体" w:eastAsia="宋体"/>
          <w:b/>
          <w:bCs/>
          <w:sz w:val="24"/>
          <w:szCs w:val="28"/>
          <w:u w:val="single"/>
          <w:lang w:val="en-US" w:eastAsia="zh-CN"/>
        </w:rPr>
        <w:t>检测服务</w:t>
      </w:r>
      <w:r>
        <w:rPr>
          <w:rFonts w:hint="eastAsia" w:ascii="宋体" w:hAnsi="宋体" w:eastAsia="宋体"/>
          <w:b/>
          <w:bCs/>
          <w:sz w:val="24"/>
          <w:szCs w:val="28"/>
          <w:u w:val="single"/>
        </w:rPr>
        <w:t xml:space="preserve">  </w:t>
      </w:r>
      <w:r>
        <w:rPr>
          <w:rFonts w:hint="eastAsia" w:ascii="宋体" w:hAnsi="宋体" w:eastAsia="宋体"/>
          <w:b/>
          <w:bCs/>
          <w:sz w:val="24"/>
          <w:szCs w:val="28"/>
        </w:rPr>
        <w:t>等所有费用。</w:t>
      </w:r>
    </w:p>
    <w:p w14:paraId="4E637102">
      <w:pPr>
        <w:adjustRightInd w:val="0"/>
        <w:snapToGrid w:val="0"/>
        <w:spacing w:line="360" w:lineRule="auto"/>
        <w:ind w:firstLine="482" w:firstLineChars="200"/>
        <w:rPr>
          <w:rFonts w:ascii="宋体" w:hAnsi="宋体" w:eastAsia="宋体"/>
          <w:b/>
          <w:bCs/>
          <w:sz w:val="24"/>
          <w:szCs w:val="28"/>
        </w:rPr>
      </w:pPr>
      <w:r>
        <w:rPr>
          <w:rFonts w:hint="eastAsia" w:ascii="宋体" w:hAnsi="宋体" w:eastAsia="宋体"/>
          <w:b/>
          <w:bCs/>
          <w:sz w:val="24"/>
          <w:szCs w:val="28"/>
        </w:rPr>
        <w:t>2.特殊事项在备注中注明。</w:t>
      </w:r>
    </w:p>
    <w:p w14:paraId="22CF17C1">
      <w:pPr>
        <w:spacing w:line="360" w:lineRule="auto"/>
        <w:jc w:val="center"/>
        <w:rPr>
          <w:rFonts w:asciiTheme="minorEastAsia" w:hAnsiTheme="minorEastAsia" w:eastAsiaTheme="minorEastAsia"/>
          <w:b/>
          <w:sz w:val="24"/>
        </w:rPr>
      </w:pPr>
      <w:r>
        <w:rPr>
          <w:rFonts w:asciiTheme="minorEastAsia" w:hAnsiTheme="minorEastAsia" w:eastAsiaTheme="minorEastAsia"/>
          <w:b/>
          <w:sz w:val="24"/>
        </w:rPr>
        <w:br w:type="page"/>
      </w:r>
    </w:p>
    <w:p w14:paraId="4ECBE554">
      <w:bookmarkStart w:id="19" w:name="_Toc520983588"/>
      <w:bookmarkStart w:id="20" w:name="_Toc461056632"/>
      <w:bookmarkStart w:id="21" w:name="_Toc461053087"/>
    </w:p>
    <w:p w14:paraId="7ADF34E8">
      <w:pPr>
        <w:pStyle w:val="4"/>
        <w:jc w:val="center"/>
        <w:rPr>
          <w:rFonts w:ascii="宋体" w:hAnsi="宋体" w:eastAsia="宋体"/>
          <w:sz w:val="24"/>
          <w:szCs w:val="28"/>
        </w:rPr>
      </w:pPr>
      <w:r>
        <w:rPr>
          <w:rFonts w:hint="eastAsia" w:ascii="宋体" w:hAnsi="宋体" w:eastAsia="宋体"/>
          <w:sz w:val="24"/>
          <w:szCs w:val="28"/>
        </w:rPr>
        <w:t>二、</w:t>
      </w:r>
      <w:r>
        <w:rPr>
          <w:rFonts w:hint="eastAsia" w:ascii="宋体" w:hAnsi="宋体" w:eastAsia="宋体"/>
          <w:sz w:val="24"/>
          <w:szCs w:val="28"/>
          <w:lang w:val="en-US" w:eastAsia="zh-CN"/>
        </w:rPr>
        <w:t>分项</w:t>
      </w:r>
      <w:r>
        <w:rPr>
          <w:rFonts w:hint="eastAsia" w:ascii="宋体" w:hAnsi="宋体" w:eastAsia="宋体"/>
          <w:sz w:val="24"/>
          <w:szCs w:val="28"/>
        </w:rPr>
        <w:t>报价表</w:t>
      </w:r>
    </w:p>
    <w:bookmarkEnd w:id="19"/>
    <w:bookmarkEnd w:id="20"/>
    <w:bookmarkEnd w:id="21"/>
    <w:tbl>
      <w:tblPr>
        <w:tblStyle w:val="26"/>
        <w:tblW w:w="82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3220"/>
        <w:gridCol w:w="2903"/>
        <w:gridCol w:w="1459"/>
      </w:tblGrid>
      <w:tr w14:paraId="34948F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29ED2D87">
            <w:pPr>
              <w:rPr>
                <w:rFonts w:hint="eastAsia" w:ascii="宋体" w:hAnsi="宋体" w:eastAsia="宋体" w:cs="@仿宋_GB2312"/>
                <w:b w:val="0"/>
                <w:bCs w:val="0"/>
                <w:kern w:val="2"/>
                <w:sz w:val="24"/>
                <w:szCs w:val="28"/>
                <w:lang w:val="en-US" w:eastAsia="zh-CN" w:bidi="ar-SA"/>
              </w:rPr>
            </w:pPr>
            <w:bookmarkStart w:id="22" w:name="_Toc520983591"/>
            <w:r>
              <w:rPr>
                <w:rFonts w:hint="eastAsia" w:ascii="宋体" w:hAnsi="宋体" w:eastAsia="宋体" w:cs="@仿宋_GB2312"/>
                <w:b w:val="0"/>
                <w:bCs w:val="0"/>
                <w:kern w:val="2"/>
                <w:sz w:val="24"/>
                <w:szCs w:val="28"/>
                <w:lang w:val="en-US" w:eastAsia="zh-CN" w:bidi="ar-SA"/>
              </w:rPr>
              <w:t>序号</w:t>
            </w:r>
          </w:p>
        </w:tc>
        <w:tc>
          <w:tcPr>
            <w:tcW w:w="3220" w:type="dxa"/>
            <w:tcBorders>
              <w:top w:val="single" w:color="auto" w:sz="4" w:space="0"/>
              <w:left w:val="single" w:color="auto" w:sz="4" w:space="0"/>
              <w:bottom w:val="single" w:color="auto" w:sz="4" w:space="0"/>
              <w:right w:val="single" w:color="auto" w:sz="4" w:space="0"/>
            </w:tcBorders>
            <w:noWrap w:val="0"/>
            <w:vAlign w:val="center"/>
          </w:tcPr>
          <w:p w14:paraId="45F858A8">
            <w:pPr>
              <w:jc w:val="center"/>
              <w:rPr>
                <w:rFonts w:hint="eastAsia" w:ascii="宋体" w:hAnsi="宋体" w:eastAsia="宋体" w:cs="@仿宋_GB2312"/>
                <w:b w:val="0"/>
                <w:bCs w:val="0"/>
                <w:kern w:val="2"/>
                <w:sz w:val="24"/>
                <w:szCs w:val="28"/>
                <w:lang w:val="en-US" w:eastAsia="zh-CN" w:bidi="ar-SA"/>
              </w:rPr>
            </w:pPr>
            <w:r>
              <w:rPr>
                <w:rFonts w:hint="eastAsia" w:ascii="宋体" w:hAnsi="宋体" w:eastAsia="宋体" w:cs="@仿宋_GB2312"/>
                <w:b w:val="0"/>
                <w:bCs w:val="0"/>
                <w:kern w:val="2"/>
                <w:sz w:val="24"/>
                <w:szCs w:val="28"/>
                <w:lang w:val="en-US" w:eastAsia="zh-CN" w:bidi="ar-SA"/>
              </w:rPr>
              <w:t>项目名称</w:t>
            </w:r>
          </w:p>
        </w:tc>
        <w:tc>
          <w:tcPr>
            <w:tcW w:w="2903" w:type="dxa"/>
            <w:tcBorders>
              <w:top w:val="single" w:color="auto" w:sz="4" w:space="0"/>
              <w:left w:val="single" w:color="auto" w:sz="4" w:space="0"/>
              <w:bottom w:val="single" w:color="auto" w:sz="4" w:space="0"/>
              <w:right w:val="single" w:color="auto" w:sz="4" w:space="0"/>
            </w:tcBorders>
            <w:noWrap w:val="0"/>
            <w:vAlign w:val="center"/>
          </w:tcPr>
          <w:p w14:paraId="6EFC9DD7">
            <w:pPr>
              <w:jc w:val="center"/>
              <w:rPr>
                <w:rFonts w:hint="eastAsia" w:ascii="宋体" w:hAnsi="宋体" w:eastAsia="宋体" w:cs="@仿宋_GB2312"/>
                <w:b w:val="0"/>
                <w:bCs w:val="0"/>
                <w:kern w:val="2"/>
                <w:sz w:val="24"/>
                <w:szCs w:val="28"/>
                <w:lang w:val="en-US" w:eastAsia="zh-CN" w:bidi="ar-SA"/>
              </w:rPr>
            </w:pPr>
            <w:r>
              <w:rPr>
                <w:rFonts w:hint="eastAsia" w:ascii="宋体" w:hAnsi="宋体" w:eastAsia="宋体" w:cs="@仿宋_GB2312"/>
                <w:b w:val="0"/>
                <w:bCs w:val="0"/>
                <w:kern w:val="2"/>
                <w:sz w:val="24"/>
                <w:szCs w:val="28"/>
                <w:lang w:val="en-US" w:eastAsia="zh-CN" w:bidi="ar-SA"/>
              </w:rPr>
              <w:t>报价（元）</w:t>
            </w:r>
          </w:p>
        </w:tc>
        <w:tc>
          <w:tcPr>
            <w:tcW w:w="1459" w:type="dxa"/>
            <w:tcBorders>
              <w:top w:val="single" w:color="auto" w:sz="4" w:space="0"/>
              <w:left w:val="single" w:color="auto" w:sz="4" w:space="0"/>
              <w:bottom w:val="single" w:color="auto" w:sz="4" w:space="0"/>
              <w:right w:val="single" w:color="auto" w:sz="4" w:space="0"/>
            </w:tcBorders>
            <w:noWrap w:val="0"/>
            <w:vAlign w:val="center"/>
          </w:tcPr>
          <w:p w14:paraId="64A11176">
            <w:pPr>
              <w:jc w:val="center"/>
              <w:rPr>
                <w:rFonts w:hint="eastAsia" w:ascii="宋体" w:hAnsi="宋体" w:eastAsia="宋体" w:cs="@仿宋_GB2312"/>
                <w:b w:val="0"/>
                <w:bCs w:val="0"/>
                <w:kern w:val="2"/>
                <w:sz w:val="24"/>
                <w:szCs w:val="28"/>
                <w:lang w:val="en-US" w:eastAsia="zh-CN" w:bidi="ar-SA"/>
              </w:rPr>
            </w:pPr>
            <w:r>
              <w:rPr>
                <w:rFonts w:hint="eastAsia" w:ascii="宋体" w:hAnsi="宋体" w:eastAsia="宋体" w:cs="@仿宋_GB2312"/>
                <w:b w:val="0"/>
                <w:bCs w:val="0"/>
                <w:kern w:val="2"/>
                <w:sz w:val="24"/>
                <w:szCs w:val="28"/>
                <w:lang w:val="en-US" w:eastAsia="zh-CN" w:bidi="ar-SA"/>
              </w:rPr>
              <w:t>备注</w:t>
            </w:r>
          </w:p>
        </w:tc>
      </w:tr>
      <w:tr w14:paraId="0E50F9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2A0954B2">
            <w:pPr>
              <w:jc w:val="center"/>
              <w:rPr>
                <w:rFonts w:hint="eastAsia" w:ascii="宋体" w:hAnsi="宋体" w:eastAsia="宋体" w:cs="@仿宋_GB2312"/>
                <w:b w:val="0"/>
                <w:bCs w:val="0"/>
                <w:kern w:val="2"/>
                <w:sz w:val="24"/>
                <w:szCs w:val="28"/>
                <w:lang w:val="en-US" w:eastAsia="zh-CN" w:bidi="ar-SA"/>
              </w:rPr>
            </w:pPr>
            <w:r>
              <w:rPr>
                <w:rFonts w:hint="eastAsia" w:ascii="宋体" w:hAnsi="宋体" w:eastAsia="宋体" w:cs="@仿宋_GB2312"/>
                <w:b w:val="0"/>
                <w:bCs w:val="0"/>
                <w:kern w:val="2"/>
                <w:sz w:val="24"/>
                <w:szCs w:val="28"/>
                <w:lang w:val="en-US" w:eastAsia="zh-CN" w:bidi="ar-SA"/>
              </w:rPr>
              <w:t>1</w:t>
            </w:r>
          </w:p>
        </w:tc>
        <w:tc>
          <w:tcPr>
            <w:tcW w:w="3220" w:type="dxa"/>
            <w:tcBorders>
              <w:top w:val="single" w:color="auto" w:sz="4" w:space="0"/>
              <w:left w:val="single" w:color="auto" w:sz="4" w:space="0"/>
              <w:bottom w:val="single" w:color="auto" w:sz="4" w:space="0"/>
              <w:right w:val="single" w:color="auto" w:sz="4" w:space="0"/>
            </w:tcBorders>
            <w:noWrap w:val="0"/>
            <w:vAlign w:val="center"/>
          </w:tcPr>
          <w:p w14:paraId="330F0FDF">
            <w:pPr>
              <w:jc w:val="center"/>
              <w:rPr>
                <w:rFonts w:hint="eastAsia" w:ascii="宋体" w:hAnsi="宋体" w:eastAsia="宋体" w:cs="@仿宋_GB2312"/>
                <w:b w:val="0"/>
                <w:bCs w:val="0"/>
                <w:kern w:val="2"/>
                <w:sz w:val="24"/>
                <w:szCs w:val="28"/>
                <w:lang w:val="en-US" w:eastAsia="zh-CN" w:bidi="ar-SA"/>
              </w:rPr>
            </w:pPr>
            <w:r>
              <w:rPr>
                <w:rFonts w:hint="eastAsia" w:ascii="宋体" w:hAnsi="宋体" w:eastAsia="宋体" w:cs="@仿宋_GB2312"/>
                <w:b w:val="0"/>
                <w:bCs w:val="0"/>
                <w:kern w:val="2"/>
                <w:sz w:val="24"/>
                <w:szCs w:val="28"/>
                <w:lang w:val="en-US" w:eastAsia="zh-CN" w:bidi="ar-SA"/>
              </w:rPr>
              <w:t>淠史杭水利文化展示中心项目第三方检测</w:t>
            </w:r>
          </w:p>
        </w:tc>
        <w:tc>
          <w:tcPr>
            <w:tcW w:w="2903" w:type="dxa"/>
            <w:tcBorders>
              <w:top w:val="single" w:color="auto" w:sz="4" w:space="0"/>
              <w:left w:val="single" w:color="auto" w:sz="4" w:space="0"/>
              <w:bottom w:val="single" w:color="auto" w:sz="4" w:space="0"/>
              <w:right w:val="single" w:color="auto" w:sz="4" w:space="0"/>
            </w:tcBorders>
            <w:noWrap w:val="0"/>
            <w:vAlign w:val="center"/>
          </w:tcPr>
          <w:p w14:paraId="7342F723">
            <w:pPr>
              <w:rPr>
                <w:rFonts w:hint="eastAsia" w:ascii="宋体" w:hAnsi="宋体" w:eastAsia="宋体" w:cs="@仿宋_GB2312"/>
                <w:b w:val="0"/>
                <w:bCs w:val="0"/>
                <w:kern w:val="2"/>
                <w:sz w:val="24"/>
                <w:szCs w:val="28"/>
                <w:lang w:val="en-US" w:eastAsia="zh-CN" w:bidi="ar-SA"/>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2C52C80C">
            <w:pPr>
              <w:jc w:val="center"/>
              <w:rPr>
                <w:rFonts w:hint="eastAsia" w:ascii="宋体" w:hAnsi="宋体" w:eastAsia="宋体" w:cs="@仿宋_GB2312"/>
                <w:b w:val="0"/>
                <w:bCs w:val="0"/>
                <w:kern w:val="2"/>
                <w:sz w:val="24"/>
                <w:szCs w:val="28"/>
                <w:lang w:val="en-US" w:eastAsia="zh-CN" w:bidi="ar-SA"/>
              </w:rPr>
            </w:pPr>
            <w:r>
              <w:rPr>
                <w:rFonts w:hint="eastAsia" w:ascii="宋体" w:hAnsi="宋体" w:eastAsia="宋体" w:cs="@仿宋_GB2312"/>
                <w:b w:val="0"/>
                <w:bCs w:val="0"/>
                <w:kern w:val="2"/>
                <w:sz w:val="24"/>
                <w:szCs w:val="28"/>
                <w:lang w:val="en-US" w:eastAsia="zh-CN" w:bidi="ar-SA"/>
              </w:rPr>
              <w:t>总价承包</w:t>
            </w:r>
          </w:p>
        </w:tc>
      </w:tr>
      <w:tr w14:paraId="6BD848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29D2681C">
            <w:pPr>
              <w:jc w:val="center"/>
              <w:rPr>
                <w:rFonts w:hint="eastAsia" w:ascii="宋体" w:hAnsi="宋体" w:eastAsia="宋体" w:cs="@仿宋_GB2312"/>
                <w:b w:val="0"/>
                <w:bCs w:val="0"/>
                <w:kern w:val="2"/>
                <w:sz w:val="24"/>
                <w:szCs w:val="28"/>
                <w:lang w:val="en-US" w:eastAsia="zh-CN" w:bidi="ar-SA"/>
              </w:rPr>
            </w:pPr>
          </w:p>
        </w:tc>
        <w:tc>
          <w:tcPr>
            <w:tcW w:w="3220" w:type="dxa"/>
            <w:tcBorders>
              <w:top w:val="single" w:color="auto" w:sz="4" w:space="0"/>
              <w:left w:val="single" w:color="auto" w:sz="4" w:space="0"/>
              <w:bottom w:val="single" w:color="auto" w:sz="4" w:space="0"/>
              <w:right w:val="single" w:color="auto" w:sz="4" w:space="0"/>
            </w:tcBorders>
            <w:noWrap w:val="0"/>
            <w:vAlign w:val="center"/>
          </w:tcPr>
          <w:p w14:paraId="35BB63F3">
            <w:pPr>
              <w:jc w:val="center"/>
              <w:rPr>
                <w:rFonts w:hint="eastAsia" w:ascii="宋体" w:hAnsi="宋体" w:eastAsia="宋体" w:cs="@仿宋_GB2312"/>
                <w:b w:val="0"/>
                <w:bCs w:val="0"/>
                <w:kern w:val="2"/>
                <w:sz w:val="24"/>
                <w:szCs w:val="28"/>
                <w:lang w:val="en-US" w:eastAsia="zh-CN" w:bidi="ar-SA"/>
              </w:rPr>
            </w:pPr>
            <w:r>
              <w:rPr>
                <w:rFonts w:hint="eastAsia" w:ascii="宋体" w:hAnsi="宋体" w:eastAsia="宋体" w:cs="@仿宋_GB2312"/>
                <w:b w:val="0"/>
                <w:bCs w:val="0"/>
                <w:kern w:val="2"/>
                <w:sz w:val="24"/>
                <w:szCs w:val="28"/>
                <w:lang w:val="en-US" w:eastAsia="zh-CN" w:bidi="ar-SA"/>
              </w:rPr>
              <w:t>合计（元）</w:t>
            </w:r>
          </w:p>
        </w:tc>
        <w:tc>
          <w:tcPr>
            <w:tcW w:w="4362" w:type="dxa"/>
            <w:gridSpan w:val="2"/>
            <w:tcBorders>
              <w:top w:val="single" w:color="auto" w:sz="4" w:space="0"/>
              <w:left w:val="single" w:color="auto" w:sz="4" w:space="0"/>
              <w:bottom w:val="single" w:color="auto" w:sz="4" w:space="0"/>
              <w:right w:val="single" w:color="auto" w:sz="4" w:space="0"/>
            </w:tcBorders>
            <w:noWrap w:val="0"/>
            <w:vAlign w:val="center"/>
          </w:tcPr>
          <w:p w14:paraId="4FC8251D">
            <w:pPr>
              <w:jc w:val="center"/>
              <w:rPr>
                <w:rFonts w:hint="eastAsia" w:ascii="宋体" w:hAnsi="宋体" w:eastAsia="宋体" w:cs="@仿宋_GB2312"/>
                <w:b w:val="0"/>
                <w:bCs w:val="0"/>
                <w:kern w:val="2"/>
                <w:sz w:val="24"/>
                <w:szCs w:val="28"/>
                <w:lang w:val="en-US" w:eastAsia="zh-CN" w:bidi="ar-SA"/>
              </w:rPr>
            </w:pPr>
          </w:p>
        </w:tc>
      </w:tr>
    </w:tbl>
    <w:p w14:paraId="39E223E8">
      <w:pPr>
        <w:spacing w:line="360" w:lineRule="auto"/>
        <w:jc w:val="center"/>
        <w:outlineLvl w:val="2"/>
        <w:rPr>
          <w:rFonts w:asciiTheme="minorEastAsia" w:hAnsiTheme="minorEastAsia" w:eastAsiaTheme="minorEastAsia"/>
          <w:b/>
          <w:sz w:val="24"/>
        </w:rPr>
      </w:pPr>
      <w:r>
        <w:rPr>
          <w:rFonts w:hint="eastAsia" w:ascii="宋体" w:hAnsi="宋体"/>
          <w:b/>
          <w:bCs/>
          <w:sz w:val="28"/>
          <w:szCs w:val="28"/>
        </w:rPr>
        <w:br w:type="page"/>
      </w:r>
      <w:r>
        <w:rPr>
          <w:rFonts w:hint="eastAsia" w:asciiTheme="minorEastAsia" w:hAnsiTheme="minorEastAsia" w:eastAsiaTheme="minorEastAsia"/>
          <w:b/>
          <w:sz w:val="24"/>
        </w:rPr>
        <w:t>三、竞争性磋商响应函</w:t>
      </w:r>
      <w:bookmarkEnd w:id="22"/>
    </w:p>
    <w:p w14:paraId="650F58DF">
      <w:pPr>
        <w:pStyle w:val="13"/>
        <w:spacing w:line="360" w:lineRule="auto"/>
        <w:rPr>
          <w:rFonts w:ascii="宋体" w:hAnsi="宋体"/>
          <w:sz w:val="24"/>
        </w:rPr>
      </w:pPr>
      <w:r>
        <w:rPr>
          <w:rFonts w:hint="eastAsia" w:ascii="宋体" w:hAnsi="宋体"/>
          <w:sz w:val="24"/>
        </w:rPr>
        <w:t>致：</w:t>
      </w:r>
      <w:r>
        <w:rPr>
          <w:rFonts w:hint="eastAsia" w:ascii="宋体" w:hAnsi="宋体"/>
          <w:sz w:val="24"/>
          <w:u w:val="single"/>
        </w:rPr>
        <w:t xml:space="preserve">     （采购人名称）</w:t>
      </w:r>
    </w:p>
    <w:p w14:paraId="77F9EC95">
      <w:pPr>
        <w:spacing w:line="360" w:lineRule="auto"/>
        <w:ind w:firstLine="480" w:firstLineChars="200"/>
        <w:rPr>
          <w:rFonts w:ascii="宋体" w:hAnsi="宋体" w:eastAsia="宋体"/>
          <w:dstrike/>
          <w:sz w:val="24"/>
        </w:rPr>
      </w:pPr>
      <w:r>
        <w:rPr>
          <w:rFonts w:hint="eastAsia" w:ascii="宋体" w:hAnsi="宋体" w:eastAsia="宋体"/>
          <w:sz w:val="24"/>
        </w:rPr>
        <w:t>根据贵方的</w:t>
      </w:r>
      <w:r>
        <w:rPr>
          <w:rFonts w:hint="eastAsia" w:ascii="宋体" w:hAnsi="宋体" w:eastAsia="宋体"/>
          <w:sz w:val="24"/>
          <w:u w:val="single"/>
        </w:rPr>
        <w:t xml:space="preserve">  （项目名称）           </w:t>
      </w:r>
      <w:r>
        <w:rPr>
          <w:rFonts w:hint="eastAsia" w:ascii="宋体" w:hAnsi="宋体" w:eastAsia="宋体"/>
          <w:sz w:val="24"/>
        </w:rPr>
        <w:t>竞争性磋商文件，我方兹宣布同意如下：</w:t>
      </w:r>
    </w:p>
    <w:p w14:paraId="7DEFCB9C">
      <w:pPr>
        <w:spacing w:line="360" w:lineRule="auto"/>
        <w:ind w:firstLine="480" w:firstLineChars="200"/>
        <w:rPr>
          <w:rFonts w:ascii="宋体" w:hAnsi="宋体" w:eastAsia="宋体"/>
          <w:sz w:val="24"/>
        </w:rPr>
      </w:pPr>
      <w:r>
        <w:rPr>
          <w:rFonts w:hint="eastAsia" w:ascii="宋体" w:hAnsi="宋体" w:eastAsia="宋体"/>
          <w:sz w:val="24"/>
        </w:rPr>
        <w:t>1.如我公司成交，我公司承诺愿意按竞争性磋商文件规定缴纳履约保证金和采购代理服务费。按本次竞争性磋商文件规定及最后报价承诺履约。</w:t>
      </w:r>
    </w:p>
    <w:p w14:paraId="60044F14">
      <w:pPr>
        <w:spacing w:line="360" w:lineRule="auto"/>
        <w:ind w:firstLine="480" w:firstLineChars="200"/>
        <w:rPr>
          <w:rFonts w:ascii="宋体" w:hAnsi="宋体" w:eastAsia="宋体"/>
          <w:sz w:val="24"/>
        </w:rPr>
      </w:pPr>
      <w:r>
        <w:rPr>
          <w:rFonts w:hint="eastAsia" w:ascii="宋体" w:hAnsi="宋体" w:eastAsia="宋体"/>
          <w:sz w:val="24"/>
        </w:rPr>
        <w:t>2.我方根据本次竞争性磋商文件的规定，严格履行合同的责任和义务</w:t>
      </w:r>
      <w:r>
        <w:rPr>
          <w:rFonts w:ascii="宋体" w:hAnsi="宋体" w:eastAsia="宋体"/>
          <w:sz w:val="24"/>
        </w:rPr>
        <w:t>,</w:t>
      </w:r>
      <w:r>
        <w:rPr>
          <w:rFonts w:hint="eastAsia" w:ascii="宋体" w:hAnsi="宋体" w:eastAsia="宋体"/>
          <w:sz w:val="24"/>
        </w:rPr>
        <w:t>并保证于买方要求的日期内完成合同，并通过买方验收。</w:t>
      </w:r>
    </w:p>
    <w:p w14:paraId="3E511194">
      <w:pPr>
        <w:spacing w:line="360" w:lineRule="auto"/>
        <w:ind w:firstLine="480" w:firstLineChars="200"/>
        <w:rPr>
          <w:rFonts w:ascii="宋体" w:hAnsi="宋体" w:eastAsia="宋体"/>
          <w:sz w:val="24"/>
        </w:rPr>
      </w:pPr>
      <w:r>
        <w:rPr>
          <w:rFonts w:hint="eastAsia" w:ascii="宋体" w:hAnsi="宋体" w:eastAsia="宋体"/>
          <w:sz w:val="24"/>
        </w:rPr>
        <w:t>3.我方已详细审核本次竞争性磋商文件，包括竞争性磋商文件附件、参考资料、竞争性磋商文件澄清或修改公告或图纸（如有），我方正式认可并遵守本次竞争性磋商文件，并对竞争性磋商文件各项条款、规定及要求均无异议。我方知道必须放弃提出含糊不清或误解问题的权利。</w:t>
      </w:r>
    </w:p>
    <w:p w14:paraId="2A84E40E">
      <w:pPr>
        <w:spacing w:line="360" w:lineRule="auto"/>
        <w:ind w:firstLine="480" w:firstLineChars="200"/>
        <w:rPr>
          <w:rFonts w:ascii="宋体" w:hAnsi="宋体" w:eastAsia="宋体"/>
          <w:sz w:val="24"/>
        </w:rPr>
      </w:pPr>
      <w:r>
        <w:rPr>
          <w:rFonts w:hint="eastAsia" w:ascii="宋体" w:hAnsi="宋体" w:eastAsia="宋体"/>
          <w:sz w:val="24"/>
        </w:rPr>
        <w:t>4.我方同意从供应商须知规定的竞争性磋商日期起遵循本竞争性磋商文件，并在供应商须知规定的竞争性磋商有效期之前均具有约束力。</w:t>
      </w:r>
    </w:p>
    <w:p w14:paraId="42FBC922">
      <w:pPr>
        <w:spacing w:line="360" w:lineRule="auto"/>
        <w:ind w:firstLine="480" w:firstLineChars="200"/>
        <w:rPr>
          <w:rFonts w:ascii="宋体" w:hAnsi="宋体" w:eastAsia="宋体"/>
          <w:sz w:val="24"/>
        </w:rPr>
      </w:pPr>
      <w:r>
        <w:rPr>
          <w:rFonts w:hint="eastAsia" w:ascii="宋体" w:hAnsi="宋体" w:eastAsia="宋体"/>
          <w:sz w:val="24"/>
        </w:rPr>
        <w:t>5.我方承诺如竞争性磋商保证金未在竞争性磋商文件规定时间前到达贵方指定的账户，我方竞争性磋商无效，由此产生的一切后果由我方承担</w:t>
      </w:r>
      <w:r>
        <w:rPr>
          <w:rFonts w:hint="eastAsia" w:asciiTheme="minorEastAsia" w:hAnsiTheme="minorEastAsia" w:eastAsiaTheme="minorEastAsia"/>
          <w:bCs/>
          <w:sz w:val="24"/>
          <w:lang w:val="zh-CN"/>
        </w:rPr>
        <w:t>，且承诺竞争性磋商保证金转出账户真实有效</w:t>
      </w:r>
      <w:r>
        <w:rPr>
          <w:rFonts w:hint="eastAsia" w:ascii="宋体" w:hAnsi="宋体" w:eastAsia="宋体"/>
          <w:sz w:val="24"/>
        </w:rPr>
        <w:t>。</w:t>
      </w:r>
    </w:p>
    <w:p w14:paraId="740E0387">
      <w:pPr>
        <w:spacing w:line="360" w:lineRule="auto"/>
        <w:ind w:firstLine="480" w:firstLineChars="200"/>
        <w:rPr>
          <w:rFonts w:ascii="宋体" w:hAnsi="宋体" w:eastAsia="宋体"/>
          <w:sz w:val="24"/>
        </w:rPr>
      </w:pPr>
      <w:r>
        <w:rPr>
          <w:rFonts w:hint="eastAsia" w:ascii="宋体" w:hAnsi="宋体" w:eastAsia="宋体"/>
          <w:sz w:val="24"/>
        </w:rPr>
        <w:t>6.我方同意按贵方要求在竞争性磋商规定时间内向贵方提供与其竞争性磋商有关的任何证据或补充资料，否则，我方的响应文件可被贵方拒绝。</w:t>
      </w:r>
    </w:p>
    <w:p w14:paraId="589F4A1D">
      <w:pPr>
        <w:spacing w:line="360" w:lineRule="auto"/>
        <w:ind w:firstLine="480" w:firstLineChars="200"/>
        <w:rPr>
          <w:rFonts w:ascii="宋体" w:hAnsi="宋体" w:eastAsia="宋体"/>
          <w:sz w:val="24"/>
        </w:rPr>
      </w:pPr>
      <w:r>
        <w:rPr>
          <w:rFonts w:hint="eastAsia" w:ascii="宋体" w:hAnsi="宋体" w:eastAsia="宋体"/>
          <w:sz w:val="24"/>
        </w:rPr>
        <w:t>7.我方完全理解贵方不一定接受最低报价的竞争性磋商。</w:t>
      </w:r>
    </w:p>
    <w:p w14:paraId="2B03C6D5">
      <w:pPr>
        <w:spacing w:line="360" w:lineRule="auto"/>
        <w:ind w:firstLine="480" w:firstLineChars="200"/>
        <w:rPr>
          <w:rFonts w:ascii="宋体" w:hAnsi="宋体" w:eastAsia="宋体"/>
          <w:sz w:val="24"/>
        </w:rPr>
      </w:pPr>
      <w:r>
        <w:rPr>
          <w:rFonts w:hint="eastAsia" w:ascii="宋体" w:hAnsi="宋体" w:eastAsia="宋体"/>
          <w:sz w:val="24"/>
        </w:rPr>
        <w:t>8.我方同意竞争性磋商文件规定的采购合同条款内容。</w:t>
      </w:r>
    </w:p>
    <w:p w14:paraId="0872770E">
      <w:pPr>
        <w:spacing w:line="360" w:lineRule="auto"/>
        <w:ind w:firstLine="480" w:firstLineChars="200"/>
        <w:rPr>
          <w:rFonts w:ascii="宋体" w:hAnsi="宋体" w:eastAsia="宋体"/>
          <w:sz w:val="24"/>
        </w:rPr>
      </w:pPr>
      <w:r>
        <w:rPr>
          <w:rFonts w:hint="eastAsia" w:ascii="宋体" w:hAnsi="宋体" w:eastAsia="宋体"/>
          <w:sz w:val="24"/>
        </w:rPr>
        <w:t>9.我方对响应文件中所提供资料、文件、证书及证件的真实性和有效性负责。</w:t>
      </w:r>
    </w:p>
    <w:p w14:paraId="7BDD7571">
      <w:pPr>
        <w:spacing w:line="360" w:lineRule="auto"/>
        <w:ind w:firstLine="4560" w:firstLineChars="1900"/>
        <w:rPr>
          <w:rFonts w:ascii="宋体" w:hAnsi="宋体" w:eastAsia="宋体"/>
          <w:sz w:val="24"/>
        </w:rPr>
      </w:pPr>
    </w:p>
    <w:p w14:paraId="7F99C611">
      <w:pPr>
        <w:spacing w:line="360" w:lineRule="auto"/>
        <w:ind w:firstLine="4560" w:firstLineChars="1900"/>
        <w:rPr>
          <w:rFonts w:ascii="宋体" w:hAnsi="宋体" w:eastAsia="宋体"/>
          <w:sz w:val="24"/>
        </w:rPr>
      </w:pPr>
      <w:r>
        <w:rPr>
          <w:rFonts w:hint="eastAsia" w:ascii="宋体" w:hAnsi="宋体" w:eastAsia="宋体"/>
          <w:sz w:val="24"/>
        </w:rPr>
        <w:t>供应商</w:t>
      </w:r>
      <w:r>
        <w:rPr>
          <w:rFonts w:hint="eastAsia" w:ascii="宋体" w:hAnsi="宋体" w:eastAsia="宋体"/>
          <w:sz w:val="24"/>
          <w:lang w:val="en-US" w:eastAsia="zh-CN"/>
        </w:rPr>
        <w:t>盖公</w:t>
      </w:r>
      <w:r>
        <w:rPr>
          <w:rFonts w:hint="eastAsia" w:ascii="宋体" w:hAnsi="宋体" w:eastAsia="宋体"/>
          <w:sz w:val="24"/>
        </w:rPr>
        <w:t>章：</w:t>
      </w:r>
      <w:r>
        <w:rPr>
          <w:rFonts w:hint="eastAsia" w:ascii="宋体" w:hAnsi="宋体" w:eastAsia="宋体"/>
          <w:sz w:val="24"/>
          <w:u w:val="single"/>
        </w:rPr>
        <w:t xml:space="preserve">                </w:t>
      </w:r>
    </w:p>
    <w:p w14:paraId="0EA11C15">
      <w:pPr>
        <w:spacing w:line="360" w:lineRule="auto"/>
        <w:ind w:firstLine="4560" w:firstLineChars="1900"/>
        <w:rPr>
          <w:rFonts w:ascii="宋体" w:hAnsi="宋体" w:eastAsia="宋体"/>
          <w:sz w:val="24"/>
          <w:u w:val="single"/>
        </w:rPr>
      </w:pPr>
      <w:r>
        <w:rPr>
          <w:rFonts w:hint="eastAsia" w:ascii="宋体" w:hAnsi="宋体" w:eastAsia="宋体"/>
          <w:sz w:val="24"/>
        </w:rPr>
        <w:t xml:space="preserve">日    </w:t>
      </w:r>
      <w:r>
        <w:rPr>
          <w:rFonts w:hint="eastAsia" w:ascii="宋体" w:hAnsi="宋体" w:eastAsia="宋体"/>
          <w:sz w:val="24"/>
          <w:lang w:val="en-US" w:eastAsia="zh-CN"/>
        </w:rPr>
        <w:t xml:space="preserve">    </w:t>
      </w:r>
      <w:r>
        <w:rPr>
          <w:rFonts w:hint="eastAsia" w:ascii="宋体" w:hAnsi="宋体" w:eastAsia="宋体"/>
          <w:sz w:val="24"/>
        </w:rPr>
        <w:t>期：</w:t>
      </w:r>
      <w:r>
        <w:rPr>
          <w:rFonts w:hint="eastAsia" w:ascii="宋体" w:hAnsi="宋体" w:eastAsia="宋体"/>
          <w:sz w:val="24"/>
          <w:u w:val="single"/>
        </w:rPr>
        <w:t xml:space="preserve">                      </w:t>
      </w:r>
    </w:p>
    <w:p w14:paraId="22845371">
      <w:pPr>
        <w:spacing w:line="360" w:lineRule="auto"/>
        <w:rPr>
          <w:rFonts w:ascii="宋体" w:hAnsi="宋体" w:eastAsia="宋体"/>
          <w:sz w:val="24"/>
          <w:u w:val="single"/>
        </w:rPr>
      </w:pPr>
    </w:p>
    <w:p w14:paraId="17ABAFA9">
      <w:pPr>
        <w:widowControl/>
        <w:jc w:val="left"/>
        <w:rPr>
          <w:rFonts w:ascii="宋体" w:hAnsi="宋体" w:eastAsia="宋体"/>
          <w:sz w:val="24"/>
          <w:u w:val="single"/>
        </w:rPr>
      </w:pPr>
      <w:r>
        <w:rPr>
          <w:rFonts w:ascii="宋体" w:hAnsi="宋体" w:eastAsia="宋体"/>
          <w:sz w:val="24"/>
          <w:u w:val="single"/>
        </w:rPr>
        <w:br w:type="page"/>
      </w:r>
    </w:p>
    <w:p w14:paraId="5EE49295">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四、无不良信用记录声明函</w:t>
      </w:r>
    </w:p>
    <w:p w14:paraId="7028171E">
      <w:pPr>
        <w:spacing w:line="360" w:lineRule="auto"/>
        <w:jc w:val="center"/>
        <w:rPr>
          <w:rFonts w:ascii="宋体" w:hAnsi="宋体" w:eastAsia="宋体"/>
          <w:b/>
          <w:i/>
          <w:sz w:val="24"/>
        </w:rPr>
      </w:pPr>
      <w:r>
        <w:rPr>
          <w:rFonts w:ascii="宋体" w:hAnsi="宋体" w:eastAsia="宋体"/>
          <w:b/>
          <w:i/>
          <w:sz w:val="24"/>
        </w:rPr>
        <w:t>(</w:t>
      </w:r>
      <w:r>
        <w:rPr>
          <w:rFonts w:hint="eastAsia" w:ascii="宋体" w:hAnsi="宋体" w:eastAsia="宋体"/>
          <w:b/>
          <w:i/>
          <w:sz w:val="24"/>
        </w:rPr>
        <w:t>联合体参加竞争性磋商的，联合体双方均须提供）</w:t>
      </w:r>
    </w:p>
    <w:p w14:paraId="0F1CD5EE">
      <w:pPr>
        <w:spacing w:line="440" w:lineRule="exact"/>
        <w:ind w:firstLine="435"/>
        <w:rPr>
          <w:rFonts w:asciiTheme="minorEastAsia" w:hAnsiTheme="minorEastAsia" w:eastAsiaTheme="minorEastAsia"/>
          <w:sz w:val="24"/>
          <w:szCs w:val="24"/>
        </w:rPr>
      </w:pPr>
      <w:r>
        <w:rPr>
          <w:rFonts w:hint="eastAsia" w:asciiTheme="minorEastAsia" w:hAnsiTheme="minorEastAsia" w:eastAsiaTheme="minorEastAsia"/>
          <w:sz w:val="24"/>
          <w:szCs w:val="24"/>
        </w:rPr>
        <w:t>本单位郑重声明，我单位无以下不良信用记录情形：</w:t>
      </w:r>
    </w:p>
    <w:p w14:paraId="4F23C852">
      <w:pPr>
        <w:spacing w:line="360" w:lineRule="auto"/>
        <w:ind w:firstLine="480" w:firstLineChars="200"/>
        <w:rPr>
          <w:rFonts w:ascii="宋体" w:hAnsi="宋体" w:eastAsia="宋体" w:cs="宋体"/>
          <w:sz w:val="24"/>
          <w:szCs w:val="24"/>
        </w:rPr>
      </w:pPr>
      <w:bookmarkStart w:id="23" w:name="_Hlk60605374"/>
      <w:r>
        <w:rPr>
          <w:rFonts w:hint="eastAsia" w:ascii="宋体" w:hAnsi="宋体" w:eastAsia="宋体" w:cs="宋体"/>
          <w:sz w:val="24"/>
          <w:szCs w:val="24"/>
        </w:rPr>
        <w:t>（1）供应商被人民法院列入失信被执行人；</w:t>
      </w:r>
    </w:p>
    <w:p w14:paraId="10C09B2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（2）供应商被市场监督管理部门列入严重违法失信企业名单；</w:t>
      </w:r>
    </w:p>
    <w:p w14:paraId="24CCC02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（3）供应商被税务部门列入重大税收违法案件当事人名单；</w:t>
      </w:r>
    </w:p>
    <w:p w14:paraId="77DA162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（4）供应商被政府采购监管部门列入政府采购严重违法失信行为记录名单。</w:t>
      </w:r>
    </w:p>
    <w:p w14:paraId="58757085">
      <w:pPr>
        <w:spacing w:line="440" w:lineRule="exact"/>
        <w:ind w:firstLine="435"/>
        <w:rPr>
          <w:rFonts w:ascii="宋体" w:hAnsi="宋体" w:eastAsia="宋体"/>
          <w:sz w:val="24"/>
          <w:szCs w:val="24"/>
        </w:rPr>
      </w:pPr>
    </w:p>
    <w:bookmarkEnd w:id="23"/>
    <w:p w14:paraId="7734EECB">
      <w:pPr>
        <w:spacing w:line="440" w:lineRule="exact"/>
        <w:ind w:firstLine="435"/>
        <w:rPr>
          <w:rFonts w:ascii="宋体" w:hAnsi="宋体" w:eastAsia="宋体"/>
          <w:sz w:val="24"/>
          <w:szCs w:val="24"/>
        </w:rPr>
      </w:pPr>
      <w:r>
        <w:rPr>
          <w:rFonts w:hint="eastAsia" w:ascii="宋体" w:hAnsi="宋体" w:eastAsia="宋体"/>
          <w:sz w:val="24"/>
          <w:szCs w:val="24"/>
        </w:rPr>
        <w:t>本单位对</w:t>
      </w:r>
      <w:r>
        <w:rPr>
          <w:rFonts w:hint="eastAsia" w:asciiTheme="minorEastAsia" w:hAnsiTheme="minorEastAsia" w:eastAsiaTheme="minorEastAsia"/>
          <w:sz w:val="24"/>
          <w:szCs w:val="24"/>
        </w:rPr>
        <w:t>上述</w:t>
      </w:r>
      <w:r>
        <w:rPr>
          <w:rFonts w:hint="eastAsia" w:ascii="宋体" w:hAnsi="宋体" w:eastAsia="宋体"/>
          <w:sz w:val="24"/>
          <w:szCs w:val="24"/>
        </w:rPr>
        <w:t>声明的真实性负责。如有虚假，将依法承担相应责任。</w:t>
      </w:r>
    </w:p>
    <w:p w14:paraId="1A3082A4">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供应商</w:t>
      </w:r>
      <w:r>
        <w:rPr>
          <w:rFonts w:hint="eastAsia" w:ascii="宋体" w:hAnsi="宋体" w:eastAsia="宋体"/>
          <w:sz w:val="24"/>
          <w:lang w:val="en-US" w:eastAsia="zh-CN"/>
        </w:rPr>
        <w:t>盖公</w:t>
      </w:r>
      <w:r>
        <w:rPr>
          <w:rFonts w:hint="eastAsia" w:ascii="宋体" w:hAnsi="宋体" w:eastAsia="宋体"/>
          <w:sz w:val="24"/>
        </w:rPr>
        <w:t>章</w:t>
      </w:r>
      <w:r>
        <w:rPr>
          <w:rFonts w:hint="eastAsia" w:ascii="宋体" w:hAnsi="宋体" w:eastAsia="宋体"/>
          <w:sz w:val="24"/>
          <w:szCs w:val="24"/>
        </w:rPr>
        <w:t>：</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p>
    <w:p w14:paraId="18D0D430">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期：</w:t>
      </w:r>
      <w:r>
        <w:rPr>
          <w:rFonts w:hint="eastAsia" w:ascii="宋体" w:hAnsi="宋体" w:eastAsia="宋体"/>
          <w:sz w:val="24"/>
          <w:szCs w:val="24"/>
          <w:u w:val="single"/>
        </w:rPr>
        <w:t xml:space="preserve">             </w:t>
      </w:r>
    </w:p>
    <w:p w14:paraId="65358A03">
      <w:pPr>
        <w:widowControl/>
        <w:jc w:val="left"/>
        <w:rPr>
          <w:rFonts w:ascii="宋体" w:hAnsi="宋体" w:eastAsia="宋体"/>
          <w:sz w:val="24"/>
          <w:u w:val="single"/>
        </w:rPr>
      </w:pPr>
      <w:r>
        <w:rPr>
          <w:rFonts w:ascii="宋体" w:hAnsi="宋体" w:eastAsia="宋体"/>
          <w:sz w:val="24"/>
          <w:u w:val="single"/>
        </w:rPr>
        <w:br w:type="page"/>
      </w:r>
    </w:p>
    <w:p w14:paraId="291E4512">
      <w:pPr>
        <w:spacing w:line="360" w:lineRule="auto"/>
        <w:jc w:val="center"/>
        <w:outlineLvl w:val="2"/>
        <w:rPr>
          <w:rFonts w:asciiTheme="minorEastAsia" w:hAnsiTheme="minorEastAsia" w:eastAsiaTheme="minorEastAsia"/>
          <w:b/>
          <w:sz w:val="24"/>
        </w:rPr>
      </w:pPr>
      <w:bookmarkStart w:id="24" w:name="_Toc204594911"/>
      <w:bookmarkStart w:id="25" w:name="_Toc121626298"/>
      <w:bookmarkStart w:id="26" w:name="_Toc516969106"/>
      <w:bookmarkStart w:id="27" w:name="_Toc520983594"/>
      <w:r>
        <w:rPr>
          <w:rFonts w:hint="eastAsia" w:asciiTheme="minorEastAsia" w:hAnsiTheme="minorEastAsia" w:eastAsiaTheme="minorEastAsia"/>
          <w:b/>
          <w:sz w:val="24"/>
        </w:rPr>
        <w:t>五、授权书</w:t>
      </w:r>
      <w:bookmarkEnd w:id="24"/>
      <w:bookmarkEnd w:id="25"/>
      <w:bookmarkEnd w:id="26"/>
      <w:bookmarkEnd w:id="27"/>
    </w:p>
    <w:p w14:paraId="0D1DD7FA">
      <w:pPr>
        <w:pStyle w:val="12"/>
        <w:snapToGrid w:val="0"/>
        <w:spacing w:line="360" w:lineRule="auto"/>
        <w:ind w:firstLine="482" w:firstLineChars="200"/>
        <w:jc w:val="left"/>
        <w:rPr>
          <w:rFonts w:asciiTheme="minorEastAsia" w:hAnsiTheme="minorEastAsia"/>
          <w:b/>
          <w:sz w:val="24"/>
        </w:rPr>
      </w:pPr>
    </w:p>
    <w:p w14:paraId="37DA733D">
      <w:pPr>
        <w:pStyle w:val="12"/>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本授权书声明：</w:t>
      </w:r>
      <w:r>
        <w:rPr>
          <w:rFonts w:hint="eastAsia" w:hAnsi="宋体" w:eastAsia="宋体"/>
          <w:sz w:val="24"/>
          <w:szCs w:val="28"/>
          <w:u w:val="single"/>
        </w:rPr>
        <w:t xml:space="preserve">           </w:t>
      </w:r>
      <w:r>
        <w:rPr>
          <w:rFonts w:hint="eastAsia" w:hAnsi="宋体" w:eastAsia="宋体"/>
          <w:sz w:val="24"/>
          <w:szCs w:val="28"/>
        </w:rPr>
        <w:t>（供应商名称）授权</w:t>
      </w:r>
      <w:r>
        <w:rPr>
          <w:rFonts w:hint="eastAsia" w:hAnsi="宋体" w:eastAsia="宋体"/>
          <w:sz w:val="24"/>
          <w:szCs w:val="28"/>
          <w:u w:val="single"/>
        </w:rPr>
        <w:t xml:space="preserve">       </w:t>
      </w:r>
      <w:r>
        <w:rPr>
          <w:rFonts w:hint="eastAsia" w:hAnsi="宋体" w:eastAsia="宋体"/>
          <w:sz w:val="24"/>
          <w:szCs w:val="28"/>
        </w:rPr>
        <w:t>（供应商授权代表姓名、职务）代表我方参加</w:t>
      </w:r>
      <w:r>
        <w:rPr>
          <w:rFonts w:hint="eastAsia" w:hAnsi="宋体" w:eastAsia="宋体"/>
          <w:sz w:val="24"/>
          <w:u w:val="single"/>
        </w:rPr>
        <w:t xml:space="preserve">  （项目名称）           </w:t>
      </w:r>
      <w:r>
        <w:rPr>
          <w:rFonts w:hint="eastAsia" w:hAnsi="宋体" w:eastAsia="宋体"/>
          <w:bCs/>
          <w:sz w:val="24"/>
          <w:szCs w:val="28"/>
        </w:rPr>
        <w:t>采购活动</w:t>
      </w:r>
      <w:r>
        <w:rPr>
          <w:rFonts w:hint="eastAsia" w:hAnsi="宋体" w:eastAsia="宋体"/>
          <w:sz w:val="24"/>
          <w:szCs w:val="28"/>
        </w:rPr>
        <w:t>，全权代表我方处理竞争性磋商过程的一切事宜，包括但不限于：提交响应文件、参与竞争性磋商、签约等。供应商授权代表在采购活动过程中所签署的一切文件和处理与之有关的一切事务，本公司均予以认可并对此承担责任。供应商授权代表无转委托权。特此授权。</w:t>
      </w:r>
    </w:p>
    <w:p w14:paraId="11736928">
      <w:pPr>
        <w:pStyle w:val="12"/>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本授权书自出具之日起生效。</w:t>
      </w:r>
    </w:p>
    <w:p w14:paraId="5531001F">
      <w:pPr>
        <w:pStyle w:val="12"/>
        <w:snapToGrid w:val="0"/>
        <w:spacing w:line="360" w:lineRule="auto"/>
        <w:ind w:firstLine="480" w:firstLineChars="200"/>
        <w:jc w:val="left"/>
        <w:rPr>
          <w:rFonts w:hAnsi="宋体" w:eastAsia="宋体"/>
          <w:sz w:val="24"/>
        </w:rPr>
      </w:pPr>
      <w:r>
        <w:rPr>
          <w:rFonts w:hint="eastAsia" w:hAnsi="宋体" w:eastAsia="宋体"/>
          <w:sz w:val="24"/>
          <w:szCs w:val="28"/>
        </w:rPr>
        <w:t>授权代表</w:t>
      </w:r>
      <w:r>
        <w:rPr>
          <w:rFonts w:hint="eastAsia" w:hAnsi="宋体" w:eastAsia="宋体"/>
          <w:sz w:val="24"/>
        </w:rPr>
        <w:t>身份证明扫描件：</w:t>
      </w:r>
    </w:p>
    <w:p w14:paraId="407D4E2F">
      <w:pPr>
        <w:pStyle w:val="12"/>
        <w:snapToGrid w:val="0"/>
        <w:spacing w:line="360" w:lineRule="auto"/>
        <w:ind w:firstLine="480" w:firstLineChars="200"/>
        <w:jc w:val="left"/>
        <w:rPr>
          <w:rFonts w:hAnsi="宋体" w:eastAsia="宋体"/>
          <w:sz w:val="24"/>
        </w:rPr>
      </w:pPr>
    </w:p>
    <w:p w14:paraId="3A5B2D60">
      <w:pPr>
        <w:pStyle w:val="12"/>
        <w:snapToGrid w:val="0"/>
        <w:spacing w:line="360" w:lineRule="auto"/>
        <w:ind w:firstLine="480" w:firstLineChars="200"/>
        <w:jc w:val="left"/>
        <w:rPr>
          <w:rFonts w:hAnsi="宋体" w:eastAsia="宋体"/>
          <w:sz w:val="24"/>
        </w:rPr>
      </w:pPr>
    </w:p>
    <w:p w14:paraId="1E88B97D">
      <w:pPr>
        <w:pStyle w:val="12"/>
        <w:snapToGrid w:val="0"/>
        <w:spacing w:line="360" w:lineRule="auto"/>
        <w:ind w:firstLine="480" w:firstLineChars="200"/>
        <w:jc w:val="left"/>
        <w:rPr>
          <w:rFonts w:hAnsi="宋体" w:eastAsia="宋体"/>
          <w:sz w:val="24"/>
        </w:rPr>
      </w:pPr>
    </w:p>
    <w:p w14:paraId="171834D2">
      <w:pPr>
        <w:pStyle w:val="12"/>
        <w:snapToGrid w:val="0"/>
        <w:spacing w:line="360" w:lineRule="auto"/>
        <w:ind w:firstLine="480" w:firstLineChars="200"/>
        <w:jc w:val="left"/>
        <w:rPr>
          <w:rFonts w:hAnsi="宋体" w:eastAsia="宋体"/>
          <w:sz w:val="24"/>
        </w:rPr>
      </w:pPr>
    </w:p>
    <w:p w14:paraId="4AE1EF23">
      <w:pPr>
        <w:pStyle w:val="12"/>
        <w:snapToGrid w:val="0"/>
        <w:spacing w:line="360" w:lineRule="auto"/>
        <w:ind w:firstLine="480" w:firstLineChars="200"/>
        <w:jc w:val="left"/>
        <w:rPr>
          <w:rFonts w:hAnsi="宋体" w:eastAsia="宋体"/>
          <w:sz w:val="24"/>
          <w:szCs w:val="28"/>
          <w:u w:val="single"/>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14:paraId="631280CE">
      <w:pPr>
        <w:pStyle w:val="12"/>
        <w:snapToGrid w:val="0"/>
        <w:spacing w:line="360" w:lineRule="auto"/>
        <w:ind w:firstLine="480" w:firstLineChars="200"/>
        <w:jc w:val="left"/>
        <w:rPr>
          <w:rFonts w:hAnsi="宋体" w:eastAsia="宋体"/>
          <w:sz w:val="24"/>
          <w:szCs w:val="28"/>
        </w:rPr>
      </w:pPr>
    </w:p>
    <w:p w14:paraId="4CE7464B">
      <w:pPr>
        <w:spacing w:line="360" w:lineRule="auto"/>
        <w:ind w:firstLine="360" w:firstLineChars="150"/>
        <w:rPr>
          <w:rFonts w:ascii="宋体" w:hAnsi="宋体" w:eastAsia="宋体"/>
          <w:sz w:val="24"/>
          <w:szCs w:val="28"/>
        </w:rPr>
      </w:pPr>
      <w:r>
        <w:rPr>
          <w:rFonts w:hint="eastAsia" w:ascii="宋体" w:hAnsi="宋体" w:eastAsia="宋体"/>
          <w:sz w:val="24"/>
          <w:szCs w:val="28"/>
        </w:rPr>
        <w:t>特此声明。</w:t>
      </w:r>
    </w:p>
    <w:p w14:paraId="2E881CB0">
      <w:pPr>
        <w:spacing w:line="360" w:lineRule="auto"/>
        <w:rPr>
          <w:rFonts w:ascii="宋体" w:hAnsi="宋体" w:eastAsia="宋体"/>
          <w:sz w:val="24"/>
          <w:szCs w:val="28"/>
        </w:rPr>
      </w:pPr>
    </w:p>
    <w:p w14:paraId="3C6C180A">
      <w:pPr>
        <w:spacing w:line="360" w:lineRule="auto"/>
        <w:ind w:firstLine="424" w:firstLineChars="177"/>
        <w:rPr>
          <w:rFonts w:ascii="宋体" w:hAnsi="宋体" w:eastAsia="宋体"/>
          <w:sz w:val="24"/>
        </w:rPr>
      </w:pPr>
      <w:r>
        <w:rPr>
          <w:rFonts w:hint="eastAsia" w:ascii="宋体" w:hAnsi="宋体" w:eastAsia="宋体"/>
          <w:sz w:val="24"/>
        </w:rPr>
        <w:t>供应商</w:t>
      </w:r>
      <w:r>
        <w:rPr>
          <w:rFonts w:hint="eastAsia" w:ascii="宋体" w:hAnsi="宋体" w:eastAsia="宋体"/>
          <w:sz w:val="24"/>
          <w:lang w:val="en-US" w:eastAsia="zh-CN"/>
        </w:rPr>
        <w:t>盖公</w:t>
      </w:r>
      <w:r>
        <w:rPr>
          <w:rFonts w:hint="eastAsia" w:ascii="宋体" w:hAnsi="宋体" w:eastAsia="宋体"/>
          <w:sz w:val="24"/>
        </w:rPr>
        <w:t>章：</w:t>
      </w:r>
      <w:r>
        <w:rPr>
          <w:rFonts w:hint="eastAsia" w:ascii="宋体" w:hAnsi="宋体" w:eastAsia="宋体"/>
          <w:sz w:val="24"/>
          <w:u w:val="single"/>
        </w:rPr>
        <w:t xml:space="preserve">                </w:t>
      </w:r>
    </w:p>
    <w:p w14:paraId="627ABF6B">
      <w:pPr>
        <w:spacing w:line="360" w:lineRule="auto"/>
        <w:ind w:firstLine="424" w:firstLineChars="177"/>
        <w:rPr>
          <w:rFonts w:ascii="宋体" w:hAnsi="宋体" w:eastAsia="宋体"/>
          <w:sz w:val="24"/>
          <w:u w:val="single"/>
        </w:rPr>
      </w:pPr>
      <w:r>
        <w:rPr>
          <w:rFonts w:hint="eastAsia" w:ascii="宋体" w:hAnsi="宋体" w:eastAsia="宋体"/>
          <w:sz w:val="24"/>
        </w:rPr>
        <w:t xml:space="preserve">日  </w:t>
      </w:r>
      <w:r>
        <w:rPr>
          <w:rFonts w:hint="eastAsia" w:ascii="宋体" w:hAnsi="宋体" w:eastAsia="宋体"/>
          <w:sz w:val="24"/>
          <w:lang w:val="en-US" w:eastAsia="zh-CN"/>
        </w:rPr>
        <w:t xml:space="preserve">  </w:t>
      </w:r>
      <w:r>
        <w:rPr>
          <w:rFonts w:hint="eastAsia" w:ascii="宋体" w:hAnsi="宋体" w:eastAsia="宋体"/>
          <w:sz w:val="24"/>
        </w:rPr>
        <w:t xml:space="preserve">  </w:t>
      </w:r>
      <w:r>
        <w:rPr>
          <w:rFonts w:hint="eastAsia" w:ascii="宋体" w:hAnsi="宋体" w:eastAsia="宋体"/>
          <w:sz w:val="24"/>
          <w:lang w:val="en-US" w:eastAsia="zh-CN"/>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44A30A7B">
      <w:pPr>
        <w:spacing w:line="360" w:lineRule="auto"/>
        <w:jc w:val="left"/>
        <w:rPr>
          <w:rFonts w:ascii="宋体" w:hAnsi="宋体" w:eastAsia="宋体"/>
          <w:sz w:val="24"/>
          <w:szCs w:val="28"/>
        </w:rPr>
      </w:pPr>
    </w:p>
    <w:p w14:paraId="7F176CAE">
      <w:pPr>
        <w:spacing w:line="360" w:lineRule="auto"/>
        <w:rPr>
          <w:rFonts w:ascii="宋体" w:hAnsi="宋体" w:eastAsia="宋体"/>
          <w:sz w:val="24"/>
          <w:szCs w:val="28"/>
        </w:rPr>
      </w:pPr>
    </w:p>
    <w:p w14:paraId="57005F2C">
      <w:pPr>
        <w:pStyle w:val="12"/>
        <w:snapToGrid w:val="0"/>
        <w:spacing w:line="360" w:lineRule="auto"/>
        <w:jc w:val="left"/>
        <w:rPr>
          <w:rFonts w:hAnsi="宋体" w:eastAsia="宋体"/>
          <w:sz w:val="24"/>
          <w:szCs w:val="28"/>
        </w:rPr>
      </w:pPr>
      <w:r>
        <w:rPr>
          <w:rFonts w:hint="eastAsia" w:hAnsi="宋体" w:eastAsia="宋体"/>
          <w:sz w:val="24"/>
          <w:szCs w:val="28"/>
        </w:rPr>
        <w:t>注：</w:t>
      </w:r>
    </w:p>
    <w:p w14:paraId="0069B919">
      <w:pPr>
        <w:pStyle w:val="12"/>
        <w:snapToGrid w:val="0"/>
        <w:spacing w:line="360" w:lineRule="auto"/>
        <w:jc w:val="left"/>
        <w:rPr>
          <w:rFonts w:hAnsi="宋体" w:eastAsia="宋体"/>
          <w:sz w:val="24"/>
          <w:szCs w:val="28"/>
        </w:rPr>
      </w:pPr>
      <w:r>
        <w:rPr>
          <w:rFonts w:hint="eastAsia" w:hAnsi="宋体" w:eastAsia="宋体"/>
          <w:sz w:val="24"/>
          <w:szCs w:val="28"/>
        </w:rPr>
        <w:t>1.本项目只允许有唯一的供应商授权代表，提供身份证明扫描件；</w:t>
      </w:r>
    </w:p>
    <w:p w14:paraId="7209ED7A">
      <w:pPr>
        <w:spacing w:line="360" w:lineRule="auto"/>
        <w:jc w:val="left"/>
        <w:rPr>
          <w:rFonts w:asciiTheme="minorEastAsia" w:hAnsiTheme="minorEastAsia" w:eastAsiaTheme="minorEastAsia"/>
          <w:b/>
          <w:sz w:val="24"/>
        </w:rPr>
      </w:pPr>
      <w:r>
        <w:rPr>
          <w:rFonts w:hint="eastAsia" w:ascii="宋体" w:hAnsi="宋体" w:eastAsia="宋体"/>
          <w:sz w:val="24"/>
        </w:rPr>
        <w:t>2.法定代表人参加竞争性磋商的无需提供授权书，仅提供身份证明扫描件。</w:t>
      </w:r>
    </w:p>
    <w:p w14:paraId="30F7952F">
      <w:pPr>
        <w:spacing w:line="360" w:lineRule="auto"/>
        <w:jc w:val="center"/>
        <w:rPr>
          <w:rFonts w:asciiTheme="minorEastAsia" w:hAnsiTheme="minorEastAsia" w:eastAsiaTheme="minorEastAsia"/>
          <w:b/>
          <w:sz w:val="24"/>
        </w:rPr>
      </w:pPr>
      <w:r>
        <w:rPr>
          <w:rFonts w:asciiTheme="minorEastAsia" w:hAnsiTheme="minorEastAsia" w:eastAsiaTheme="minorEastAsia"/>
          <w:b/>
          <w:sz w:val="24"/>
        </w:rPr>
        <w:br w:type="page"/>
      </w:r>
    </w:p>
    <w:p w14:paraId="2D23E3D5">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六、竞争性磋商响应表</w:t>
      </w:r>
    </w:p>
    <w:p w14:paraId="13BA6A74">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.1</w:t>
      </w:r>
      <w:r>
        <w:rPr>
          <w:rFonts w:hint="eastAsia" w:asciiTheme="minorEastAsia" w:hAnsiTheme="minorEastAsia" w:eastAsiaTheme="minorEastAsia"/>
          <w:b/>
          <w:sz w:val="24"/>
        </w:rPr>
        <w:t>商务响应表</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715"/>
        <w:gridCol w:w="2865"/>
        <w:gridCol w:w="2408"/>
        <w:gridCol w:w="810"/>
      </w:tblGrid>
      <w:tr w14:paraId="36BE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vAlign w:val="center"/>
          </w:tcPr>
          <w:p w14:paraId="06A9DDF1">
            <w:pPr>
              <w:pStyle w:val="12"/>
              <w:jc w:val="center"/>
              <w:rPr>
                <w:rFonts w:cs="Wingdings" w:asciiTheme="minorEastAsia" w:hAnsiTheme="minorEastAsia"/>
                <w:b/>
                <w:sz w:val="24"/>
              </w:rPr>
            </w:pPr>
            <w:r>
              <w:rPr>
                <w:rFonts w:hint="eastAsia" w:cs="Wingdings" w:asciiTheme="minorEastAsia" w:hAnsiTheme="minorEastAsia"/>
                <w:b/>
                <w:sz w:val="24"/>
              </w:rPr>
              <w:t>序号</w:t>
            </w:r>
          </w:p>
        </w:tc>
        <w:tc>
          <w:tcPr>
            <w:tcW w:w="1715" w:type="dxa"/>
            <w:vAlign w:val="center"/>
          </w:tcPr>
          <w:p w14:paraId="19B8CE33">
            <w:pPr>
              <w:pStyle w:val="12"/>
              <w:jc w:val="center"/>
              <w:rPr>
                <w:rFonts w:cs="Wingdings" w:asciiTheme="minorEastAsia" w:hAnsiTheme="minorEastAsia"/>
                <w:b/>
                <w:sz w:val="24"/>
              </w:rPr>
            </w:pPr>
            <w:r>
              <w:rPr>
                <w:rFonts w:hint="eastAsia" w:asciiTheme="minorEastAsia" w:hAnsiTheme="minorEastAsia"/>
                <w:b/>
                <w:bCs/>
                <w:sz w:val="24"/>
                <w:szCs w:val="24"/>
              </w:rPr>
              <w:t>商务条款</w:t>
            </w:r>
          </w:p>
        </w:tc>
        <w:tc>
          <w:tcPr>
            <w:tcW w:w="2865" w:type="dxa"/>
            <w:vAlign w:val="center"/>
          </w:tcPr>
          <w:p w14:paraId="7C76F4D1">
            <w:pPr>
              <w:pStyle w:val="12"/>
              <w:jc w:val="center"/>
              <w:rPr>
                <w:rFonts w:cs="Wingdings" w:asciiTheme="minorEastAsia" w:hAnsiTheme="minorEastAsia"/>
                <w:b/>
                <w:sz w:val="24"/>
              </w:rPr>
            </w:pPr>
            <w:r>
              <w:rPr>
                <w:rFonts w:hint="eastAsia" w:cs="Wingdings" w:asciiTheme="minorEastAsia" w:hAnsiTheme="minorEastAsia"/>
                <w:b/>
                <w:sz w:val="24"/>
              </w:rPr>
              <w:t>竞争性磋商文件要求</w:t>
            </w:r>
          </w:p>
        </w:tc>
        <w:tc>
          <w:tcPr>
            <w:tcW w:w="2408" w:type="dxa"/>
            <w:vAlign w:val="center"/>
          </w:tcPr>
          <w:p w14:paraId="4B94E154">
            <w:pPr>
              <w:pStyle w:val="12"/>
              <w:jc w:val="center"/>
              <w:rPr>
                <w:rFonts w:cs="Wingdings" w:asciiTheme="minorEastAsia" w:hAnsiTheme="minorEastAsia"/>
                <w:b/>
                <w:sz w:val="24"/>
              </w:rPr>
            </w:pPr>
            <w:r>
              <w:rPr>
                <w:rFonts w:hint="eastAsia" w:cs="Wingdings" w:asciiTheme="minorEastAsia" w:hAnsiTheme="minorEastAsia"/>
                <w:b/>
                <w:sz w:val="24"/>
              </w:rPr>
              <w:t>供应商承诺</w:t>
            </w:r>
          </w:p>
        </w:tc>
        <w:tc>
          <w:tcPr>
            <w:tcW w:w="810" w:type="dxa"/>
            <w:vAlign w:val="center"/>
          </w:tcPr>
          <w:p w14:paraId="10785675">
            <w:pPr>
              <w:pStyle w:val="12"/>
              <w:jc w:val="center"/>
              <w:rPr>
                <w:rFonts w:cs="Wingdings" w:asciiTheme="minorEastAsia" w:hAnsiTheme="minorEastAsia"/>
                <w:b/>
                <w:sz w:val="24"/>
              </w:rPr>
            </w:pPr>
            <w:r>
              <w:rPr>
                <w:rFonts w:hint="eastAsia" w:cs="Wingdings" w:asciiTheme="minorEastAsia" w:hAnsiTheme="minorEastAsia"/>
                <w:b/>
                <w:sz w:val="24"/>
              </w:rPr>
              <w:t>偏离说明</w:t>
            </w:r>
          </w:p>
        </w:tc>
      </w:tr>
      <w:tr w14:paraId="7A291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1D39D1D7">
            <w:pPr>
              <w:jc w:val="center"/>
              <w:rPr>
                <w:rFonts w:ascii="宋体" w:hAnsi="宋体" w:eastAsia="宋体" w:cstheme="minorBidi"/>
                <w:sz w:val="24"/>
                <w:szCs w:val="28"/>
              </w:rPr>
            </w:pPr>
            <w:r>
              <w:rPr>
                <w:rFonts w:hint="eastAsia" w:ascii="宋体" w:hAnsi="宋体" w:eastAsia="宋体" w:cstheme="minorBidi"/>
                <w:sz w:val="24"/>
                <w:szCs w:val="28"/>
              </w:rPr>
              <w:t>1</w:t>
            </w:r>
          </w:p>
        </w:tc>
        <w:tc>
          <w:tcPr>
            <w:tcW w:w="1715" w:type="dxa"/>
            <w:vAlign w:val="center"/>
          </w:tcPr>
          <w:p w14:paraId="76548FD5">
            <w:pPr>
              <w:jc w:val="center"/>
              <w:rPr>
                <w:rFonts w:hint="eastAsia" w:ascii="宋体" w:hAnsi="宋体" w:eastAsia="宋体" w:cstheme="minorBidi"/>
                <w:sz w:val="24"/>
                <w:szCs w:val="28"/>
                <w:lang w:eastAsia="zh-CN"/>
              </w:rPr>
            </w:pPr>
            <w:r>
              <w:rPr>
                <w:rFonts w:hint="eastAsia" w:ascii="宋体" w:hAnsi="宋体" w:eastAsia="宋体" w:cstheme="minorBidi"/>
                <w:sz w:val="24"/>
                <w:szCs w:val="28"/>
              </w:rPr>
              <w:t>服务</w:t>
            </w:r>
            <w:r>
              <w:rPr>
                <w:rFonts w:hint="eastAsia" w:ascii="宋体" w:hAnsi="宋体" w:eastAsia="宋体" w:cstheme="minorBidi"/>
                <w:sz w:val="24"/>
                <w:szCs w:val="28"/>
                <w:lang w:val="en-US" w:eastAsia="zh-CN"/>
              </w:rPr>
              <w:t>期限</w:t>
            </w:r>
          </w:p>
        </w:tc>
        <w:tc>
          <w:tcPr>
            <w:tcW w:w="2865" w:type="dxa"/>
            <w:vAlign w:val="center"/>
          </w:tcPr>
          <w:p w14:paraId="358F357D">
            <w:pPr>
              <w:jc w:val="center"/>
              <w:rPr>
                <w:rFonts w:ascii="宋体" w:hAnsi="宋体" w:eastAsia="宋体" w:cstheme="minorBidi"/>
                <w:sz w:val="24"/>
                <w:szCs w:val="28"/>
              </w:rPr>
            </w:pPr>
            <w:r>
              <w:rPr>
                <w:rFonts w:hint="eastAsia" w:ascii="宋体" w:hAnsi="宋体" w:eastAsia="宋体" w:cstheme="minorBidi"/>
                <w:sz w:val="24"/>
                <w:szCs w:val="28"/>
              </w:rPr>
              <w:t xml:space="preserve">施工工期120天。检测服务期自检测合同签订之日起至全部工程竣工验收合格、移交完成止。 </w:t>
            </w:r>
          </w:p>
        </w:tc>
        <w:tc>
          <w:tcPr>
            <w:tcW w:w="2408" w:type="dxa"/>
            <w:vAlign w:val="center"/>
          </w:tcPr>
          <w:p w14:paraId="297BA46D">
            <w:pPr>
              <w:jc w:val="center"/>
              <w:rPr>
                <w:rFonts w:asciiTheme="minorEastAsia" w:hAnsiTheme="minorEastAsia" w:eastAsiaTheme="minorEastAsia"/>
                <w:sz w:val="24"/>
              </w:rPr>
            </w:pPr>
          </w:p>
        </w:tc>
        <w:tc>
          <w:tcPr>
            <w:tcW w:w="810" w:type="dxa"/>
            <w:vAlign w:val="center"/>
          </w:tcPr>
          <w:p w14:paraId="3B201670">
            <w:pPr>
              <w:jc w:val="center"/>
              <w:rPr>
                <w:rFonts w:asciiTheme="minorEastAsia" w:hAnsiTheme="minorEastAsia" w:eastAsiaTheme="minorEastAsia"/>
                <w:sz w:val="24"/>
              </w:rPr>
            </w:pPr>
          </w:p>
        </w:tc>
      </w:tr>
      <w:tr w14:paraId="6B90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2BCCDBAD">
            <w:pPr>
              <w:jc w:val="center"/>
              <w:rPr>
                <w:rFonts w:ascii="宋体" w:hAnsi="宋体" w:eastAsia="宋体" w:cstheme="minorBidi"/>
                <w:sz w:val="24"/>
                <w:szCs w:val="28"/>
              </w:rPr>
            </w:pPr>
            <w:r>
              <w:rPr>
                <w:rFonts w:hint="eastAsia" w:ascii="宋体" w:hAnsi="宋体" w:eastAsia="宋体" w:cstheme="minorBidi"/>
                <w:sz w:val="24"/>
                <w:szCs w:val="28"/>
              </w:rPr>
              <w:t>2</w:t>
            </w:r>
          </w:p>
        </w:tc>
        <w:tc>
          <w:tcPr>
            <w:tcW w:w="1715" w:type="dxa"/>
            <w:vAlign w:val="center"/>
          </w:tcPr>
          <w:p w14:paraId="2D2B21FA">
            <w:pPr>
              <w:jc w:val="center"/>
              <w:rPr>
                <w:rFonts w:ascii="宋体" w:hAnsi="宋体" w:eastAsia="宋体" w:cstheme="minorBidi"/>
                <w:sz w:val="24"/>
                <w:szCs w:val="28"/>
              </w:rPr>
            </w:pPr>
            <w:r>
              <w:rPr>
                <w:rFonts w:hint="eastAsia" w:ascii="宋体" w:hAnsi="宋体" w:eastAsia="宋体" w:cstheme="minorBidi"/>
                <w:sz w:val="24"/>
                <w:szCs w:val="28"/>
              </w:rPr>
              <w:t>付款响应</w:t>
            </w:r>
          </w:p>
        </w:tc>
        <w:tc>
          <w:tcPr>
            <w:tcW w:w="2865" w:type="dxa"/>
            <w:vAlign w:val="center"/>
          </w:tcPr>
          <w:p w14:paraId="41DF49D1">
            <w:pPr>
              <w:jc w:val="center"/>
              <w:rPr>
                <w:rFonts w:ascii="宋体" w:hAnsi="宋体" w:eastAsia="宋体" w:cstheme="minorBidi"/>
                <w:sz w:val="24"/>
                <w:szCs w:val="28"/>
              </w:rPr>
            </w:pPr>
            <w:r>
              <w:rPr>
                <w:rFonts w:hint="eastAsia" w:ascii="宋体" w:hAnsi="宋体" w:eastAsia="宋体" w:cstheme="minorBidi"/>
                <w:sz w:val="24"/>
                <w:szCs w:val="28"/>
              </w:rPr>
              <w:t>满足第五章采购合同主要条款</w:t>
            </w:r>
          </w:p>
        </w:tc>
        <w:tc>
          <w:tcPr>
            <w:tcW w:w="2408" w:type="dxa"/>
            <w:vAlign w:val="center"/>
          </w:tcPr>
          <w:p w14:paraId="5137D1F6">
            <w:pPr>
              <w:jc w:val="center"/>
              <w:rPr>
                <w:rFonts w:asciiTheme="minorEastAsia" w:hAnsiTheme="minorEastAsia" w:eastAsiaTheme="minorEastAsia"/>
                <w:sz w:val="24"/>
              </w:rPr>
            </w:pPr>
          </w:p>
        </w:tc>
        <w:tc>
          <w:tcPr>
            <w:tcW w:w="810" w:type="dxa"/>
            <w:vAlign w:val="center"/>
          </w:tcPr>
          <w:p w14:paraId="69055C3F">
            <w:pPr>
              <w:jc w:val="center"/>
              <w:rPr>
                <w:rFonts w:asciiTheme="minorEastAsia" w:hAnsiTheme="minorEastAsia" w:eastAsiaTheme="minorEastAsia"/>
                <w:sz w:val="24"/>
              </w:rPr>
            </w:pPr>
          </w:p>
        </w:tc>
      </w:tr>
      <w:tr w14:paraId="1710C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21CBC365">
            <w:pPr>
              <w:jc w:val="center"/>
              <w:rPr>
                <w:rFonts w:ascii="宋体" w:hAnsi="宋体" w:eastAsia="宋体" w:cstheme="minorBidi"/>
                <w:sz w:val="24"/>
                <w:szCs w:val="28"/>
              </w:rPr>
            </w:pPr>
            <w:r>
              <w:rPr>
                <w:rFonts w:hint="eastAsia" w:ascii="宋体" w:hAnsi="宋体" w:eastAsia="宋体" w:cstheme="minorBidi"/>
                <w:sz w:val="24"/>
                <w:szCs w:val="28"/>
              </w:rPr>
              <w:t>3</w:t>
            </w:r>
          </w:p>
        </w:tc>
        <w:tc>
          <w:tcPr>
            <w:tcW w:w="1715" w:type="dxa"/>
            <w:vAlign w:val="center"/>
          </w:tcPr>
          <w:p w14:paraId="6B46572C">
            <w:pPr>
              <w:jc w:val="center"/>
              <w:rPr>
                <w:rFonts w:ascii="宋体" w:hAnsi="宋体" w:eastAsia="宋体" w:cstheme="minorBidi"/>
                <w:sz w:val="24"/>
                <w:szCs w:val="28"/>
              </w:rPr>
            </w:pPr>
            <w:r>
              <w:rPr>
                <w:rFonts w:hint="eastAsia" w:ascii="宋体" w:hAnsi="宋体" w:eastAsia="宋体" w:cstheme="minorBidi"/>
                <w:sz w:val="24"/>
                <w:szCs w:val="28"/>
              </w:rPr>
              <w:t>采购需求</w:t>
            </w:r>
          </w:p>
        </w:tc>
        <w:tc>
          <w:tcPr>
            <w:tcW w:w="2865" w:type="dxa"/>
            <w:vAlign w:val="center"/>
          </w:tcPr>
          <w:p w14:paraId="36D2D40B">
            <w:pPr>
              <w:jc w:val="center"/>
              <w:rPr>
                <w:rFonts w:ascii="宋体" w:hAnsi="宋体" w:eastAsia="宋体" w:cstheme="minorBidi"/>
                <w:sz w:val="24"/>
                <w:szCs w:val="28"/>
              </w:rPr>
            </w:pPr>
            <w:r>
              <w:rPr>
                <w:rFonts w:hint="eastAsia" w:ascii="宋体" w:hAnsi="宋体" w:eastAsia="宋体" w:cstheme="minorBidi"/>
                <w:sz w:val="24"/>
                <w:szCs w:val="28"/>
              </w:rPr>
              <w:t>满足第三章采购需求要求</w:t>
            </w:r>
          </w:p>
        </w:tc>
        <w:tc>
          <w:tcPr>
            <w:tcW w:w="2408" w:type="dxa"/>
            <w:vAlign w:val="center"/>
          </w:tcPr>
          <w:p w14:paraId="05CC5DED">
            <w:pPr>
              <w:pStyle w:val="54"/>
              <w:jc w:val="center"/>
              <w:rPr>
                <w:rFonts w:asciiTheme="minorEastAsia" w:hAnsiTheme="minorEastAsia" w:eastAsiaTheme="minorEastAsia"/>
              </w:rPr>
            </w:pPr>
          </w:p>
        </w:tc>
        <w:tc>
          <w:tcPr>
            <w:tcW w:w="810" w:type="dxa"/>
            <w:vAlign w:val="center"/>
          </w:tcPr>
          <w:p w14:paraId="3D655FC4">
            <w:pPr>
              <w:jc w:val="center"/>
              <w:rPr>
                <w:rFonts w:asciiTheme="minorEastAsia" w:hAnsiTheme="minorEastAsia" w:eastAsiaTheme="minorEastAsia"/>
                <w:sz w:val="24"/>
              </w:rPr>
            </w:pPr>
          </w:p>
        </w:tc>
      </w:tr>
    </w:tbl>
    <w:p w14:paraId="4F584FF3">
      <w:pPr>
        <w:pStyle w:val="24"/>
        <w:ind w:firstLine="210"/>
      </w:pPr>
    </w:p>
    <w:p w14:paraId="77D6EE58">
      <w:pPr>
        <w:rPr>
          <w:rFonts w:asciiTheme="minorEastAsia" w:hAnsiTheme="minorEastAsia" w:eastAsiaTheme="minorEastAsia"/>
          <w:b/>
          <w:sz w:val="24"/>
        </w:rPr>
      </w:pPr>
      <w:r>
        <w:rPr>
          <w:rFonts w:hint="eastAsia" w:asciiTheme="minorEastAsia" w:hAnsiTheme="minorEastAsia" w:eastAsiaTheme="minorEastAsia"/>
          <w:b/>
          <w:sz w:val="24"/>
        </w:rPr>
        <w:br w:type="page"/>
      </w:r>
    </w:p>
    <w:p w14:paraId="7AECF58E">
      <w:pPr>
        <w:pStyle w:val="4"/>
        <w:spacing w:line="360" w:lineRule="auto"/>
        <w:ind w:left="1367" w:right="1505"/>
        <w:jc w:val="center"/>
        <w:rPr>
          <w:rFonts w:hint="eastAsia"/>
          <w:sz w:val="21"/>
          <w:szCs w:val="21"/>
          <w:highlight w:val="none"/>
        </w:rPr>
      </w:pPr>
      <w:r>
        <w:rPr>
          <w:rFonts w:hint="eastAsia" w:asciiTheme="minorEastAsia" w:hAnsiTheme="minorEastAsia" w:eastAsiaTheme="minorEastAsia"/>
          <w:b/>
          <w:sz w:val="24"/>
        </w:rPr>
        <w:t>七、服务方案</w:t>
      </w:r>
    </w:p>
    <w:p w14:paraId="23FFA1CE">
      <w:pPr>
        <w:spacing w:line="360" w:lineRule="auto"/>
        <w:ind w:firstLine="480" w:firstLineChars="200"/>
        <w:rPr>
          <w:rFonts w:hint="eastAsia" w:ascii="宋体" w:hAnsi="宋体" w:eastAsia="宋体" w:cs="宋体"/>
          <w:color w:val="auto"/>
          <w:sz w:val="24"/>
          <w:szCs w:val="24"/>
          <w:highlight w:val="none"/>
        </w:rPr>
      </w:pPr>
      <w:r>
        <w:rPr>
          <w:rFonts w:ascii="Times New Roman" w:hAnsi="Times New Roman" w:eastAsia="宋体" w:cs="Times New Roman"/>
          <w:kern w:val="0"/>
          <w:sz w:val="24"/>
        </w:rPr>
        <w:t>格式自拟，</w:t>
      </w:r>
      <w:r>
        <w:rPr>
          <w:rFonts w:hint="eastAsia" w:ascii="Times New Roman" w:hAnsi="Times New Roman" w:eastAsia="宋体" w:cs="Times New Roman"/>
          <w:kern w:val="0"/>
          <w:sz w:val="24"/>
        </w:rPr>
        <w:t>具体要求详见第</w:t>
      </w:r>
      <w:r>
        <w:rPr>
          <w:rFonts w:hint="eastAsia" w:ascii="Times New Roman" w:hAnsi="Times New Roman" w:eastAsia="宋体" w:cs="Times New Roman"/>
          <w:kern w:val="0"/>
          <w:sz w:val="24"/>
          <w:lang w:val="en-US" w:eastAsia="zh-CN"/>
        </w:rPr>
        <w:t>四</w:t>
      </w:r>
      <w:r>
        <w:rPr>
          <w:rFonts w:hint="eastAsia" w:ascii="Times New Roman" w:hAnsi="Times New Roman" w:eastAsia="宋体" w:cs="Times New Roman"/>
          <w:kern w:val="0"/>
          <w:sz w:val="24"/>
        </w:rPr>
        <w:t>章评审方法和标准</w:t>
      </w:r>
      <w:r>
        <w:rPr>
          <w:rFonts w:hint="eastAsia" w:ascii="宋体" w:hAnsi="宋体" w:eastAsia="宋体" w:cs="宋体"/>
          <w:color w:val="auto"/>
          <w:sz w:val="24"/>
          <w:szCs w:val="24"/>
          <w:highlight w:val="none"/>
        </w:rPr>
        <w:t>。</w:t>
      </w:r>
    </w:p>
    <w:p w14:paraId="5208ADF3">
      <w:pPr>
        <w:pStyle w:val="24"/>
        <w:ind w:firstLine="210"/>
      </w:pPr>
    </w:p>
    <w:p w14:paraId="156744D9">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4819E941">
      <w:pPr>
        <w:widowControl/>
        <w:jc w:val="left"/>
        <w:rPr>
          <w:rFonts w:asciiTheme="minorEastAsia" w:hAnsiTheme="minorEastAsia" w:eastAsiaTheme="minorEastAsia"/>
          <w:sz w:val="24"/>
        </w:rPr>
      </w:pPr>
    </w:p>
    <w:p w14:paraId="7427865D">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lang w:val="en-US" w:eastAsia="zh-CN"/>
        </w:rPr>
        <w:t>八</w:t>
      </w:r>
      <w:r>
        <w:rPr>
          <w:rFonts w:hint="eastAsia" w:asciiTheme="minorEastAsia" w:hAnsiTheme="minorEastAsia" w:eastAsiaTheme="minorEastAsia"/>
          <w:b/>
          <w:sz w:val="24"/>
        </w:rPr>
        <w:t>、人员配备</w:t>
      </w:r>
    </w:p>
    <w:p w14:paraId="7911FAD2">
      <w:pPr>
        <w:jc w:val="center"/>
        <w:rPr>
          <w:rFonts w:ascii="Times New Roman" w:hAnsi="Times New Roman" w:eastAsia="宋体" w:cs="Times New Roman"/>
          <w:b/>
          <w:kern w:val="0"/>
          <w:sz w:val="28"/>
        </w:rPr>
      </w:pPr>
      <w:r>
        <w:rPr>
          <w:rFonts w:ascii="Times New Roman" w:hAnsi="Times New Roman" w:eastAsia="宋体" w:cs="Times New Roman"/>
          <w:b/>
          <w:kern w:val="0"/>
          <w:sz w:val="28"/>
        </w:rPr>
        <w:t>人员配备表</w:t>
      </w:r>
    </w:p>
    <w:tbl>
      <w:tblPr>
        <w:tblStyle w:val="2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410"/>
        <w:gridCol w:w="1536"/>
        <w:gridCol w:w="2665"/>
        <w:gridCol w:w="1033"/>
        <w:gridCol w:w="1033"/>
        <w:gridCol w:w="1033"/>
      </w:tblGrid>
      <w:tr w14:paraId="5EBD3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77" w:type="dxa"/>
            <w:vAlign w:val="center"/>
          </w:tcPr>
          <w:p w14:paraId="241A66F0">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序号</w:t>
            </w:r>
          </w:p>
        </w:tc>
        <w:tc>
          <w:tcPr>
            <w:tcW w:w="1410" w:type="dxa"/>
            <w:vAlign w:val="center"/>
          </w:tcPr>
          <w:p w14:paraId="5C4FAB5C">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岗位名称</w:t>
            </w:r>
          </w:p>
        </w:tc>
        <w:tc>
          <w:tcPr>
            <w:tcW w:w="1536" w:type="dxa"/>
            <w:vAlign w:val="center"/>
          </w:tcPr>
          <w:p w14:paraId="42D88640">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姓名</w:t>
            </w:r>
          </w:p>
        </w:tc>
        <w:tc>
          <w:tcPr>
            <w:tcW w:w="2665" w:type="dxa"/>
            <w:vAlign w:val="center"/>
          </w:tcPr>
          <w:p w14:paraId="6B92B15D">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职称/执业资格</w:t>
            </w:r>
          </w:p>
        </w:tc>
        <w:tc>
          <w:tcPr>
            <w:tcW w:w="1033" w:type="dxa"/>
            <w:vAlign w:val="center"/>
          </w:tcPr>
          <w:p w14:paraId="2663573A">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专业</w:t>
            </w:r>
          </w:p>
        </w:tc>
        <w:tc>
          <w:tcPr>
            <w:tcW w:w="1033" w:type="dxa"/>
            <w:vAlign w:val="center"/>
          </w:tcPr>
          <w:p w14:paraId="701703B9">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学历</w:t>
            </w:r>
          </w:p>
        </w:tc>
        <w:tc>
          <w:tcPr>
            <w:tcW w:w="1033" w:type="dxa"/>
            <w:vAlign w:val="center"/>
          </w:tcPr>
          <w:p w14:paraId="2886D82B">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年龄</w:t>
            </w:r>
          </w:p>
        </w:tc>
      </w:tr>
      <w:tr w14:paraId="768B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77" w:type="dxa"/>
            <w:vAlign w:val="center"/>
          </w:tcPr>
          <w:p w14:paraId="389D9D89">
            <w:pPr>
              <w:jc w:val="center"/>
              <w:rPr>
                <w:rFonts w:ascii="Times New Roman" w:hAnsi="Times New Roman" w:eastAsia="宋体" w:cs="Times New Roman"/>
                <w:kern w:val="0"/>
                <w:szCs w:val="21"/>
              </w:rPr>
            </w:pPr>
          </w:p>
        </w:tc>
        <w:tc>
          <w:tcPr>
            <w:tcW w:w="1410" w:type="dxa"/>
            <w:vAlign w:val="center"/>
          </w:tcPr>
          <w:p w14:paraId="6B269DB1">
            <w:pPr>
              <w:jc w:val="center"/>
              <w:rPr>
                <w:rFonts w:ascii="Times New Roman" w:hAnsi="Times New Roman" w:eastAsia="宋体" w:cs="Times New Roman"/>
                <w:kern w:val="0"/>
                <w:szCs w:val="21"/>
              </w:rPr>
            </w:pPr>
          </w:p>
        </w:tc>
        <w:tc>
          <w:tcPr>
            <w:tcW w:w="1536" w:type="dxa"/>
            <w:vAlign w:val="center"/>
          </w:tcPr>
          <w:p w14:paraId="181E7785">
            <w:pPr>
              <w:jc w:val="center"/>
              <w:rPr>
                <w:rFonts w:ascii="Times New Roman" w:hAnsi="Times New Roman" w:eastAsia="宋体" w:cs="Times New Roman"/>
                <w:kern w:val="0"/>
                <w:szCs w:val="21"/>
              </w:rPr>
            </w:pPr>
          </w:p>
        </w:tc>
        <w:tc>
          <w:tcPr>
            <w:tcW w:w="2665" w:type="dxa"/>
            <w:vAlign w:val="center"/>
          </w:tcPr>
          <w:p w14:paraId="0573F7BC">
            <w:pPr>
              <w:jc w:val="center"/>
              <w:rPr>
                <w:rFonts w:ascii="Times New Roman" w:hAnsi="Times New Roman" w:eastAsia="宋体" w:cs="Times New Roman"/>
                <w:kern w:val="0"/>
                <w:szCs w:val="21"/>
              </w:rPr>
            </w:pPr>
          </w:p>
        </w:tc>
        <w:tc>
          <w:tcPr>
            <w:tcW w:w="1033" w:type="dxa"/>
            <w:vAlign w:val="center"/>
          </w:tcPr>
          <w:p w14:paraId="5D3ECA68">
            <w:pPr>
              <w:jc w:val="center"/>
              <w:rPr>
                <w:rFonts w:ascii="Times New Roman" w:hAnsi="Times New Roman" w:eastAsia="宋体" w:cs="Times New Roman"/>
                <w:kern w:val="0"/>
                <w:szCs w:val="21"/>
              </w:rPr>
            </w:pPr>
          </w:p>
        </w:tc>
        <w:tc>
          <w:tcPr>
            <w:tcW w:w="1033" w:type="dxa"/>
          </w:tcPr>
          <w:p w14:paraId="019C3B9F">
            <w:pPr>
              <w:jc w:val="center"/>
              <w:rPr>
                <w:rFonts w:ascii="Times New Roman" w:hAnsi="Times New Roman" w:eastAsia="宋体" w:cs="Times New Roman"/>
                <w:kern w:val="0"/>
                <w:szCs w:val="21"/>
              </w:rPr>
            </w:pPr>
          </w:p>
        </w:tc>
        <w:tc>
          <w:tcPr>
            <w:tcW w:w="1033" w:type="dxa"/>
          </w:tcPr>
          <w:p w14:paraId="62FFF33A">
            <w:pPr>
              <w:jc w:val="center"/>
              <w:rPr>
                <w:rFonts w:ascii="Times New Roman" w:hAnsi="Times New Roman" w:eastAsia="宋体" w:cs="Times New Roman"/>
                <w:kern w:val="0"/>
                <w:szCs w:val="21"/>
              </w:rPr>
            </w:pPr>
          </w:p>
        </w:tc>
      </w:tr>
      <w:tr w14:paraId="7A7BB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77" w:type="dxa"/>
            <w:vAlign w:val="center"/>
          </w:tcPr>
          <w:p w14:paraId="5A6CAEB4">
            <w:pPr>
              <w:jc w:val="center"/>
              <w:rPr>
                <w:rFonts w:ascii="Times New Roman" w:hAnsi="Times New Roman" w:eastAsia="宋体" w:cs="Times New Roman"/>
                <w:kern w:val="0"/>
                <w:szCs w:val="21"/>
              </w:rPr>
            </w:pPr>
          </w:p>
        </w:tc>
        <w:tc>
          <w:tcPr>
            <w:tcW w:w="1410" w:type="dxa"/>
            <w:vAlign w:val="center"/>
          </w:tcPr>
          <w:p w14:paraId="438AFA81">
            <w:pPr>
              <w:jc w:val="center"/>
              <w:rPr>
                <w:rFonts w:ascii="Times New Roman" w:hAnsi="Times New Roman" w:eastAsia="宋体" w:cs="Times New Roman"/>
                <w:kern w:val="0"/>
                <w:szCs w:val="21"/>
              </w:rPr>
            </w:pPr>
          </w:p>
        </w:tc>
        <w:tc>
          <w:tcPr>
            <w:tcW w:w="1536" w:type="dxa"/>
            <w:vAlign w:val="center"/>
          </w:tcPr>
          <w:p w14:paraId="506FBCBF">
            <w:pPr>
              <w:jc w:val="center"/>
              <w:rPr>
                <w:rFonts w:ascii="Times New Roman" w:hAnsi="Times New Roman" w:eastAsia="宋体" w:cs="Times New Roman"/>
                <w:kern w:val="0"/>
                <w:szCs w:val="21"/>
              </w:rPr>
            </w:pPr>
          </w:p>
        </w:tc>
        <w:tc>
          <w:tcPr>
            <w:tcW w:w="2665" w:type="dxa"/>
            <w:vAlign w:val="center"/>
          </w:tcPr>
          <w:p w14:paraId="0CE33A0E">
            <w:pPr>
              <w:jc w:val="center"/>
              <w:rPr>
                <w:rFonts w:ascii="Times New Roman" w:hAnsi="Times New Roman" w:eastAsia="宋体" w:cs="Times New Roman"/>
                <w:kern w:val="0"/>
                <w:szCs w:val="21"/>
              </w:rPr>
            </w:pPr>
          </w:p>
        </w:tc>
        <w:tc>
          <w:tcPr>
            <w:tcW w:w="1033" w:type="dxa"/>
            <w:vAlign w:val="center"/>
          </w:tcPr>
          <w:p w14:paraId="528262FE">
            <w:pPr>
              <w:jc w:val="center"/>
              <w:rPr>
                <w:rFonts w:ascii="Times New Roman" w:hAnsi="Times New Roman" w:eastAsia="宋体" w:cs="Times New Roman"/>
                <w:kern w:val="0"/>
                <w:szCs w:val="21"/>
              </w:rPr>
            </w:pPr>
          </w:p>
        </w:tc>
        <w:tc>
          <w:tcPr>
            <w:tcW w:w="1033" w:type="dxa"/>
          </w:tcPr>
          <w:p w14:paraId="3CEDEA2E">
            <w:pPr>
              <w:jc w:val="center"/>
              <w:rPr>
                <w:rFonts w:ascii="Times New Roman" w:hAnsi="Times New Roman" w:eastAsia="宋体" w:cs="Times New Roman"/>
                <w:kern w:val="0"/>
                <w:szCs w:val="21"/>
              </w:rPr>
            </w:pPr>
          </w:p>
        </w:tc>
        <w:tc>
          <w:tcPr>
            <w:tcW w:w="1033" w:type="dxa"/>
          </w:tcPr>
          <w:p w14:paraId="0064761B">
            <w:pPr>
              <w:jc w:val="center"/>
              <w:rPr>
                <w:rFonts w:ascii="Times New Roman" w:hAnsi="Times New Roman" w:eastAsia="宋体" w:cs="Times New Roman"/>
                <w:kern w:val="0"/>
                <w:szCs w:val="21"/>
              </w:rPr>
            </w:pPr>
          </w:p>
        </w:tc>
      </w:tr>
      <w:tr w14:paraId="590E6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77" w:type="dxa"/>
            <w:vAlign w:val="center"/>
          </w:tcPr>
          <w:p w14:paraId="2CE49C11">
            <w:pPr>
              <w:jc w:val="center"/>
              <w:rPr>
                <w:rFonts w:ascii="Times New Roman" w:hAnsi="Times New Roman" w:eastAsia="宋体" w:cs="Times New Roman"/>
                <w:kern w:val="0"/>
                <w:szCs w:val="21"/>
              </w:rPr>
            </w:pPr>
          </w:p>
        </w:tc>
        <w:tc>
          <w:tcPr>
            <w:tcW w:w="1410" w:type="dxa"/>
            <w:vAlign w:val="center"/>
          </w:tcPr>
          <w:p w14:paraId="702AC156">
            <w:pPr>
              <w:jc w:val="center"/>
              <w:rPr>
                <w:rFonts w:ascii="Times New Roman" w:hAnsi="Times New Roman" w:eastAsia="宋体" w:cs="Times New Roman"/>
                <w:kern w:val="0"/>
                <w:szCs w:val="21"/>
              </w:rPr>
            </w:pPr>
          </w:p>
        </w:tc>
        <w:tc>
          <w:tcPr>
            <w:tcW w:w="1536" w:type="dxa"/>
            <w:vAlign w:val="center"/>
          </w:tcPr>
          <w:p w14:paraId="3618F1EA">
            <w:pPr>
              <w:jc w:val="center"/>
              <w:rPr>
                <w:rFonts w:ascii="Times New Roman" w:hAnsi="Times New Roman" w:eastAsia="宋体" w:cs="Times New Roman"/>
                <w:kern w:val="0"/>
                <w:szCs w:val="21"/>
              </w:rPr>
            </w:pPr>
          </w:p>
        </w:tc>
        <w:tc>
          <w:tcPr>
            <w:tcW w:w="2665" w:type="dxa"/>
            <w:vAlign w:val="center"/>
          </w:tcPr>
          <w:p w14:paraId="78497966">
            <w:pPr>
              <w:jc w:val="center"/>
              <w:rPr>
                <w:rFonts w:ascii="Times New Roman" w:hAnsi="Times New Roman" w:eastAsia="宋体" w:cs="Times New Roman"/>
                <w:kern w:val="0"/>
                <w:szCs w:val="21"/>
              </w:rPr>
            </w:pPr>
          </w:p>
        </w:tc>
        <w:tc>
          <w:tcPr>
            <w:tcW w:w="1033" w:type="dxa"/>
            <w:vAlign w:val="center"/>
          </w:tcPr>
          <w:p w14:paraId="18A1F664">
            <w:pPr>
              <w:jc w:val="center"/>
              <w:rPr>
                <w:rFonts w:ascii="Times New Roman" w:hAnsi="Times New Roman" w:eastAsia="宋体" w:cs="Times New Roman"/>
                <w:kern w:val="0"/>
                <w:szCs w:val="21"/>
              </w:rPr>
            </w:pPr>
          </w:p>
        </w:tc>
        <w:tc>
          <w:tcPr>
            <w:tcW w:w="1033" w:type="dxa"/>
          </w:tcPr>
          <w:p w14:paraId="30816A71">
            <w:pPr>
              <w:jc w:val="center"/>
              <w:rPr>
                <w:rFonts w:ascii="Times New Roman" w:hAnsi="Times New Roman" w:eastAsia="宋体" w:cs="Times New Roman"/>
                <w:kern w:val="0"/>
                <w:szCs w:val="21"/>
              </w:rPr>
            </w:pPr>
          </w:p>
        </w:tc>
        <w:tc>
          <w:tcPr>
            <w:tcW w:w="1033" w:type="dxa"/>
          </w:tcPr>
          <w:p w14:paraId="79FB2E89">
            <w:pPr>
              <w:jc w:val="center"/>
              <w:rPr>
                <w:rFonts w:ascii="Times New Roman" w:hAnsi="Times New Roman" w:eastAsia="宋体" w:cs="Times New Roman"/>
                <w:kern w:val="0"/>
                <w:szCs w:val="21"/>
              </w:rPr>
            </w:pPr>
          </w:p>
        </w:tc>
      </w:tr>
      <w:tr w14:paraId="2E7C7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77" w:type="dxa"/>
            <w:vAlign w:val="center"/>
          </w:tcPr>
          <w:p w14:paraId="1EFE38FC">
            <w:pPr>
              <w:jc w:val="center"/>
              <w:rPr>
                <w:rFonts w:ascii="Times New Roman" w:hAnsi="Times New Roman" w:eastAsia="宋体" w:cs="Times New Roman"/>
                <w:bCs/>
                <w:szCs w:val="21"/>
              </w:rPr>
            </w:pPr>
          </w:p>
        </w:tc>
        <w:tc>
          <w:tcPr>
            <w:tcW w:w="1410" w:type="dxa"/>
            <w:vAlign w:val="center"/>
          </w:tcPr>
          <w:p w14:paraId="5FF3BF17">
            <w:pPr>
              <w:jc w:val="center"/>
              <w:rPr>
                <w:rFonts w:ascii="Times New Roman" w:hAnsi="Times New Roman" w:eastAsia="宋体" w:cs="Times New Roman"/>
                <w:bCs/>
                <w:szCs w:val="21"/>
              </w:rPr>
            </w:pPr>
          </w:p>
        </w:tc>
        <w:tc>
          <w:tcPr>
            <w:tcW w:w="1536" w:type="dxa"/>
            <w:vAlign w:val="center"/>
          </w:tcPr>
          <w:p w14:paraId="2427E7FF">
            <w:pPr>
              <w:jc w:val="center"/>
              <w:rPr>
                <w:rFonts w:ascii="Times New Roman" w:hAnsi="Times New Roman" w:eastAsia="宋体" w:cs="Times New Roman"/>
                <w:kern w:val="0"/>
                <w:szCs w:val="21"/>
              </w:rPr>
            </w:pPr>
          </w:p>
        </w:tc>
        <w:tc>
          <w:tcPr>
            <w:tcW w:w="2665" w:type="dxa"/>
            <w:vAlign w:val="center"/>
          </w:tcPr>
          <w:p w14:paraId="0C803E8D">
            <w:pPr>
              <w:jc w:val="center"/>
              <w:rPr>
                <w:rFonts w:ascii="Times New Roman" w:hAnsi="Times New Roman" w:eastAsia="宋体" w:cs="Times New Roman"/>
                <w:kern w:val="0"/>
                <w:szCs w:val="21"/>
              </w:rPr>
            </w:pPr>
          </w:p>
        </w:tc>
        <w:tc>
          <w:tcPr>
            <w:tcW w:w="1033" w:type="dxa"/>
            <w:vAlign w:val="center"/>
          </w:tcPr>
          <w:p w14:paraId="04F0A863">
            <w:pPr>
              <w:jc w:val="center"/>
              <w:rPr>
                <w:rFonts w:ascii="Times New Roman" w:hAnsi="Times New Roman" w:eastAsia="宋体" w:cs="Times New Roman"/>
                <w:kern w:val="0"/>
                <w:szCs w:val="21"/>
              </w:rPr>
            </w:pPr>
          </w:p>
        </w:tc>
        <w:tc>
          <w:tcPr>
            <w:tcW w:w="1033" w:type="dxa"/>
          </w:tcPr>
          <w:p w14:paraId="40058F2B">
            <w:pPr>
              <w:jc w:val="center"/>
              <w:rPr>
                <w:rFonts w:ascii="Times New Roman" w:hAnsi="Times New Roman" w:eastAsia="宋体" w:cs="Times New Roman"/>
                <w:kern w:val="0"/>
                <w:szCs w:val="21"/>
              </w:rPr>
            </w:pPr>
          </w:p>
        </w:tc>
        <w:tc>
          <w:tcPr>
            <w:tcW w:w="1033" w:type="dxa"/>
          </w:tcPr>
          <w:p w14:paraId="03A50153">
            <w:pPr>
              <w:jc w:val="center"/>
              <w:rPr>
                <w:rFonts w:ascii="Times New Roman" w:hAnsi="Times New Roman" w:eastAsia="宋体" w:cs="Times New Roman"/>
                <w:kern w:val="0"/>
                <w:szCs w:val="21"/>
              </w:rPr>
            </w:pPr>
          </w:p>
        </w:tc>
      </w:tr>
      <w:tr w14:paraId="784F9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77" w:type="dxa"/>
            <w:vAlign w:val="center"/>
          </w:tcPr>
          <w:p w14:paraId="28DB7E89">
            <w:pPr>
              <w:jc w:val="center"/>
              <w:rPr>
                <w:rFonts w:ascii="Times New Roman" w:hAnsi="Times New Roman" w:eastAsia="宋体" w:cs="Times New Roman"/>
                <w:bCs/>
                <w:szCs w:val="21"/>
              </w:rPr>
            </w:pPr>
          </w:p>
        </w:tc>
        <w:tc>
          <w:tcPr>
            <w:tcW w:w="1410" w:type="dxa"/>
            <w:vAlign w:val="center"/>
          </w:tcPr>
          <w:p w14:paraId="393974B1">
            <w:pPr>
              <w:jc w:val="center"/>
              <w:rPr>
                <w:rFonts w:ascii="Times New Roman" w:hAnsi="Times New Roman" w:eastAsia="宋体" w:cs="Times New Roman"/>
                <w:bCs/>
                <w:szCs w:val="21"/>
              </w:rPr>
            </w:pPr>
          </w:p>
        </w:tc>
        <w:tc>
          <w:tcPr>
            <w:tcW w:w="1536" w:type="dxa"/>
            <w:vAlign w:val="center"/>
          </w:tcPr>
          <w:p w14:paraId="23C63F4B">
            <w:pPr>
              <w:jc w:val="center"/>
              <w:rPr>
                <w:rFonts w:ascii="Times New Roman" w:hAnsi="Times New Roman" w:eastAsia="宋体" w:cs="Times New Roman"/>
                <w:kern w:val="0"/>
                <w:szCs w:val="21"/>
              </w:rPr>
            </w:pPr>
          </w:p>
        </w:tc>
        <w:tc>
          <w:tcPr>
            <w:tcW w:w="2665" w:type="dxa"/>
            <w:vAlign w:val="center"/>
          </w:tcPr>
          <w:p w14:paraId="44AA04AF">
            <w:pPr>
              <w:jc w:val="center"/>
              <w:rPr>
                <w:rFonts w:ascii="Times New Roman" w:hAnsi="Times New Roman" w:eastAsia="宋体" w:cs="Times New Roman"/>
                <w:kern w:val="0"/>
                <w:szCs w:val="21"/>
              </w:rPr>
            </w:pPr>
          </w:p>
        </w:tc>
        <w:tc>
          <w:tcPr>
            <w:tcW w:w="1033" w:type="dxa"/>
            <w:vAlign w:val="center"/>
          </w:tcPr>
          <w:p w14:paraId="54FA22CB">
            <w:pPr>
              <w:jc w:val="center"/>
              <w:rPr>
                <w:rFonts w:ascii="Times New Roman" w:hAnsi="Times New Roman" w:eastAsia="宋体" w:cs="Times New Roman"/>
                <w:kern w:val="0"/>
                <w:szCs w:val="21"/>
              </w:rPr>
            </w:pPr>
          </w:p>
        </w:tc>
        <w:tc>
          <w:tcPr>
            <w:tcW w:w="1033" w:type="dxa"/>
          </w:tcPr>
          <w:p w14:paraId="0816D42A">
            <w:pPr>
              <w:jc w:val="center"/>
              <w:rPr>
                <w:rFonts w:ascii="Times New Roman" w:hAnsi="Times New Roman" w:eastAsia="宋体" w:cs="Times New Roman"/>
                <w:kern w:val="0"/>
                <w:szCs w:val="21"/>
              </w:rPr>
            </w:pPr>
          </w:p>
        </w:tc>
        <w:tc>
          <w:tcPr>
            <w:tcW w:w="1033" w:type="dxa"/>
          </w:tcPr>
          <w:p w14:paraId="763E54B3">
            <w:pPr>
              <w:jc w:val="center"/>
              <w:rPr>
                <w:rFonts w:ascii="Times New Roman" w:hAnsi="Times New Roman" w:eastAsia="宋体" w:cs="Times New Roman"/>
                <w:kern w:val="0"/>
                <w:szCs w:val="21"/>
              </w:rPr>
            </w:pPr>
          </w:p>
        </w:tc>
      </w:tr>
    </w:tbl>
    <w:p w14:paraId="19431C50">
      <w:pPr>
        <w:rPr>
          <w:rFonts w:ascii="Times New Roman" w:hAnsi="Times New Roman" w:eastAsia="宋体" w:cs="Times New Roman"/>
          <w:kern w:val="0"/>
          <w:sz w:val="24"/>
        </w:rPr>
      </w:pPr>
    </w:p>
    <w:p w14:paraId="62D40C76">
      <w:pPr>
        <w:rPr>
          <w:rFonts w:ascii="Times New Roman" w:hAnsi="Times New Roman" w:eastAsia="宋体" w:cs="Times New Roman"/>
          <w:b/>
          <w:kern w:val="0"/>
          <w:sz w:val="24"/>
        </w:rPr>
      </w:pPr>
      <w:r>
        <w:rPr>
          <w:rFonts w:ascii="Times New Roman" w:hAnsi="Times New Roman" w:eastAsia="宋体" w:cs="Times New Roman"/>
          <w:b/>
          <w:kern w:val="0"/>
          <w:sz w:val="24"/>
        </w:rPr>
        <w:t>注：表后提供相关人员身份证、职称（执业资格）证书</w:t>
      </w:r>
      <w:r>
        <w:rPr>
          <w:rFonts w:hint="eastAsia" w:ascii="Times New Roman" w:hAnsi="Times New Roman" w:eastAsia="宋体" w:cs="Times New Roman"/>
          <w:b/>
          <w:kern w:val="0"/>
          <w:sz w:val="24"/>
        </w:rPr>
        <w:t>等</w:t>
      </w:r>
      <w:r>
        <w:rPr>
          <w:rFonts w:ascii="Times New Roman" w:hAnsi="Times New Roman" w:eastAsia="宋体" w:cs="Times New Roman"/>
          <w:b/>
          <w:kern w:val="0"/>
          <w:sz w:val="24"/>
        </w:rPr>
        <w:t>复印件</w:t>
      </w:r>
    </w:p>
    <w:p w14:paraId="41F13A04">
      <w:pPr>
        <w:rPr>
          <w:rFonts w:ascii="Times New Roman" w:hAnsi="Times New Roman" w:eastAsia="宋体" w:cs="Times New Roman"/>
          <w:kern w:val="0"/>
          <w:sz w:val="24"/>
        </w:rPr>
      </w:pPr>
    </w:p>
    <w:p w14:paraId="6C37983B">
      <w:pPr>
        <w:rPr>
          <w:rFonts w:ascii="Times New Roman" w:hAnsi="Times New Roman" w:eastAsia="宋体" w:cs="Times New Roman"/>
          <w:kern w:val="0"/>
          <w:sz w:val="24"/>
        </w:rPr>
      </w:pPr>
    </w:p>
    <w:p w14:paraId="70FC5BF2">
      <w:pPr>
        <w:widowControl/>
        <w:jc w:val="left"/>
        <w:rPr>
          <w:rFonts w:asciiTheme="minorEastAsia" w:hAnsiTheme="minorEastAsia" w:eastAsiaTheme="minorEastAsia"/>
          <w:sz w:val="24"/>
        </w:rPr>
      </w:pPr>
      <w:r>
        <w:rPr>
          <w:rFonts w:ascii="Times New Roman" w:hAnsi="Times New Roman" w:eastAsia="黑体" w:cs="Times New Roman"/>
          <w:b/>
          <w:bCs/>
          <w:sz w:val="32"/>
          <w:szCs w:val="28"/>
        </w:rPr>
        <w:br w:type="page"/>
      </w:r>
    </w:p>
    <w:p w14:paraId="4C1A3F15">
      <w:pPr>
        <w:widowControl/>
        <w:jc w:val="left"/>
        <w:rPr>
          <w:rFonts w:asciiTheme="minorEastAsia" w:hAnsiTheme="minorEastAsia" w:eastAsiaTheme="minorEastAsia"/>
          <w:b/>
          <w:sz w:val="24"/>
        </w:rPr>
      </w:pPr>
    </w:p>
    <w:p w14:paraId="68A602F5">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lang w:val="en-US" w:eastAsia="zh-CN"/>
        </w:rPr>
        <w:t>九</w:t>
      </w:r>
      <w:r>
        <w:rPr>
          <w:rFonts w:hint="eastAsia" w:asciiTheme="minorEastAsia" w:hAnsiTheme="minorEastAsia" w:eastAsiaTheme="minorEastAsia"/>
          <w:b/>
          <w:sz w:val="24"/>
        </w:rPr>
        <w:t>、其他相关证明材料</w:t>
      </w:r>
    </w:p>
    <w:p w14:paraId="5E472A05">
      <w:pPr>
        <w:tabs>
          <w:tab w:val="left" w:pos="4620"/>
        </w:tabs>
        <w:spacing w:line="360" w:lineRule="auto"/>
        <w:ind w:firstLine="480" w:firstLineChars="200"/>
        <w:rPr>
          <w:rFonts w:ascii="宋体" w:hAnsi="宋体" w:eastAsia="宋体"/>
          <w:sz w:val="24"/>
        </w:rPr>
      </w:pPr>
      <w:r>
        <w:rPr>
          <w:rFonts w:hint="eastAsia" w:ascii="宋体" w:hAnsi="宋体" w:eastAsia="宋体"/>
          <w:sz w:val="24"/>
        </w:rPr>
        <w:t>1.营业执照或事业单位法人证书扫描件；</w:t>
      </w:r>
    </w:p>
    <w:p w14:paraId="414F3512">
      <w:pPr>
        <w:tabs>
          <w:tab w:val="left" w:pos="4620"/>
        </w:tabs>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2.资质证书扫描件；</w:t>
      </w:r>
    </w:p>
    <w:p w14:paraId="50953659">
      <w:pPr>
        <w:pStyle w:val="24"/>
        <w:ind w:firstLine="240"/>
        <w:rPr>
          <w:rFonts w:ascii="宋体" w:hAnsi="宋体" w:eastAsia="宋体"/>
          <w:sz w:val="24"/>
          <w:lang w:val="en-US"/>
        </w:rPr>
      </w:pPr>
      <w:r>
        <w:rPr>
          <w:rFonts w:hint="eastAsia" w:ascii="宋体" w:hAnsi="宋体" w:eastAsia="宋体"/>
          <w:sz w:val="24"/>
          <w:lang w:val="en-US"/>
        </w:rPr>
        <w:t xml:space="preserve"> </w:t>
      </w:r>
      <w:r>
        <w:rPr>
          <w:rFonts w:hint="eastAsia" w:ascii="宋体" w:hAnsi="宋体" w:eastAsia="宋体"/>
          <w:sz w:val="24"/>
          <w:lang w:val="en-US" w:eastAsia="zh-CN"/>
        </w:rPr>
        <w:t xml:space="preserve"> 3</w:t>
      </w:r>
      <w:r>
        <w:rPr>
          <w:rFonts w:hint="eastAsia" w:ascii="宋体" w:hAnsi="宋体" w:eastAsia="宋体"/>
          <w:sz w:val="24"/>
          <w:lang w:val="en-US"/>
        </w:rPr>
        <w:t>.业绩证明材料扫描件（格式详见附件1，具体要求见评审办法）；</w:t>
      </w:r>
    </w:p>
    <w:p w14:paraId="75AC505B">
      <w:pPr>
        <w:pStyle w:val="24"/>
        <w:ind w:firstLine="240"/>
        <w:rPr>
          <w:rFonts w:ascii="宋体" w:hAnsi="宋体" w:eastAsia="宋体"/>
          <w:sz w:val="24"/>
          <w:lang w:val="en-US"/>
        </w:rPr>
      </w:pPr>
      <w:r>
        <w:rPr>
          <w:rFonts w:hint="eastAsia" w:ascii="宋体" w:hAnsi="宋体" w:eastAsia="宋体"/>
          <w:sz w:val="24"/>
          <w:lang w:val="en-US"/>
        </w:rPr>
        <w:t xml:space="preserve">  ....</w:t>
      </w:r>
    </w:p>
    <w:p w14:paraId="627AC58B">
      <w:pPr>
        <w:tabs>
          <w:tab w:val="left" w:pos="4620"/>
        </w:tabs>
        <w:spacing w:line="360" w:lineRule="auto"/>
        <w:ind w:firstLine="480" w:firstLineChars="200"/>
        <w:rPr>
          <w:rFonts w:ascii="宋体" w:hAnsi="宋体" w:eastAsia="宋体"/>
          <w:sz w:val="24"/>
        </w:rPr>
      </w:pPr>
      <w:r>
        <w:rPr>
          <w:rFonts w:hint="eastAsia" w:ascii="宋体" w:hAnsi="宋体" w:eastAsia="宋体"/>
          <w:sz w:val="24"/>
        </w:rPr>
        <w:t>提供符合竞争性磋商公告（邀请书）、采购需求及评审方法和标准规定的相关证明文件。</w:t>
      </w:r>
    </w:p>
    <w:p w14:paraId="12BD0DBA">
      <w:pPr>
        <w:spacing w:line="360" w:lineRule="auto"/>
        <w:ind w:firstLine="435"/>
        <w:rPr>
          <w:rFonts w:asciiTheme="minorEastAsia" w:hAnsiTheme="minorEastAsia" w:eastAsiaTheme="minorEastAsia"/>
          <w:sz w:val="24"/>
        </w:rPr>
      </w:pPr>
    </w:p>
    <w:p w14:paraId="00CB71F7">
      <w:pPr>
        <w:spacing w:line="360" w:lineRule="auto"/>
        <w:ind w:firstLine="480" w:firstLineChars="200"/>
        <w:rPr>
          <w:rFonts w:asciiTheme="minorEastAsia" w:hAnsiTheme="minorEastAsia" w:eastAsiaTheme="minorEastAsia"/>
          <w:sz w:val="24"/>
        </w:rPr>
      </w:pPr>
    </w:p>
    <w:p w14:paraId="779F23D0">
      <w:pPr>
        <w:adjustRightInd w:val="0"/>
        <w:snapToGrid w:val="0"/>
        <w:spacing w:line="360" w:lineRule="auto"/>
        <w:jc w:val="center"/>
        <w:rPr>
          <w:rFonts w:ascii="Times New Roman" w:hAnsi="Times New Roman" w:eastAsia="宋体" w:cs="Times New Roman"/>
          <w:b/>
          <w:kern w:val="0"/>
          <w:sz w:val="24"/>
        </w:rPr>
      </w:pPr>
      <w:r>
        <w:rPr>
          <w:rFonts w:asciiTheme="minorEastAsia" w:hAnsiTheme="minorEastAsia" w:eastAsiaTheme="minorEastAsia"/>
          <w:sz w:val="24"/>
        </w:rPr>
        <w:br w:type="page"/>
      </w:r>
      <w:bookmarkStart w:id="28" w:name="_Toc26638976"/>
      <w:bookmarkStart w:id="29" w:name="_Toc3341"/>
      <w:r>
        <w:rPr>
          <w:rFonts w:ascii="Times New Roman" w:hAnsi="Times New Roman" w:eastAsia="宋体" w:cs="Times New Roman"/>
          <w:b/>
          <w:kern w:val="0"/>
          <w:sz w:val="24"/>
        </w:rPr>
        <w:t>附件1近年完成的类似项目情况表</w:t>
      </w:r>
    </w:p>
    <w:tbl>
      <w:tblPr>
        <w:tblStyle w:val="2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6814"/>
      </w:tblGrid>
      <w:tr w14:paraId="2D234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73" w:type="dxa"/>
            <w:vAlign w:val="center"/>
          </w:tcPr>
          <w:p w14:paraId="6E2C5633">
            <w:pPr>
              <w:topLinePunct/>
              <w:spacing w:line="44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项目名称</w:t>
            </w:r>
          </w:p>
        </w:tc>
        <w:tc>
          <w:tcPr>
            <w:tcW w:w="6814" w:type="dxa"/>
          </w:tcPr>
          <w:p w14:paraId="280D842D">
            <w:pPr>
              <w:topLinePunct/>
              <w:spacing w:line="440" w:lineRule="exact"/>
              <w:rPr>
                <w:rFonts w:ascii="Times New Roman" w:hAnsi="Times New Roman" w:eastAsia="宋体" w:cs="Times New Roman"/>
                <w:kern w:val="0"/>
                <w:sz w:val="24"/>
                <w:szCs w:val="24"/>
              </w:rPr>
            </w:pPr>
          </w:p>
        </w:tc>
      </w:tr>
      <w:tr w14:paraId="56C1E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473" w:type="dxa"/>
            <w:vAlign w:val="center"/>
          </w:tcPr>
          <w:p w14:paraId="0FCE76E2">
            <w:pPr>
              <w:topLinePunct/>
              <w:spacing w:line="44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项目所在地</w:t>
            </w:r>
          </w:p>
        </w:tc>
        <w:tc>
          <w:tcPr>
            <w:tcW w:w="6814" w:type="dxa"/>
          </w:tcPr>
          <w:p w14:paraId="6347BB6D">
            <w:pPr>
              <w:topLinePunct/>
              <w:spacing w:line="440" w:lineRule="exact"/>
              <w:rPr>
                <w:rFonts w:ascii="Times New Roman" w:hAnsi="Times New Roman" w:eastAsia="宋体" w:cs="Times New Roman"/>
                <w:kern w:val="0"/>
                <w:sz w:val="24"/>
                <w:szCs w:val="24"/>
              </w:rPr>
            </w:pPr>
          </w:p>
        </w:tc>
      </w:tr>
      <w:tr w14:paraId="1639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473" w:type="dxa"/>
            <w:vAlign w:val="center"/>
          </w:tcPr>
          <w:p w14:paraId="5D045963">
            <w:pPr>
              <w:topLinePunct/>
              <w:spacing w:line="44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发包人名称</w:t>
            </w:r>
          </w:p>
        </w:tc>
        <w:tc>
          <w:tcPr>
            <w:tcW w:w="6814" w:type="dxa"/>
          </w:tcPr>
          <w:p w14:paraId="6A7DDB19">
            <w:pPr>
              <w:topLinePunct/>
              <w:spacing w:line="440" w:lineRule="exact"/>
              <w:rPr>
                <w:rFonts w:ascii="Times New Roman" w:hAnsi="Times New Roman" w:eastAsia="宋体" w:cs="Times New Roman"/>
                <w:kern w:val="0"/>
                <w:sz w:val="24"/>
                <w:szCs w:val="24"/>
              </w:rPr>
            </w:pPr>
          </w:p>
        </w:tc>
      </w:tr>
      <w:tr w14:paraId="63888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473" w:type="dxa"/>
            <w:vAlign w:val="center"/>
          </w:tcPr>
          <w:p w14:paraId="7CAA4028">
            <w:pPr>
              <w:topLinePunct/>
              <w:spacing w:line="44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合同价格</w:t>
            </w:r>
          </w:p>
        </w:tc>
        <w:tc>
          <w:tcPr>
            <w:tcW w:w="6814" w:type="dxa"/>
          </w:tcPr>
          <w:p w14:paraId="0E5E5676">
            <w:pPr>
              <w:topLinePunct/>
              <w:spacing w:line="440" w:lineRule="exact"/>
              <w:rPr>
                <w:rFonts w:ascii="Times New Roman" w:hAnsi="Times New Roman" w:eastAsia="宋体" w:cs="Times New Roman"/>
                <w:kern w:val="0"/>
                <w:sz w:val="24"/>
                <w:szCs w:val="24"/>
              </w:rPr>
            </w:pPr>
          </w:p>
        </w:tc>
      </w:tr>
      <w:tr w14:paraId="461C0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473" w:type="dxa"/>
            <w:vAlign w:val="center"/>
          </w:tcPr>
          <w:p w14:paraId="02A7BCD8">
            <w:pPr>
              <w:topLinePunct/>
              <w:spacing w:line="44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合同签订时间</w:t>
            </w:r>
          </w:p>
        </w:tc>
        <w:tc>
          <w:tcPr>
            <w:tcW w:w="6814" w:type="dxa"/>
          </w:tcPr>
          <w:p w14:paraId="7ABE031F">
            <w:pPr>
              <w:topLinePunct/>
              <w:spacing w:line="440" w:lineRule="exact"/>
              <w:rPr>
                <w:rFonts w:ascii="Times New Roman" w:hAnsi="Times New Roman" w:eastAsia="宋体" w:cs="Times New Roman"/>
                <w:kern w:val="0"/>
                <w:sz w:val="24"/>
                <w:szCs w:val="24"/>
              </w:rPr>
            </w:pPr>
          </w:p>
        </w:tc>
      </w:tr>
      <w:tr w14:paraId="032DD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473" w:type="dxa"/>
            <w:vAlign w:val="center"/>
          </w:tcPr>
          <w:p w14:paraId="7F070AC7">
            <w:pPr>
              <w:topLinePunct/>
              <w:spacing w:line="44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项目负责人</w:t>
            </w:r>
          </w:p>
        </w:tc>
        <w:tc>
          <w:tcPr>
            <w:tcW w:w="6814" w:type="dxa"/>
          </w:tcPr>
          <w:p w14:paraId="506A270F">
            <w:pPr>
              <w:topLinePunct/>
              <w:spacing w:line="440" w:lineRule="exact"/>
              <w:rPr>
                <w:rFonts w:ascii="Times New Roman" w:hAnsi="Times New Roman" w:eastAsia="宋体" w:cs="Times New Roman"/>
                <w:kern w:val="0"/>
                <w:sz w:val="24"/>
                <w:szCs w:val="24"/>
              </w:rPr>
            </w:pPr>
          </w:p>
        </w:tc>
      </w:tr>
      <w:tr w14:paraId="508E9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473" w:type="dxa"/>
            <w:vAlign w:val="center"/>
          </w:tcPr>
          <w:p w14:paraId="2D3CF965">
            <w:pPr>
              <w:topLinePunct/>
              <w:spacing w:line="44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项目描述</w:t>
            </w:r>
          </w:p>
        </w:tc>
        <w:tc>
          <w:tcPr>
            <w:tcW w:w="6814" w:type="dxa"/>
          </w:tcPr>
          <w:p w14:paraId="7E8423FC">
            <w:pPr>
              <w:topLinePunct/>
              <w:spacing w:line="440" w:lineRule="exact"/>
              <w:rPr>
                <w:rFonts w:ascii="Times New Roman" w:hAnsi="Times New Roman" w:eastAsia="宋体" w:cs="Times New Roman"/>
                <w:kern w:val="0"/>
                <w:sz w:val="24"/>
                <w:szCs w:val="24"/>
              </w:rPr>
            </w:pPr>
          </w:p>
          <w:p w14:paraId="26901F4F">
            <w:pPr>
              <w:topLinePunct/>
              <w:spacing w:line="440" w:lineRule="exact"/>
              <w:rPr>
                <w:rFonts w:ascii="Times New Roman" w:hAnsi="Times New Roman" w:eastAsia="宋体" w:cs="Times New Roman"/>
                <w:kern w:val="0"/>
                <w:sz w:val="24"/>
                <w:szCs w:val="24"/>
              </w:rPr>
            </w:pPr>
          </w:p>
          <w:p w14:paraId="2B6B3580">
            <w:pPr>
              <w:topLinePunct/>
              <w:spacing w:line="440" w:lineRule="exact"/>
              <w:rPr>
                <w:rFonts w:ascii="Times New Roman" w:hAnsi="Times New Roman" w:eastAsia="宋体" w:cs="Times New Roman"/>
                <w:kern w:val="0"/>
                <w:sz w:val="24"/>
                <w:szCs w:val="24"/>
              </w:rPr>
            </w:pPr>
          </w:p>
          <w:p w14:paraId="49358BC9">
            <w:pPr>
              <w:topLinePunct/>
              <w:spacing w:line="440" w:lineRule="exact"/>
              <w:rPr>
                <w:rFonts w:ascii="Times New Roman" w:hAnsi="Times New Roman" w:eastAsia="宋体" w:cs="Times New Roman"/>
                <w:kern w:val="0"/>
                <w:sz w:val="24"/>
                <w:szCs w:val="24"/>
              </w:rPr>
            </w:pPr>
          </w:p>
          <w:p w14:paraId="26EB1827">
            <w:pPr>
              <w:topLinePunct/>
              <w:spacing w:line="440" w:lineRule="exact"/>
              <w:rPr>
                <w:rFonts w:ascii="Times New Roman" w:hAnsi="Times New Roman" w:eastAsia="宋体" w:cs="Times New Roman"/>
                <w:kern w:val="0"/>
                <w:sz w:val="24"/>
                <w:szCs w:val="24"/>
              </w:rPr>
            </w:pPr>
          </w:p>
          <w:p w14:paraId="7E0B7365">
            <w:pPr>
              <w:topLinePunct/>
              <w:spacing w:line="440" w:lineRule="exact"/>
              <w:rPr>
                <w:rFonts w:ascii="Times New Roman" w:hAnsi="Times New Roman" w:eastAsia="宋体" w:cs="Times New Roman"/>
                <w:kern w:val="0"/>
                <w:sz w:val="24"/>
                <w:szCs w:val="24"/>
              </w:rPr>
            </w:pPr>
          </w:p>
          <w:p w14:paraId="090C2A74">
            <w:pPr>
              <w:topLinePunct/>
              <w:spacing w:line="440" w:lineRule="exact"/>
              <w:rPr>
                <w:rFonts w:ascii="Times New Roman" w:hAnsi="Times New Roman" w:eastAsia="宋体" w:cs="Times New Roman"/>
                <w:kern w:val="0"/>
                <w:sz w:val="24"/>
                <w:szCs w:val="24"/>
              </w:rPr>
            </w:pPr>
          </w:p>
        </w:tc>
      </w:tr>
      <w:tr w14:paraId="0E1E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473" w:type="dxa"/>
            <w:vAlign w:val="center"/>
          </w:tcPr>
          <w:p w14:paraId="3F70EA8D">
            <w:pPr>
              <w:topLinePunct/>
              <w:spacing w:line="44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备注</w:t>
            </w:r>
          </w:p>
        </w:tc>
        <w:tc>
          <w:tcPr>
            <w:tcW w:w="6814" w:type="dxa"/>
          </w:tcPr>
          <w:p w14:paraId="6930D005">
            <w:pPr>
              <w:topLinePunct/>
              <w:spacing w:line="440" w:lineRule="exact"/>
              <w:rPr>
                <w:rFonts w:ascii="Times New Roman" w:hAnsi="Times New Roman" w:eastAsia="宋体" w:cs="Times New Roman"/>
                <w:kern w:val="0"/>
                <w:sz w:val="24"/>
                <w:szCs w:val="24"/>
              </w:rPr>
            </w:pPr>
          </w:p>
        </w:tc>
      </w:tr>
    </w:tbl>
    <w:p w14:paraId="6C6589C3">
      <w:pPr>
        <w:widowControl/>
        <w:jc w:val="left"/>
        <w:rPr>
          <w:rFonts w:ascii="Times New Roman" w:hAnsi="Times New Roman" w:eastAsia="宋体" w:cs="Times New Roman"/>
          <w:b/>
          <w:bCs/>
          <w:sz w:val="48"/>
          <w:szCs w:val="24"/>
        </w:rPr>
      </w:pPr>
      <w:r>
        <w:rPr>
          <w:rFonts w:ascii="Times New Roman" w:hAnsi="Times New Roman" w:eastAsia="宋体" w:cs="Times New Roman"/>
          <w:b/>
          <w:kern w:val="0"/>
          <w:sz w:val="24"/>
        </w:rPr>
        <w:t>注：表后应须提供证明材料。</w:t>
      </w:r>
      <w:bookmarkStart w:id="30" w:name="bookmark40"/>
      <w:bookmarkEnd w:id="30"/>
      <w:bookmarkStart w:id="31" w:name="bookmark39"/>
      <w:bookmarkEnd w:id="31"/>
    </w:p>
    <w:p w14:paraId="412D3EDD">
      <w:pPr>
        <w:rPr>
          <w:rFonts w:ascii="Times New Roman" w:hAnsi="Times New Roman" w:eastAsia="宋体" w:cs="Times New Roman"/>
          <w:szCs w:val="22"/>
        </w:rPr>
      </w:pPr>
    </w:p>
    <w:p w14:paraId="0565749A">
      <w:pPr>
        <w:widowControl/>
        <w:jc w:val="left"/>
        <w:rPr>
          <w:rFonts w:ascii="Times New Roman" w:hAnsi="Times New Roman" w:eastAsia="宋体" w:cs="Times New Roman"/>
          <w:szCs w:val="22"/>
        </w:rPr>
      </w:pPr>
    </w:p>
    <w:p w14:paraId="01831757">
      <w:pPr>
        <w:rPr>
          <w:rFonts w:ascii="Times New Roman" w:hAnsi="Times New Roman" w:eastAsia="宋体" w:cs="Times New Roman"/>
          <w:szCs w:val="22"/>
        </w:rPr>
      </w:pPr>
    </w:p>
    <w:p w14:paraId="12A77422">
      <w:pPr>
        <w:rPr>
          <w:rFonts w:ascii="Calibri" w:hAnsi="Calibri" w:eastAsia="宋体" w:cs="Times New Roman"/>
          <w:szCs w:val="22"/>
        </w:rPr>
      </w:pPr>
    </w:p>
    <w:p w14:paraId="5C229C51">
      <w:pPr>
        <w:rPr>
          <w:rFonts w:asciiTheme="minorEastAsia" w:hAnsiTheme="minorEastAsia" w:eastAsiaTheme="minorEastAsia"/>
          <w:sz w:val="24"/>
        </w:rPr>
      </w:pPr>
      <w:r>
        <w:rPr>
          <w:rFonts w:asciiTheme="minorEastAsia" w:hAnsiTheme="minorEastAsia" w:eastAsiaTheme="minorEastAsia"/>
          <w:sz w:val="24"/>
        </w:rPr>
        <w:br w:type="page"/>
      </w:r>
    </w:p>
    <w:p w14:paraId="60F2160D">
      <w:pPr>
        <w:spacing w:line="360" w:lineRule="auto"/>
        <w:jc w:val="center"/>
        <w:outlineLvl w:val="1"/>
        <w:rPr>
          <w:rFonts w:ascii="宋体" w:hAnsi="宋体" w:eastAsiaTheme="minorEastAsia"/>
          <w:b/>
          <w:bCs/>
          <w:sz w:val="28"/>
        </w:rPr>
      </w:pPr>
      <w:r>
        <w:rPr>
          <w:rFonts w:hint="eastAsia" w:asciiTheme="minorEastAsia" w:hAnsiTheme="minorEastAsia" w:eastAsiaTheme="minorEastAsia"/>
          <w:b/>
          <w:sz w:val="28"/>
        </w:rPr>
        <w:t xml:space="preserve">第七章  </w:t>
      </w:r>
      <w:bookmarkEnd w:id="28"/>
      <w:r>
        <w:rPr>
          <w:rFonts w:hint="eastAsia" w:asciiTheme="minorEastAsia" w:hAnsiTheme="minorEastAsia" w:eastAsiaTheme="minorEastAsia"/>
          <w:b/>
          <w:sz w:val="28"/>
        </w:rPr>
        <w:t>最后承诺报价表格式</w:t>
      </w:r>
      <w:bookmarkEnd w:id="29"/>
    </w:p>
    <w:p w14:paraId="0F3DC074">
      <w:pPr>
        <w:snapToGrid w:val="0"/>
        <w:spacing w:line="360" w:lineRule="auto"/>
        <w:jc w:val="center"/>
        <w:rPr>
          <w:rFonts w:asciiTheme="minorEastAsia" w:hAnsiTheme="minorEastAsia" w:eastAsiaTheme="minorEastAsia"/>
          <w:b/>
          <w:sz w:val="28"/>
        </w:rPr>
      </w:pPr>
      <w:r>
        <w:rPr>
          <w:rFonts w:hint="eastAsia" w:asciiTheme="minorEastAsia" w:hAnsiTheme="minorEastAsia" w:eastAsiaTheme="minorEastAsia"/>
          <w:b/>
          <w:sz w:val="28"/>
        </w:rPr>
        <w:t>最后承诺报价表</w:t>
      </w:r>
    </w:p>
    <w:p w14:paraId="2CF81750">
      <w:pPr>
        <w:snapToGrid w:val="0"/>
        <w:spacing w:line="360" w:lineRule="auto"/>
        <w:jc w:val="left"/>
        <w:rPr>
          <w:rFonts w:ascii="宋体" w:hAnsi="宋体" w:eastAsia="宋体"/>
          <w:b/>
          <w:sz w:val="24"/>
          <w:szCs w:val="28"/>
        </w:rPr>
      </w:pPr>
      <w:r>
        <w:rPr>
          <w:rFonts w:hint="eastAsia" w:ascii="宋体" w:hAnsi="宋体" w:eastAsia="宋体"/>
          <w:b/>
          <w:sz w:val="24"/>
          <w:szCs w:val="28"/>
        </w:rPr>
        <w:t>项目名称：</w:t>
      </w:r>
      <w:r>
        <w:rPr>
          <w:rFonts w:hint="eastAsia" w:ascii="宋体" w:hAnsi="宋体" w:eastAsia="宋体"/>
          <w:b/>
          <w:sz w:val="24"/>
          <w:szCs w:val="28"/>
          <w:u w:val="single"/>
        </w:rPr>
        <w:t xml:space="preserve">                    </w:t>
      </w:r>
    </w:p>
    <w:p w14:paraId="6654AB15">
      <w:pPr>
        <w:snapToGrid w:val="0"/>
        <w:spacing w:after="156" w:afterLines="50" w:line="360" w:lineRule="auto"/>
        <w:jc w:val="left"/>
        <w:rPr>
          <w:rFonts w:ascii="宋体" w:hAnsi="宋体" w:eastAsia="宋体"/>
          <w:b/>
          <w:bCs/>
          <w:sz w:val="24"/>
          <w:szCs w:val="28"/>
        </w:rPr>
      </w:pPr>
      <w:r>
        <w:rPr>
          <w:rFonts w:hint="eastAsia" w:ascii="宋体" w:hAnsi="宋体" w:eastAsia="宋体"/>
          <w:b/>
          <w:sz w:val="24"/>
          <w:szCs w:val="28"/>
        </w:rPr>
        <w:t>项目编号：</w:t>
      </w:r>
      <w:r>
        <w:rPr>
          <w:rFonts w:hint="eastAsia" w:ascii="宋体" w:hAnsi="宋体" w:eastAsia="宋体"/>
          <w:b/>
          <w:sz w:val="24"/>
          <w:szCs w:val="28"/>
          <w:u w:val="single"/>
        </w:rPr>
        <w:t xml:space="preserve">                   </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14:paraId="754D0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78E7C02C">
            <w:pPr>
              <w:spacing w:line="360" w:lineRule="auto"/>
              <w:jc w:val="center"/>
              <w:rPr>
                <w:rFonts w:ascii="宋体" w:hAnsi="宋体" w:eastAsia="宋体"/>
                <w:b/>
                <w:sz w:val="24"/>
              </w:rPr>
            </w:pPr>
            <w:r>
              <w:rPr>
                <w:rFonts w:hint="eastAsia" w:ascii="宋体" w:hAnsi="宋体" w:eastAsia="宋体"/>
                <w:b/>
                <w:sz w:val="24"/>
              </w:rPr>
              <w:t>供应商名称</w:t>
            </w:r>
          </w:p>
        </w:tc>
        <w:tc>
          <w:tcPr>
            <w:tcW w:w="6063" w:type="dxa"/>
            <w:tcBorders>
              <w:left w:val="single" w:color="auto" w:sz="4" w:space="0"/>
            </w:tcBorders>
          </w:tcPr>
          <w:p w14:paraId="5A02BA8F">
            <w:pPr>
              <w:spacing w:line="360" w:lineRule="auto"/>
              <w:rPr>
                <w:rFonts w:ascii="宋体" w:hAnsi="宋体" w:eastAsia="宋体"/>
                <w:b/>
                <w:sz w:val="24"/>
              </w:rPr>
            </w:pPr>
          </w:p>
        </w:tc>
      </w:tr>
      <w:tr w14:paraId="519F0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5885D99B">
            <w:pPr>
              <w:spacing w:line="360" w:lineRule="exact"/>
              <w:jc w:val="center"/>
              <w:rPr>
                <w:rFonts w:ascii="宋体" w:hAnsi="宋体" w:eastAsia="宋体"/>
                <w:b/>
                <w:sz w:val="24"/>
              </w:rPr>
            </w:pPr>
            <w:r>
              <w:rPr>
                <w:rFonts w:hint="eastAsia" w:ascii="宋体" w:hAnsi="宋体" w:eastAsia="宋体"/>
                <w:b/>
                <w:bCs/>
                <w:sz w:val="24"/>
                <w:szCs w:val="28"/>
              </w:rPr>
              <w:t>竞争性磋商</w:t>
            </w:r>
            <w:r>
              <w:rPr>
                <w:rFonts w:hint="eastAsia" w:ascii="宋体" w:hAnsi="宋体" w:eastAsia="宋体"/>
                <w:b/>
                <w:sz w:val="24"/>
              </w:rPr>
              <w:t>范围</w:t>
            </w:r>
          </w:p>
        </w:tc>
        <w:tc>
          <w:tcPr>
            <w:tcW w:w="6063" w:type="dxa"/>
            <w:tcBorders>
              <w:left w:val="single" w:color="auto" w:sz="4" w:space="0"/>
            </w:tcBorders>
            <w:vAlign w:val="center"/>
          </w:tcPr>
          <w:p w14:paraId="2D3799F3">
            <w:pPr>
              <w:widowControl/>
              <w:spacing w:line="360" w:lineRule="exact"/>
              <w:rPr>
                <w:rFonts w:ascii="宋体" w:hAnsi="宋体" w:eastAsia="宋体"/>
                <w:b/>
                <w:sz w:val="24"/>
              </w:rPr>
            </w:pPr>
            <w:r>
              <w:rPr>
                <w:rFonts w:hint="eastAsia" w:asciiTheme="minorEastAsia" w:hAnsiTheme="minorEastAsia" w:eastAsiaTheme="minorEastAsia"/>
                <w:sz w:val="24"/>
                <w:szCs w:val="28"/>
              </w:rPr>
              <w:t xml:space="preserve">全部 </w:t>
            </w:r>
          </w:p>
        </w:tc>
      </w:tr>
      <w:tr w14:paraId="67318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14:paraId="1EC3981D">
            <w:pPr>
              <w:spacing w:line="360" w:lineRule="auto"/>
              <w:jc w:val="center"/>
              <w:rPr>
                <w:rFonts w:ascii="宋体" w:hAnsi="宋体" w:eastAsia="宋体"/>
                <w:b/>
                <w:sz w:val="24"/>
              </w:rPr>
            </w:pPr>
            <w:r>
              <w:rPr>
                <w:rFonts w:hint="eastAsia" w:ascii="宋体" w:hAnsi="宋体" w:eastAsia="宋体"/>
                <w:b/>
                <w:bCs/>
                <w:sz w:val="24"/>
                <w:szCs w:val="28"/>
              </w:rPr>
              <w:t>最后报价</w:t>
            </w:r>
          </w:p>
          <w:p w14:paraId="0DD73675">
            <w:pPr>
              <w:spacing w:line="360" w:lineRule="auto"/>
              <w:jc w:val="center"/>
              <w:rPr>
                <w:rFonts w:ascii="宋体" w:hAnsi="宋体" w:eastAsia="宋体"/>
                <w:b/>
                <w:sz w:val="24"/>
              </w:rPr>
            </w:pPr>
            <w:r>
              <w:rPr>
                <w:rFonts w:hint="eastAsia" w:ascii="宋体" w:hAnsi="宋体" w:eastAsia="宋体"/>
                <w:b/>
                <w:sz w:val="24"/>
              </w:rPr>
              <w:t>（详见备注说明）</w:t>
            </w:r>
          </w:p>
        </w:tc>
        <w:tc>
          <w:tcPr>
            <w:tcW w:w="6063" w:type="dxa"/>
            <w:vAlign w:val="center"/>
          </w:tcPr>
          <w:p w14:paraId="361677C7">
            <w:pPr>
              <w:snapToGrid w:val="0"/>
              <w:spacing w:line="360" w:lineRule="auto"/>
              <w:rPr>
                <w:rFonts w:ascii="宋体" w:hAnsi="宋体" w:eastAsia="宋体"/>
                <w:sz w:val="24"/>
                <w:szCs w:val="28"/>
              </w:rPr>
            </w:pPr>
          </w:p>
          <w:p w14:paraId="7A5FBCA9">
            <w:pPr>
              <w:snapToGrid w:val="0"/>
              <w:spacing w:line="360" w:lineRule="auto"/>
              <w:rPr>
                <w:rFonts w:ascii="宋体" w:hAnsi="宋体" w:eastAsia="宋体"/>
                <w:bCs/>
                <w:sz w:val="24"/>
                <w:u w:val="single"/>
              </w:rPr>
            </w:pPr>
            <w:r>
              <w:rPr>
                <w:rFonts w:hint="eastAsia" w:ascii="宋体" w:hAnsi="宋体" w:eastAsia="宋体"/>
                <w:bCs/>
                <w:sz w:val="24"/>
              </w:rPr>
              <w:t>人民币大写：</w:t>
            </w:r>
            <w:r>
              <w:rPr>
                <w:rFonts w:hint="eastAsia" w:ascii="宋体" w:hAnsi="宋体" w:eastAsia="宋体"/>
                <w:bCs/>
                <w:sz w:val="24"/>
                <w:u w:val="single"/>
              </w:rPr>
              <w:t xml:space="preserve">                        </w:t>
            </w:r>
          </w:p>
          <w:p w14:paraId="01FE28C7">
            <w:pPr>
              <w:snapToGrid w:val="0"/>
              <w:spacing w:line="360" w:lineRule="auto"/>
              <w:rPr>
                <w:rFonts w:ascii="宋体" w:hAnsi="宋体" w:eastAsia="宋体"/>
                <w:b/>
                <w:sz w:val="24"/>
              </w:rPr>
            </w:pPr>
            <w:r>
              <w:rPr>
                <w:rFonts w:hint="eastAsia" w:ascii="宋体" w:hAnsi="宋体" w:eastAsia="宋体"/>
                <w:bCs/>
                <w:sz w:val="24"/>
              </w:rPr>
              <w:t>人民币</w:t>
            </w:r>
            <w:r>
              <w:rPr>
                <w:rFonts w:hint="eastAsia" w:ascii="宋体" w:hAnsi="宋体" w:eastAsia="宋体"/>
                <w:bCs/>
                <w:sz w:val="24"/>
                <w:lang w:val="en-US" w:eastAsia="zh-CN"/>
              </w:rPr>
              <w:t>小</w:t>
            </w:r>
            <w:r>
              <w:rPr>
                <w:rFonts w:hint="eastAsia" w:ascii="宋体" w:hAnsi="宋体" w:eastAsia="宋体"/>
                <w:bCs/>
                <w:sz w:val="24"/>
              </w:rPr>
              <w:t>写：</w:t>
            </w:r>
            <w:r>
              <w:rPr>
                <w:rFonts w:hint="eastAsia" w:ascii="宋体" w:hAnsi="宋体" w:eastAsia="宋体"/>
                <w:bCs/>
                <w:sz w:val="24"/>
                <w:u w:val="single"/>
              </w:rPr>
              <w:t xml:space="preserve">                        </w:t>
            </w:r>
          </w:p>
        </w:tc>
      </w:tr>
      <w:tr w14:paraId="14800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jc w:val="center"/>
        </w:trPr>
        <w:tc>
          <w:tcPr>
            <w:tcW w:w="2459" w:type="dxa"/>
            <w:vAlign w:val="center"/>
          </w:tcPr>
          <w:p w14:paraId="76FA412F">
            <w:pPr>
              <w:spacing w:line="360" w:lineRule="auto"/>
              <w:jc w:val="center"/>
              <w:rPr>
                <w:rFonts w:ascii="宋体" w:hAnsi="宋体" w:eastAsia="宋体"/>
                <w:b/>
                <w:sz w:val="24"/>
              </w:rPr>
            </w:pPr>
            <w:r>
              <w:rPr>
                <w:rFonts w:hint="eastAsia" w:ascii="宋体" w:hAnsi="宋体" w:eastAsia="宋体"/>
                <w:b/>
                <w:sz w:val="24"/>
              </w:rPr>
              <w:t>备注说明</w:t>
            </w:r>
          </w:p>
        </w:tc>
        <w:tc>
          <w:tcPr>
            <w:tcW w:w="6063" w:type="dxa"/>
            <w:vAlign w:val="center"/>
          </w:tcPr>
          <w:p w14:paraId="284B74DE">
            <w:pPr>
              <w:spacing w:line="360" w:lineRule="auto"/>
              <w:rPr>
                <w:rFonts w:ascii="宋体" w:hAnsi="宋体" w:eastAsia="宋体"/>
                <w:bCs/>
                <w:iCs/>
                <w:sz w:val="24"/>
              </w:rPr>
            </w:pPr>
            <w:r>
              <w:rPr>
                <w:rFonts w:hint="eastAsia" w:ascii="宋体" w:hAnsi="宋体" w:eastAsia="宋体"/>
                <w:bCs/>
                <w:iCs/>
                <w:sz w:val="24"/>
              </w:rPr>
              <w:t>采购需求中的技术、服务要求以及合同草案变动情况：</w:t>
            </w:r>
          </w:p>
          <w:p w14:paraId="30D36491">
            <w:pPr>
              <w:spacing w:line="360" w:lineRule="auto"/>
              <w:rPr>
                <w:rFonts w:ascii="宋体" w:hAnsi="宋体" w:eastAsia="宋体"/>
                <w:b/>
                <w:sz w:val="24"/>
              </w:rPr>
            </w:pPr>
            <w:r>
              <w:rPr>
                <w:rFonts w:hint="eastAsia" w:ascii="宋体" w:hAnsi="宋体" w:eastAsia="宋体"/>
                <w:b/>
                <w:i/>
                <w:sz w:val="24"/>
              </w:rPr>
              <w:t>（说明：此处可补充竞争性磋商小组根据与供应商竞争性磋商情况变动的竞争性磋商文件的内容，包括采购需求中的技术、服务要求以及合同草案条款。）</w:t>
            </w:r>
          </w:p>
        </w:tc>
      </w:tr>
      <w:tr w14:paraId="3C205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2459" w:type="dxa"/>
            <w:vAlign w:val="center"/>
          </w:tcPr>
          <w:p w14:paraId="38FFF7B6">
            <w:pPr>
              <w:spacing w:line="360" w:lineRule="auto"/>
              <w:jc w:val="center"/>
              <w:rPr>
                <w:rFonts w:ascii="宋体" w:hAnsi="宋体" w:eastAsia="宋体"/>
                <w:b/>
                <w:sz w:val="24"/>
              </w:rPr>
            </w:pPr>
            <w:r>
              <w:rPr>
                <w:rFonts w:hint="eastAsia" w:ascii="宋体" w:hAnsi="宋体" w:eastAsia="宋体"/>
                <w:b/>
                <w:bCs/>
                <w:sz w:val="24"/>
                <w:szCs w:val="28"/>
              </w:rPr>
              <w:t>竞争性磋商小组</w:t>
            </w:r>
            <w:r>
              <w:rPr>
                <w:rFonts w:ascii="宋体" w:hAnsi="宋体" w:eastAsia="宋体"/>
                <w:b/>
                <w:bCs/>
                <w:sz w:val="24"/>
                <w:szCs w:val="28"/>
              </w:rPr>
              <w:t>签字</w:t>
            </w:r>
          </w:p>
        </w:tc>
        <w:tc>
          <w:tcPr>
            <w:tcW w:w="6063" w:type="dxa"/>
          </w:tcPr>
          <w:p w14:paraId="53090652">
            <w:pPr>
              <w:spacing w:line="360" w:lineRule="auto"/>
              <w:rPr>
                <w:rFonts w:ascii="宋体" w:hAnsi="宋体" w:eastAsia="宋体"/>
                <w:b/>
                <w:sz w:val="24"/>
              </w:rPr>
            </w:pPr>
          </w:p>
        </w:tc>
      </w:tr>
    </w:tbl>
    <w:p w14:paraId="1B30F8CB">
      <w:pPr>
        <w:spacing w:line="360" w:lineRule="auto"/>
        <w:ind w:firstLine="1680" w:firstLineChars="700"/>
        <w:jc w:val="left"/>
        <w:rPr>
          <w:rFonts w:ascii="宋体" w:hAnsi="宋体" w:eastAsia="宋体"/>
          <w:sz w:val="24"/>
        </w:rPr>
      </w:pPr>
      <w:r>
        <w:rPr>
          <w:rFonts w:hint="eastAsia" w:ascii="宋体" w:hAnsi="宋体" w:eastAsia="宋体"/>
          <w:sz w:val="24"/>
        </w:rPr>
        <w:t xml:space="preserve">                   供应商</w:t>
      </w:r>
      <w:r>
        <w:rPr>
          <w:rFonts w:hint="eastAsia" w:ascii="宋体" w:hAnsi="宋体" w:eastAsia="宋体"/>
          <w:sz w:val="24"/>
          <w:lang w:val="en-US" w:eastAsia="zh-CN"/>
        </w:rPr>
        <w:t>盖</w:t>
      </w:r>
      <w:r>
        <w:rPr>
          <w:rFonts w:hint="eastAsia" w:ascii="宋体" w:hAnsi="宋体" w:eastAsia="宋体"/>
          <w:sz w:val="24"/>
        </w:rPr>
        <w:t>公章或授权代表签字：</w:t>
      </w:r>
      <w:r>
        <w:rPr>
          <w:rFonts w:hint="eastAsia" w:ascii="宋体" w:hAnsi="宋体" w:eastAsia="宋体"/>
          <w:sz w:val="24"/>
          <w:u w:val="single"/>
        </w:rPr>
        <w:t xml:space="preserve">          </w:t>
      </w:r>
    </w:p>
    <w:p w14:paraId="3B07C8AE">
      <w:pPr>
        <w:spacing w:line="360" w:lineRule="auto"/>
        <w:ind w:firstLine="4560" w:firstLineChars="19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5E329208">
      <w:pPr>
        <w:spacing w:line="360" w:lineRule="auto"/>
        <w:jc w:val="left"/>
        <w:rPr>
          <w:rFonts w:ascii="宋体" w:hAnsi="宋体" w:eastAsia="宋体"/>
          <w:bCs/>
          <w:sz w:val="24"/>
        </w:rPr>
      </w:pPr>
      <w:r>
        <w:rPr>
          <w:rFonts w:hint="eastAsia" w:ascii="宋体" w:hAnsi="宋体" w:eastAsia="宋体"/>
          <w:b/>
          <w:bCs/>
          <w:sz w:val="24"/>
        </w:rPr>
        <w:t>注：本页《最后承诺报价表》由供应商在接到最后报价通知后依据竞争性磋商情况填写,并在</w:t>
      </w:r>
      <w:r>
        <w:rPr>
          <w:rFonts w:hint="eastAsia" w:ascii="宋体" w:hAnsi="宋体" w:eastAsia="宋体"/>
          <w:b/>
          <w:bCs/>
          <w:sz w:val="24"/>
          <w:u w:val="single"/>
        </w:rPr>
        <w:t>20分钟</w:t>
      </w:r>
      <w:r>
        <w:rPr>
          <w:rFonts w:hint="eastAsia" w:ascii="宋体" w:hAnsi="宋体" w:eastAsia="宋体"/>
          <w:b/>
          <w:bCs/>
          <w:sz w:val="24"/>
        </w:rPr>
        <w:t>内</w:t>
      </w:r>
      <w:r>
        <w:rPr>
          <w:rFonts w:hint="eastAsia" w:ascii="宋体" w:hAnsi="宋体" w:eastAsia="宋体"/>
          <w:b/>
          <w:bCs/>
          <w:sz w:val="24"/>
          <w:lang w:val="en-US" w:eastAsia="zh-CN"/>
        </w:rPr>
        <w:t>递交</w:t>
      </w:r>
      <w:r>
        <w:rPr>
          <w:rFonts w:hint="eastAsia" w:ascii="宋体" w:hAnsi="宋体" w:eastAsia="宋体"/>
          <w:b/>
          <w:bCs/>
          <w:sz w:val="24"/>
        </w:rPr>
        <w:t>。</w:t>
      </w:r>
      <w:r>
        <w:rPr>
          <w:rFonts w:hint="eastAsia" w:ascii="宋体" w:hAnsi="宋体" w:eastAsia="宋体"/>
          <w:sz w:val="24"/>
        </w:rPr>
        <w:t>考虑竞争性磋商报价的方便，供应商在填写最后承诺报价后，除供应商另有声明外，（第一次报价-最后承诺报价）除以第一次报价后得出的优惠率视同为需求表中全部分项的优惠浮动值，</w:t>
      </w:r>
      <w:r>
        <w:rPr>
          <w:rFonts w:hint="eastAsia" w:ascii="宋体" w:hAnsi="宋体" w:eastAsia="宋体"/>
          <w:bCs/>
          <w:sz w:val="24"/>
        </w:rPr>
        <w:t>此优惠率调整原则适用于合同内价格的计算及项目增减、变更时价格的计算。</w:t>
      </w:r>
    </w:p>
    <w:p w14:paraId="243B4A37">
      <w:pPr>
        <w:spacing w:line="360" w:lineRule="auto"/>
        <w:ind w:firstLine="435"/>
        <w:rPr>
          <w:rFonts w:asciiTheme="minorEastAsia" w:hAnsiTheme="minorEastAsia" w:eastAsiaTheme="minorEastAsia"/>
          <w:sz w:val="24"/>
        </w:rPr>
      </w:pP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0226E">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19BE4">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C75040">
                          <w:pPr>
                            <w:pStyle w:val="1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2C75040">
                    <w:pPr>
                      <w:pStyle w:val="1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94828">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7E4E6E">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87E4E6E">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018A8">
    <w:pPr>
      <w:pStyle w:val="15"/>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9BA406">
                          <w:pPr>
                            <w:pStyle w:val="15"/>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2C9BA406">
                    <w:pPr>
                      <w:pStyle w:val="15"/>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2AF9A">
    <w:pPr>
      <w:pStyle w:val="15"/>
      <w:rPr>
        <w:rFonts w:asciiTheme="minorEastAsia" w:hAnsiTheme="minorEastAsia" w:eastAsiaTheme="minorEastAsia"/>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A087C9">
                          <w:pPr>
                            <w:pStyle w:val="1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EA087C9">
                    <w:pPr>
                      <w:pStyle w:val="1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AA077">
    <w:pPr>
      <w:pStyle w:val="4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5Y2MyMDk0N2Q2MDI1MTAwNTAwMTAzYzFkNTcxM2YifQ=="/>
  </w:docVars>
  <w:rsids>
    <w:rsidRoot w:val="00276BA1"/>
    <w:rsid w:val="0000043F"/>
    <w:rsid w:val="000037F9"/>
    <w:rsid w:val="000049DA"/>
    <w:rsid w:val="000056B7"/>
    <w:rsid w:val="000131F7"/>
    <w:rsid w:val="00013B44"/>
    <w:rsid w:val="00014039"/>
    <w:rsid w:val="00016B6C"/>
    <w:rsid w:val="000201D0"/>
    <w:rsid w:val="00020B57"/>
    <w:rsid w:val="000300E1"/>
    <w:rsid w:val="000371D3"/>
    <w:rsid w:val="00040C25"/>
    <w:rsid w:val="00042139"/>
    <w:rsid w:val="00042B14"/>
    <w:rsid w:val="00044F49"/>
    <w:rsid w:val="000450C3"/>
    <w:rsid w:val="00047367"/>
    <w:rsid w:val="00050A3F"/>
    <w:rsid w:val="000648D2"/>
    <w:rsid w:val="00066B5B"/>
    <w:rsid w:val="00070E0E"/>
    <w:rsid w:val="0007146E"/>
    <w:rsid w:val="00076DB7"/>
    <w:rsid w:val="00080FEB"/>
    <w:rsid w:val="00086B11"/>
    <w:rsid w:val="00092139"/>
    <w:rsid w:val="00094D41"/>
    <w:rsid w:val="000970FA"/>
    <w:rsid w:val="00097CB9"/>
    <w:rsid w:val="000A10A9"/>
    <w:rsid w:val="000A63D6"/>
    <w:rsid w:val="000A6693"/>
    <w:rsid w:val="000A7970"/>
    <w:rsid w:val="000A7D94"/>
    <w:rsid w:val="000B1511"/>
    <w:rsid w:val="000C0507"/>
    <w:rsid w:val="000C1DB1"/>
    <w:rsid w:val="000D3F37"/>
    <w:rsid w:val="000E3C74"/>
    <w:rsid w:val="000E3F9B"/>
    <w:rsid w:val="000E478E"/>
    <w:rsid w:val="000E628B"/>
    <w:rsid w:val="000E6689"/>
    <w:rsid w:val="000F172B"/>
    <w:rsid w:val="000F2198"/>
    <w:rsid w:val="000F39B6"/>
    <w:rsid w:val="000F50F9"/>
    <w:rsid w:val="000F6B7B"/>
    <w:rsid w:val="00100B0F"/>
    <w:rsid w:val="0010187C"/>
    <w:rsid w:val="00101E00"/>
    <w:rsid w:val="0010219C"/>
    <w:rsid w:val="0010350F"/>
    <w:rsid w:val="001037E3"/>
    <w:rsid w:val="00105603"/>
    <w:rsid w:val="00106749"/>
    <w:rsid w:val="00115A0F"/>
    <w:rsid w:val="00116502"/>
    <w:rsid w:val="0011660B"/>
    <w:rsid w:val="0012143A"/>
    <w:rsid w:val="001258BA"/>
    <w:rsid w:val="00125C4D"/>
    <w:rsid w:val="001301E2"/>
    <w:rsid w:val="00140687"/>
    <w:rsid w:val="00141B76"/>
    <w:rsid w:val="001433FB"/>
    <w:rsid w:val="00143E86"/>
    <w:rsid w:val="001459A0"/>
    <w:rsid w:val="00146421"/>
    <w:rsid w:val="001472F8"/>
    <w:rsid w:val="00153B20"/>
    <w:rsid w:val="00155F64"/>
    <w:rsid w:val="00157856"/>
    <w:rsid w:val="00160729"/>
    <w:rsid w:val="00166794"/>
    <w:rsid w:val="00166ED8"/>
    <w:rsid w:val="001714C9"/>
    <w:rsid w:val="0018119B"/>
    <w:rsid w:val="001844AB"/>
    <w:rsid w:val="001853C7"/>
    <w:rsid w:val="00192879"/>
    <w:rsid w:val="001944B8"/>
    <w:rsid w:val="00196DA3"/>
    <w:rsid w:val="001A526C"/>
    <w:rsid w:val="001A68E5"/>
    <w:rsid w:val="001B2A54"/>
    <w:rsid w:val="001B2BA4"/>
    <w:rsid w:val="001B5014"/>
    <w:rsid w:val="001B54B9"/>
    <w:rsid w:val="001B7327"/>
    <w:rsid w:val="001D22EA"/>
    <w:rsid w:val="001D53B4"/>
    <w:rsid w:val="001E1835"/>
    <w:rsid w:val="001F19A3"/>
    <w:rsid w:val="001F28D2"/>
    <w:rsid w:val="001F2F45"/>
    <w:rsid w:val="001F3023"/>
    <w:rsid w:val="001F35F6"/>
    <w:rsid w:val="001F74CA"/>
    <w:rsid w:val="001F7590"/>
    <w:rsid w:val="002003B6"/>
    <w:rsid w:val="00201A3A"/>
    <w:rsid w:val="0020244A"/>
    <w:rsid w:val="00202BB3"/>
    <w:rsid w:val="00204609"/>
    <w:rsid w:val="002049B4"/>
    <w:rsid w:val="0020520B"/>
    <w:rsid w:val="002076AD"/>
    <w:rsid w:val="00213C55"/>
    <w:rsid w:val="00214D78"/>
    <w:rsid w:val="0021525B"/>
    <w:rsid w:val="00223CF4"/>
    <w:rsid w:val="00224C4A"/>
    <w:rsid w:val="00231187"/>
    <w:rsid w:val="0023407E"/>
    <w:rsid w:val="00240B40"/>
    <w:rsid w:val="00244182"/>
    <w:rsid w:val="00244B75"/>
    <w:rsid w:val="0024520F"/>
    <w:rsid w:val="0025179B"/>
    <w:rsid w:val="0025335E"/>
    <w:rsid w:val="002544A1"/>
    <w:rsid w:val="00257ECE"/>
    <w:rsid w:val="00260B94"/>
    <w:rsid w:val="00264F2E"/>
    <w:rsid w:val="00271245"/>
    <w:rsid w:val="00274A9E"/>
    <w:rsid w:val="00276BA1"/>
    <w:rsid w:val="00280984"/>
    <w:rsid w:val="002835E3"/>
    <w:rsid w:val="00284542"/>
    <w:rsid w:val="002958EB"/>
    <w:rsid w:val="002A14D1"/>
    <w:rsid w:val="002A1A1D"/>
    <w:rsid w:val="002A28AD"/>
    <w:rsid w:val="002A5732"/>
    <w:rsid w:val="002B04FD"/>
    <w:rsid w:val="002B33B1"/>
    <w:rsid w:val="002B5318"/>
    <w:rsid w:val="002B6D27"/>
    <w:rsid w:val="002B7903"/>
    <w:rsid w:val="002B7A09"/>
    <w:rsid w:val="002C060C"/>
    <w:rsid w:val="002C0B0E"/>
    <w:rsid w:val="002D05DD"/>
    <w:rsid w:val="002D2965"/>
    <w:rsid w:val="002D3D02"/>
    <w:rsid w:val="002D4CB5"/>
    <w:rsid w:val="002D679B"/>
    <w:rsid w:val="002D684B"/>
    <w:rsid w:val="002E2D3A"/>
    <w:rsid w:val="002E3B26"/>
    <w:rsid w:val="002E4AB8"/>
    <w:rsid w:val="002E7FC4"/>
    <w:rsid w:val="00310070"/>
    <w:rsid w:val="0031081B"/>
    <w:rsid w:val="003110EC"/>
    <w:rsid w:val="0031271F"/>
    <w:rsid w:val="00316F83"/>
    <w:rsid w:val="003206A6"/>
    <w:rsid w:val="0032097C"/>
    <w:rsid w:val="00322CCA"/>
    <w:rsid w:val="003231B4"/>
    <w:rsid w:val="0032560D"/>
    <w:rsid w:val="00327C92"/>
    <w:rsid w:val="00333292"/>
    <w:rsid w:val="003344E7"/>
    <w:rsid w:val="0033580B"/>
    <w:rsid w:val="003365E7"/>
    <w:rsid w:val="003378D5"/>
    <w:rsid w:val="003473D7"/>
    <w:rsid w:val="00351AC8"/>
    <w:rsid w:val="00353075"/>
    <w:rsid w:val="00353DF7"/>
    <w:rsid w:val="00360384"/>
    <w:rsid w:val="00361773"/>
    <w:rsid w:val="00363E02"/>
    <w:rsid w:val="00373A96"/>
    <w:rsid w:val="003826C2"/>
    <w:rsid w:val="00383728"/>
    <w:rsid w:val="003839AF"/>
    <w:rsid w:val="00385435"/>
    <w:rsid w:val="003903BB"/>
    <w:rsid w:val="0039070B"/>
    <w:rsid w:val="00392627"/>
    <w:rsid w:val="00394128"/>
    <w:rsid w:val="00394ADC"/>
    <w:rsid w:val="00395235"/>
    <w:rsid w:val="0039561A"/>
    <w:rsid w:val="00397C7D"/>
    <w:rsid w:val="003A004F"/>
    <w:rsid w:val="003A092F"/>
    <w:rsid w:val="003B4130"/>
    <w:rsid w:val="003B715B"/>
    <w:rsid w:val="003C0225"/>
    <w:rsid w:val="003C2C62"/>
    <w:rsid w:val="003C465B"/>
    <w:rsid w:val="003D1D14"/>
    <w:rsid w:val="003D6C7C"/>
    <w:rsid w:val="003D6EFB"/>
    <w:rsid w:val="003D7E52"/>
    <w:rsid w:val="003E0891"/>
    <w:rsid w:val="003E25C6"/>
    <w:rsid w:val="003F23CE"/>
    <w:rsid w:val="003F7528"/>
    <w:rsid w:val="004011AA"/>
    <w:rsid w:val="0040202C"/>
    <w:rsid w:val="00406508"/>
    <w:rsid w:val="0041456E"/>
    <w:rsid w:val="00414F7E"/>
    <w:rsid w:val="004164F8"/>
    <w:rsid w:val="00420B0F"/>
    <w:rsid w:val="00426F05"/>
    <w:rsid w:val="00430A4D"/>
    <w:rsid w:val="004328E1"/>
    <w:rsid w:val="00440DFE"/>
    <w:rsid w:val="004427B7"/>
    <w:rsid w:val="0044349F"/>
    <w:rsid w:val="004444BC"/>
    <w:rsid w:val="004446D7"/>
    <w:rsid w:val="00445F1F"/>
    <w:rsid w:val="00451F60"/>
    <w:rsid w:val="004527BD"/>
    <w:rsid w:val="00452BB2"/>
    <w:rsid w:val="00456054"/>
    <w:rsid w:val="0045656D"/>
    <w:rsid w:val="004616AC"/>
    <w:rsid w:val="00462D98"/>
    <w:rsid w:val="00463E7D"/>
    <w:rsid w:val="00470551"/>
    <w:rsid w:val="00472A44"/>
    <w:rsid w:val="00473A89"/>
    <w:rsid w:val="0047588B"/>
    <w:rsid w:val="00475899"/>
    <w:rsid w:val="00476061"/>
    <w:rsid w:val="00480645"/>
    <w:rsid w:val="00482C78"/>
    <w:rsid w:val="0048634A"/>
    <w:rsid w:val="004874AE"/>
    <w:rsid w:val="00494D24"/>
    <w:rsid w:val="004951D1"/>
    <w:rsid w:val="004960BB"/>
    <w:rsid w:val="00497568"/>
    <w:rsid w:val="004A27D0"/>
    <w:rsid w:val="004A4D67"/>
    <w:rsid w:val="004A52C6"/>
    <w:rsid w:val="004C13CB"/>
    <w:rsid w:val="004D3D4B"/>
    <w:rsid w:val="004D5498"/>
    <w:rsid w:val="004D66A5"/>
    <w:rsid w:val="004D6B00"/>
    <w:rsid w:val="004E1600"/>
    <w:rsid w:val="004E1D50"/>
    <w:rsid w:val="004E2E18"/>
    <w:rsid w:val="004E50CA"/>
    <w:rsid w:val="004F27A0"/>
    <w:rsid w:val="00501382"/>
    <w:rsid w:val="00510798"/>
    <w:rsid w:val="005125F1"/>
    <w:rsid w:val="00516181"/>
    <w:rsid w:val="00524A11"/>
    <w:rsid w:val="00527768"/>
    <w:rsid w:val="00530EA4"/>
    <w:rsid w:val="005327FB"/>
    <w:rsid w:val="00533FCA"/>
    <w:rsid w:val="005401AC"/>
    <w:rsid w:val="005470D4"/>
    <w:rsid w:val="00557A99"/>
    <w:rsid w:val="00557AF5"/>
    <w:rsid w:val="005616B5"/>
    <w:rsid w:val="005672A1"/>
    <w:rsid w:val="005679A4"/>
    <w:rsid w:val="00572FEB"/>
    <w:rsid w:val="005751F5"/>
    <w:rsid w:val="0059223D"/>
    <w:rsid w:val="00597B15"/>
    <w:rsid w:val="00597FA2"/>
    <w:rsid w:val="005A044C"/>
    <w:rsid w:val="005A149F"/>
    <w:rsid w:val="005B1C79"/>
    <w:rsid w:val="005B34C9"/>
    <w:rsid w:val="005B62B9"/>
    <w:rsid w:val="005C4D2E"/>
    <w:rsid w:val="005D0200"/>
    <w:rsid w:val="005D0E24"/>
    <w:rsid w:val="005D33D6"/>
    <w:rsid w:val="005D44EF"/>
    <w:rsid w:val="005D5112"/>
    <w:rsid w:val="005D5D67"/>
    <w:rsid w:val="005F17B5"/>
    <w:rsid w:val="005F34CC"/>
    <w:rsid w:val="005F3914"/>
    <w:rsid w:val="005F3B5A"/>
    <w:rsid w:val="005F489D"/>
    <w:rsid w:val="005F6AB4"/>
    <w:rsid w:val="006011B7"/>
    <w:rsid w:val="0060265C"/>
    <w:rsid w:val="00607471"/>
    <w:rsid w:val="00610A66"/>
    <w:rsid w:val="00613177"/>
    <w:rsid w:val="00613CBB"/>
    <w:rsid w:val="00613F7C"/>
    <w:rsid w:val="00614BF2"/>
    <w:rsid w:val="0061557C"/>
    <w:rsid w:val="00621321"/>
    <w:rsid w:val="00623DE2"/>
    <w:rsid w:val="00627601"/>
    <w:rsid w:val="006300D0"/>
    <w:rsid w:val="00632012"/>
    <w:rsid w:val="00634694"/>
    <w:rsid w:val="00634F32"/>
    <w:rsid w:val="00636517"/>
    <w:rsid w:val="00637506"/>
    <w:rsid w:val="00637690"/>
    <w:rsid w:val="00640E1E"/>
    <w:rsid w:val="0064389A"/>
    <w:rsid w:val="00645442"/>
    <w:rsid w:val="006525CD"/>
    <w:rsid w:val="00653F7F"/>
    <w:rsid w:val="00661B51"/>
    <w:rsid w:val="00662EE8"/>
    <w:rsid w:val="00663813"/>
    <w:rsid w:val="00664AFD"/>
    <w:rsid w:val="00667567"/>
    <w:rsid w:val="00667EFD"/>
    <w:rsid w:val="0067391A"/>
    <w:rsid w:val="00674173"/>
    <w:rsid w:val="00677D87"/>
    <w:rsid w:val="00683F8C"/>
    <w:rsid w:val="0068671B"/>
    <w:rsid w:val="00690DB1"/>
    <w:rsid w:val="00691808"/>
    <w:rsid w:val="00693404"/>
    <w:rsid w:val="006953D9"/>
    <w:rsid w:val="006953E9"/>
    <w:rsid w:val="006958DB"/>
    <w:rsid w:val="006A1269"/>
    <w:rsid w:val="006A5803"/>
    <w:rsid w:val="006A69C3"/>
    <w:rsid w:val="006A6E46"/>
    <w:rsid w:val="006A7C15"/>
    <w:rsid w:val="006B1242"/>
    <w:rsid w:val="006B1DBC"/>
    <w:rsid w:val="006B2725"/>
    <w:rsid w:val="006B7D9A"/>
    <w:rsid w:val="006C06D9"/>
    <w:rsid w:val="006C3E22"/>
    <w:rsid w:val="006C5716"/>
    <w:rsid w:val="006C64B2"/>
    <w:rsid w:val="006C6AEA"/>
    <w:rsid w:val="006C74A9"/>
    <w:rsid w:val="006D07DE"/>
    <w:rsid w:val="006D361A"/>
    <w:rsid w:val="006E06D9"/>
    <w:rsid w:val="006E1D40"/>
    <w:rsid w:val="006E2E1F"/>
    <w:rsid w:val="006E5059"/>
    <w:rsid w:val="006F0B0C"/>
    <w:rsid w:val="006F5F03"/>
    <w:rsid w:val="006F5FFF"/>
    <w:rsid w:val="00710804"/>
    <w:rsid w:val="00711FC6"/>
    <w:rsid w:val="007130B1"/>
    <w:rsid w:val="00715071"/>
    <w:rsid w:val="00720D0D"/>
    <w:rsid w:val="007231E9"/>
    <w:rsid w:val="00724F0E"/>
    <w:rsid w:val="00727C59"/>
    <w:rsid w:val="00727D01"/>
    <w:rsid w:val="00732E61"/>
    <w:rsid w:val="00733730"/>
    <w:rsid w:val="00733907"/>
    <w:rsid w:val="00734E5D"/>
    <w:rsid w:val="00736013"/>
    <w:rsid w:val="007364A4"/>
    <w:rsid w:val="00737BF8"/>
    <w:rsid w:val="0074339B"/>
    <w:rsid w:val="00754A35"/>
    <w:rsid w:val="00755F95"/>
    <w:rsid w:val="00756245"/>
    <w:rsid w:val="00761662"/>
    <w:rsid w:val="00764043"/>
    <w:rsid w:val="007741E7"/>
    <w:rsid w:val="007757CF"/>
    <w:rsid w:val="0078128F"/>
    <w:rsid w:val="007819D9"/>
    <w:rsid w:val="00782760"/>
    <w:rsid w:val="0078683C"/>
    <w:rsid w:val="00790EDB"/>
    <w:rsid w:val="00791538"/>
    <w:rsid w:val="007916A4"/>
    <w:rsid w:val="0079326E"/>
    <w:rsid w:val="00796EDE"/>
    <w:rsid w:val="007A5A58"/>
    <w:rsid w:val="007B1C56"/>
    <w:rsid w:val="007B28B1"/>
    <w:rsid w:val="007C1DD7"/>
    <w:rsid w:val="007C3CD5"/>
    <w:rsid w:val="007C5E88"/>
    <w:rsid w:val="007C61EF"/>
    <w:rsid w:val="007D1C0D"/>
    <w:rsid w:val="007D2D23"/>
    <w:rsid w:val="007E27D6"/>
    <w:rsid w:val="007E324F"/>
    <w:rsid w:val="007E3921"/>
    <w:rsid w:val="007F41B5"/>
    <w:rsid w:val="007F4C8B"/>
    <w:rsid w:val="00801028"/>
    <w:rsid w:val="00803793"/>
    <w:rsid w:val="00804000"/>
    <w:rsid w:val="00814AC1"/>
    <w:rsid w:val="00817A01"/>
    <w:rsid w:val="00820E1F"/>
    <w:rsid w:val="00825E35"/>
    <w:rsid w:val="00830A4E"/>
    <w:rsid w:val="008334F8"/>
    <w:rsid w:val="00835FFD"/>
    <w:rsid w:val="008524CE"/>
    <w:rsid w:val="0086440C"/>
    <w:rsid w:val="00866781"/>
    <w:rsid w:val="0087454A"/>
    <w:rsid w:val="00876659"/>
    <w:rsid w:val="00876C2C"/>
    <w:rsid w:val="0087734C"/>
    <w:rsid w:val="00882141"/>
    <w:rsid w:val="008876EC"/>
    <w:rsid w:val="008922A8"/>
    <w:rsid w:val="00894482"/>
    <w:rsid w:val="00895BD5"/>
    <w:rsid w:val="008A16C4"/>
    <w:rsid w:val="008A6FED"/>
    <w:rsid w:val="008B39C5"/>
    <w:rsid w:val="008B4F19"/>
    <w:rsid w:val="008B51AA"/>
    <w:rsid w:val="008B6C5C"/>
    <w:rsid w:val="008C67F2"/>
    <w:rsid w:val="008C7FAF"/>
    <w:rsid w:val="008D064A"/>
    <w:rsid w:val="008D2B0F"/>
    <w:rsid w:val="008D5DBB"/>
    <w:rsid w:val="008E449E"/>
    <w:rsid w:val="008E4BDD"/>
    <w:rsid w:val="008E6CAA"/>
    <w:rsid w:val="008E770C"/>
    <w:rsid w:val="008F187F"/>
    <w:rsid w:val="008F1CE3"/>
    <w:rsid w:val="008F39F1"/>
    <w:rsid w:val="008F402F"/>
    <w:rsid w:val="008F7498"/>
    <w:rsid w:val="008F76E8"/>
    <w:rsid w:val="00901A9C"/>
    <w:rsid w:val="009078A1"/>
    <w:rsid w:val="00911E9C"/>
    <w:rsid w:val="00913EC6"/>
    <w:rsid w:val="00917405"/>
    <w:rsid w:val="00920F7C"/>
    <w:rsid w:val="00924743"/>
    <w:rsid w:val="0092476A"/>
    <w:rsid w:val="0092578B"/>
    <w:rsid w:val="00934CAE"/>
    <w:rsid w:val="00942337"/>
    <w:rsid w:val="0094257D"/>
    <w:rsid w:val="0095467C"/>
    <w:rsid w:val="00954A61"/>
    <w:rsid w:val="00955C6F"/>
    <w:rsid w:val="009609B5"/>
    <w:rsid w:val="00960B6E"/>
    <w:rsid w:val="00966799"/>
    <w:rsid w:val="00966C7B"/>
    <w:rsid w:val="009701DC"/>
    <w:rsid w:val="009715D8"/>
    <w:rsid w:val="009811A8"/>
    <w:rsid w:val="0098596B"/>
    <w:rsid w:val="009917C4"/>
    <w:rsid w:val="00995BF9"/>
    <w:rsid w:val="009A0CAF"/>
    <w:rsid w:val="009A1328"/>
    <w:rsid w:val="009A2207"/>
    <w:rsid w:val="009A2833"/>
    <w:rsid w:val="009A6E1E"/>
    <w:rsid w:val="009B0671"/>
    <w:rsid w:val="009B0EDA"/>
    <w:rsid w:val="009B6C42"/>
    <w:rsid w:val="009C2812"/>
    <w:rsid w:val="009C411A"/>
    <w:rsid w:val="009D2998"/>
    <w:rsid w:val="009D31F7"/>
    <w:rsid w:val="009D32C2"/>
    <w:rsid w:val="009D50DB"/>
    <w:rsid w:val="009E0D86"/>
    <w:rsid w:val="009E2932"/>
    <w:rsid w:val="009E3A0A"/>
    <w:rsid w:val="009E7112"/>
    <w:rsid w:val="009E752A"/>
    <w:rsid w:val="009F172C"/>
    <w:rsid w:val="009F1E2B"/>
    <w:rsid w:val="009F3E91"/>
    <w:rsid w:val="00A008DA"/>
    <w:rsid w:val="00A02F97"/>
    <w:rsid w:val="00A0571E"/>
    <w:rsid w:val="00A1035B"/>
    <w:rsid w:val="00A10F6D"/>
    <w:rsid w:val="00A1499B"/>
    <w:rsid w:val="00A22956"/>
    <w:rsid w:val="00A30A1B"/>
    <w:rsid w:val="00A314C2"/>
    <w:rsid w:val="00A44C5D"/>
    <w:rsid w:val="00A50585"/>
    <w:rsid w:val="00A519A0"/>
    <w:rsid w:val="00A62A2E"/>
    <w:rsid w:val="00A63E86"/>
    <w:rsid w:val="00A757C3"/>
    <w:rsid w:val="00A75DE5"/>
    <w:rsid w:val="00A75E5B"/>
    <w:rsid w:val="00A7684A"/>
    <w:rsid w:val="00A83B69"/>
    <w:rsid w:val="00A845DC"/>
    <w:rsid w:val="00A86533"/>
    <w:rsid w:val="00A9145F"/>
    <w:rsid w:val="00A91CA2"/>
    <w:rsid w:val="00A92FB8"/>
    <w:rsid w:val="00A945A0"/>
    <w:rsid w:val="00A948F1"/>
    <w:rsid w:val="00A9514D"/>
    <w:rsid w:val="00AA18F9"/>
    <w:rsid w:val="00AA1D7D"/>
    <w:rsid w:val="00AA2790"/>
    <w:rsid w:val="00AA2DB0"/>
    <w:rsid w:val="00AA3806"/>
    <w:rsid w:val="00AB139D"/>
    <w:rsid w:val="00AB2D05"/>
    <w:rsid w:val="00AB3EFB"/>
    <w:rsid w:val="00AC0B05"/>
    <w:rsid w:val="00AC7F9D"/>
    <w:rsid w:val="00AD079A"/>
    <w:rsid w:val="00AD1890"/>
    <w:rsid w:val="00AE133A"/>
    <w:rsid w:val="00AE2149"/>
    <w:rsid w:val="00AE33AE"/>
    <w:rsid w:val="00AE3F91"/>
    <w:rsid w:val="00AE4410"/>
    <w:rsid w:val="00AF2AE0"/>
    <w:rsid w:val="00AF3C78"/>
    <w:rsid w:val="00AF67FF"/>
    <w:rsid w:val="00B0053D"/>
    <w:rsid w:val="00B039E3"/>
    <w:rsid w:val="00B04932"/>
    <w:rsid w:val="00B06743"/>
    <w:rsid w:val="00B06D36"/>
    <w:rsid w:val="00B12BC4"/>
    <w:rsid w:val="00B22838"/>
    <w:rsid w:val="00B250B3"/>
    <w:rsid w:val="00B2650E"/>
    <w:rsid w:val="00B311CE"/>
    <w:rsid w:val="00B33E24"/>
    <w:rsid w:val="00B33E95"/>
    <w:rsid w:val="00B3720B"/>
    <w:rsid w:val="00B45D0B"/>
    <w:rsid w:val="00B5558A"/>
    <w:rsid w:val="00B56513"/>
    <w:rsid w:val="00B63B5E"/>
    <w:rsid w:val="00B64376"/>
    <w:rsid w:val="00B6570C"/>
    <w:rsid w:val="00B710DD"/>
    <w:rsid w:val="00B7401F"/>
    <w:rsid w:val="00B769CF"/>
    <w:rsid w:val="00B806C3"/>
    <w:rsid w:val="00B80D6F"/>
    <w:rsid w:val="00B81F16"/>
    <w:rsid w:val="00B8383C"/>
    <w:rsid w:val="00B84FCA"/>
    <w:rsid w:val="00B9089F"/>
    <w:rsid w:val="00B91826"/>
    <w:rsid w:val="00B91AEE"/>
    <w:rsid w:val="00B9570D"/>
    <w:rsid w:val="00B95F5A"/>
    <w:rsid w:val="00B96EAD"/>
    <w:rsid w:val="00B97600"/>
    <w:rsid w:val="00BA5F8D"/>
    <w:rsid w:val="00BA79F5"/>
    <w:rsid w:val="00BB0778"/>
    <w:rsid w:val="00BB1747"/>
    <w:rsid w:val="00BB38FB"/>
    <w:rsid w:val="00BB3AB6"/>
    <w:rsid w:val="00BB6004"/>
    <w:rsid w:val="00BB766D"/>
    <w:rsid w:val="00BB7A50"/>
    <w:rsid w:val="00BC007B"/>
    <w:rsid w:val="00BC02BB"/>
    <w:rsid w:val="00BC26BA"/>
    <w:rsid w:val="00BC35F8"/>
    <w:rsid w:val="00BC481B"/>
    <w:rsid w:val="00BC7182"/>
    <w:rsid w:val="00BD2771"/>
    <w:rsid w:val="00BD617C"/>
    <w:rsid w:val="00BD67FE"/>
    <w:rsid w:val="00BD74F3"/>
    <w:rsid w:val="00BE3708"/>
    <w:rsid w:val="00BE6C63"/>
    <w:rsid w:val="00BF3649"/>
    <w:rsid w:val="00BF376F"/>
    <w:rsid w:val="00BF46A6"/>
    <w:rsid w:val="00BF71FB"/>
    <w:rsid w:val="00C0253F"/>
    <w:rsid w:val="00C06545"/>
    <w:rsid w:val="00C134AF"/>
    <w:rsid w:val="00C220FC"/>
    <w:rsid w:val="00C2461D"/>
    <w:rsid w:val="00C24DFA"/>
    <w:rsid w:val="00C24F9D"/>
    <w:rsid w:val="00C26C8F"/>
    <w:rsid w:val="00C30182"/>
    <w:rsid w:val="00C31FC9"/>
    <w:rsid w:val="00C35CF0"/>
    <w:rsid w:val="00C363BA"/>
    <w:rsid w:val="00C37A63"/>
    <w:rsid w:val="00C46A36"/>
    <w:rsid w:val="00C47037"/>
    <w:rsid w:val="00C53625"/>
    <w:rsid w:val="00C53E9F"/>
    <w:rsid w:val="00C548BA"/>
    <w:rsid w:val="00C57784"/>
    <w:rsid w:val="00C602C1"/>
    <w:rsid w:val="00C63FC0"/>
    <w:rsid w:val="00C66392"/>
    <w:rsid w:val="00C67A46"/>
    <w:rsid w:val="00C70834"/>
    <w:rsid w:val="00C73D09"/>
    <w:rsid w:val="00C74C5E"/>
    <w:rsid w:val="00C77127"/>
    <w:rsid w:val="00C82558"/>
    <w:rsid w:val="00C827A2"/>
    <w:rsid w:val="00C82B69"/>
    <w:rsid w:val="00C82CB3"/>
    <w:rsid w:val="00C91B28"/>
    <w:rsid w:val="00C91F3A"/>
    <w:rsid w:val="00C93590"/>
    <w:rsid w:val="00CA02EB"/>
    <w:rsid w:val="00CA5446"/>
    <w:rsid w:val="00CB218D"/>
    <w:rsid w:val="00CB5625"/>
    <w:rsid w:val="00CB5797"/>
    <w:rsid w:val="00CB69DD"/>
    <w:rsid w:val="00CC1C17"/>
    <w:rsid w:val="00CC4F7F"/>
    <w:rsid w:val="00CD09E1"/>
    <w:rsid w:val="00CD420D"/>
    <w:rsid w:val="00CE1780"/>
    <w:rsid w:val="00CE4913"/>
    <w:rsid w:val="00CE66BD"/>
    <w:rsid w:val="00CF0671"/>
    <w:rsid w:val="00CF18EC"/>
    <w:rsid w:val="00CF247A"/>
    <w:rsid w:val="00CF44AD"/>
    <w:rsid w:val="00CF4FC0"/>
    <w:rsid w:val="00D1072F"/>
    <w:rsid w:val="00D108A5"/>
    <w:rsid w:val="00D14585"/>
    <w:rsid w:val="00D20EFF"/>
    <w:rsid w:val="00D31324"/>
    <w:rsid w:val="00D53ED8"/>
    <w:rsid w:val="00D55C38"/>
    <w:rsid w:val="00D5737E"/>
    <w:rsid w:val="00D64857"/>
    <w:rsid w:val="00D6493A"/>
    <w:rsid w:val="00D649A5"/>
    <w:rsid w:val="00D67875"/>
    <w:rsid w:val="00D719B9"/>
    <w:rsid w:val="00D71E86"/>
    <w:rsid w:val="00D731C6"/>
    <w:rsid w:val="00D745C5"/>
    <w:rsid w:val="00D75327"/>
    <w:rsid w:val="00D80038"/>
    <w:rsid w:val="00D80C36"/>
    <w:rsid w:val="00D81A32"/>
    <w:rsid w:val="00D86EE1"/>
    <w:rsid w:val="00D90BAA"/>
    <w:rsid w:val="00D94D95"/>
    <w:rsid w:val="00D95E90"/>
    <w:rsid w:val="00D96126"/>
    <w:rsid w:val="00DA2FD5"/>
    <w:rsid w:val="00DB4B1C"/>
    <w:rsid w:val="00DB5085"/>
    <w:rsid w:val="00DB619F"/>
    <w:rsid w:val="00DC1062"/>
    <w:rsid w:val="00DC132C"/>
    <w:rsid w:val="00DD43F0"/>
    <w:rsid w:val="00DD44DE"/>
    <w:rsid w:val="00DE09AB"/>
    <w:rsid w:val="00DE4A3F"/>
    <w:rsid w:val="00DE5A99"/>
    <w:rsid w:val="00DF4367"/>
    <w:rsid w:val="00DF4617"/>
    <w:rsid w:val="00DF6002"/>
    <w:rsid w:val="00DF7291"/>
    <w:rsid w:val="00E0574A"/>
    <w:rsid w:val="00E06F02"/>
    <w:rsid w:val="00E1243D"/>
    <w:rsid w:val="00E12742"/>
    <w:rsid w:val="00E146D4"/>
    <w:rsid w:val="00E21D37"/>
    <w:rsid w:val="00E220ED"/>
    <w:rsid w:val="00E22B44"/>
    <w:rsid w:val="00E30ACD"/>
    <w:rsid w:val="00E32735"/>
    <w:rsid w:val="00E33FC7"/>
    <w:rsid w:val="00E36388"/>
    <w:rsid w:val="00E440FD"/>
    <w:rsid w:val="00E44B88"/>
    <w:rsid w:val="00E51A10"/>
    <w:rsid w:val="00E66E36"/>
    <w:rsid w:val="00E702ED"/>
    <w:rsid w:val="00E709A4"/>
    <w:rsid w:val="00E772DB"/>
    <w:rsid w:val="00E86012"/>
    <w:rsid w:val="00E86BAB"/>
    <w:rsid w:val="00E86E24"/>
    <w:rsid w:val="00E94E10"/>
    <w:rsid w:val="00E96743"/>
    <w:rsid w:val="00E96A42"/>
    <w:rsid w:val="00EA49C5"/>
    <w:rsid w:val="00EA6279"/>
    <w:rsid w:val="00EB0812"/>
    <w:rsid w:val="00EB5027"/>
    <w:rsid w:val="00EC1836"/>
    <w:rsid w:val="00EC3990"/>
    <w:rsid w:val="00EC484B"/>
    <w:rsid w:val="00EC69A4"/>
    <w:rsid w:val="00EC7E58"/>
    <w:rsid w:val="00ED15FA"/>
    <w:rsid w:val="00ED5C9F"/>
    <w:rsid w:val="00EE6E9A"/>
    <w:rsid w:val="00EF2AC4"/>
    <w:rsid w:val="00EF38FB"/>
    <w:rsid w:val="00EF397E"/>
    <w:rsid w:val="00EF51CE"/>
    <w:rsid w:val="00F06B54"/>
    <w:rsid w:val="00F06F68"/>
    <w:rsid w:val="00F15E9D"/>
    <w:rsid w:val="00F160CE"/>
    <w:rsid w:val="00F24C2D"/>
    <w:rsid w:val="00F27D59"/>
    <w:rsid w:val="00F32A81"/>
    <w:rsid w:val="00F337E8"/>
    <w:rsid w:val="00F34934"/>
    <w:rsid w:val="00F40C82"/>
    <w:rsid w:val="00F4197F"/>
    <w:rsid w:val="00F42E25"/>
    <w:rsid w:val="00F44514"/>
    <w:rsid w:val="00F45DFF"/>
    <w:rsid w:val="00F46998"/>
    <w:rsid w:val="00F5382D"/>
    <w:rsid w:val="00F53D9C"/>
    <w:rsid w:val="00F5462B"/>
    <w:rsid w:val="00F55641"/>
    <w:rsid w:val="00F57205"/>
    <w:rsid w:val="00F634AD"/>
    <w:rsid w:val="00F63677"/>
    <w:rsid w:val="00F6584C"/>
    <w:rsid w:val="00F75B81"/>
    <w:rsid w:val="00F804C4"/>
    <w:rsid w:val="00F80C7E"/>
    <w:rsid w:val="00F82340"/>
    <w:rsid w:val="00F82F83"/>
    <w:rsid w:val="00F83CE1"/>
    <w:rsid w:val="00F84506"/>
    <w:rsid w:val="00F8548A"/>
    <w:rsid w:val="00F90C64"/>
    <w:rsid w:val="00F90DA6"/>
    <w:rsid w:val="00F92B30"/>
    <w:rsid w:val="00F933B9"/>
    <w:rsid w:val="00F94674"/>
    <w:rsid w:val="00F94919"/>
    <w:rsid w:val="00F94A59"/>
    <w:rsid w:val="00F94C52"/>
    <w:rsid w:val="00FA25B6"/>
    <w:rsid w:val="00FA2FAF"/>
    <w:rsid w:val="00FA54F6"/>
    <w:rsid w:val="00FA64B1"/>
    <w:rsid w:val="00FA6FFE"/>
    <w:rsid w:val="00FA70F3"/>
    <w:rsid w:val="00FA71CD"/>
    <w:rsid w:val="00FB0453"/>
    <w:rsid w:val="00FB0C07"/>
    <w:rsid w:val="00FB298D"/>
    <w:rsid w:val="00FC1439"/>
    <w:rsid w:val="00FC1F53"/>
    <w:rsid w:val="00FC3F65"/>
    <w:rsid w:val="00FC724B"/>
    <w:rsid w:val="00FC7910"/>
    <w:rsid w:val="00FD01E0"/>
    <w:rsid w:val="00FD784C"/>
    <w:rsid w:val="00FE1627"/>
    <w:rsid w:val="00FE7122"/>
    <w:rsid w:val="00FF092F"/>
    <w:rsid w:val="00FF0DA7"/>
    <w:rsid w:val="00FF2750"/>
    <w:rsid w:val="00FF44E0"/>
    <w:rsid w:val="00FF6C72"/>
    <w:rsid w:val="01355883"/>
    <w:rsid w:val="01B62EA8"/>
    <w:rsid w:val="03305ED6"/>
    <w:rsid w:val="03653303"/>
    <w:rsid w:val="03DD3BE6"/>
    <w:rsid w:val="04C11604"/>
    <w:rsid w:val="04CE55DE"/>
    <w:rsid w:val="0563090D"/>
    <w:rsid w:val="058F525E"/>
    <w:rsid w:val="059B3F74"/>
    <w:rsid w:val="05F17CC7"/>
    <w:rsid w:val="066762CD"/>
    <w:rsid w:val="06A314F1"/>
    <w:rsid w:val="06E11AE9"/>
    <w:rsid w:val="06F555D8"/>
    <w:rsid w:val="071F1A86"/>
    <w:rsid w:val="075C4E52"/>
    <w:rsid w:val="078C7508"/>
    <w:rsid w:val="07D02AA2"/>
    <w:rsid w:val="08E9613E"/>
    <w:rsid w:val="091B4D88"/>
    <w:rsid w:val="092451C8"/>
    <w:rsid w:val="094B3B92"/>
    <w:rsid w:val="09732882"/>
    <w:rsid w:val="0A00466C"/>
    <w:rsid w:val="0A2F0462"/>
    <w:rsid w:val="0A764C3F"/>
    <w:rsid w:val="0A82002D"/>
    <w:rsid w:val="0C0F7CD1"/>
    <w:rsid w:val="0C474AE5"/>
    <w:rsid w:val="0D466B4A"/>
    <w:rsid w:val="0E554B76"/>
    <w:rsid w:val="0F361F71"/>
    <w:rsid w:val="0F8E3E67"/>
    <w:rsid w:val="10440ACF"/>
    <w:rsid w:val="107439CE"/>
    <w:rsid w:val="11027246"/>
    <w:rsid w:val="12535BDA"/>
    <w:rsid w:val="13BB7F1D"/>
    <w:rsid w:val="1498793A"/>
    <w:rsid w:val="15602AC4"/>
    <w:rsid w:val="165A63F1"/>
    <w:rsid w:val="1676461E"/>
    <w:rsid w:val="16B96DC2"/>
    <w:rsid w:val="17122A13"/>
    <w:rsid w:val="17377DE6"/>
    <w:rsid w:val="17B46BAA"/>
    <w:rsid w:val="180F222F"/>
    <w:rsid w:val="18AE2754"/>
    <w:rsid w:val="197B401F"/>
    <w:rsid w:val="19CC5F55"/>
    <w:rsid w:val="1A765A50"/>
    <w:rsid w:val="1AD25F0B"/>
    <w:rsid w:val="1BAB0667"/>
    <w:rsid w:val="1BEF65FF"/>
    <w:rsid w:val="1C0D6A01"/>
    <w:rsid w:val="1C1F2D4A"/>
    <w:rsid w:val="1C8A4AAA"/>
    <w:rsid w:val="1D0678B1"/>
    <w:rsid w:val="1D4021D5"/>
    <w:rsid w:val="1D4766C2"/>
    <w:rsid w:val="1D593312"/>
    <w:rsid w:val="1D9C6450"/>
    <w:rsid w:val="1E141296"/>
    <w:rsid w:val="1ED146E2"/>
    <w:rsid w:val="1FB86D00"/>
    <w:rsid w:val="201A1F24"/>
    <w:rsid w:val="21992378"/>
    <w:rsid w:val="22770F9F"/>
    <w:rsid w:val="22C24A6D"/>
    <w:rsid w:val="22CC0C2E"/>
    <w:rsid w:val="23A67E85"/>
    <w:rsid w:val="23B27095"/>
    <w:rsid w:val="23DD2244"/>
    <w:rsid w:val="25466166"/>
    <w:rsid w:val="255233A1"/>
    <w:rsid w:val="256972C0"/>
    <w:rsid w:val="26320878"/>
    <w:rsid w:val="268D6643"/>
    <w:rsid w:val="26940379"/>
    <w:rsid w:val="26A050C5"/>
    <w:rsid w:val="26B96A5A"/>
    <w:rsid w:val="276630B1"/>
    <w:rsid w:val="28C64DCA"/>
    <w:rsid w:val="28E276E6"/>
    <w:rsid w:val="293E5F8E"/>
    <w:rsid w:val="29851C3F"/>
    <w:rsid w:val="29FF6BE5"/>
    <w:rsid w:val="2B2D4A4E"/>
    <w:rsid w:val="2B7D7783"/>
    <w:rsid w:val="2B9D1BD3"/>
    <w:rsid w:val="2C060962"/>
    <w:rsid w:val="2CFB5672"/>
    <w:rsid w:val="2D5C786C"/>
    <w:rsid w:val="2ECB53C7"/>
    <w:rsid w:val="2EF96A30"/>
    <w:rsid w:val="2F590507"/>
    <w:rsid w:val="31D04385"/>
    <w:rsid w:val="32000459"/>
    <w:rsid w:val="32553886"/>
    <w:rsid w:val="3260395B"/>
    <w:rsid w:val="326807A5"/>
    <w:rsid w:val="32994F85"/>
    <w:rsid w:val="329D7BD2"/>
    <w:rsid w:val="32C24615"/>
    <w:rsid w:val="330662B0"/>
    <w:rsid w:val="33332088"/>
    <w:rsid w:val="33717C38"/>
    <w:rsid w:val="33784018"/>
    <w:rsid w:val="34265216"/>
    <w:rsid w:val="3441288D"/>
    <w:rsid w:val="346A6596"/>
    <w:rsid w:val="34D50630"/>
    <w:rsid w:val="3576548F"/>
    <w:rsid w:val="35923F99"/>
    <w:rsid w:val="36233027"/>
    <w:rsid w:val="36C2526A"/>
    <w:rsid w:val="36E549B9"/>
    <w:rsid w:val="36FA6735"/>
    <w:rsid w:val="373D2ECE"/>
    <w:rsid w:val="37D84936"/>
    <w:rsid w:val="386A4B25"/>
    <w:rsid w:val="38C16879"/>
    <w:rsid w:val="392B0B9B"/>
    <w:rsid w:val="39BA4298"/>
    <w:rsid w:val="3A394689"/>
    <w:rsid w:val="3AA31C26"/>
    <w:rsid w:val="3ABA3385"/>
    <w:rsid w:val="3ACF2DEA"/>
    <w:rsid w:val="3B133C60"/>
    <w:rsid w:val="3C3A6C78"/>
    <w:rsid w:val="3CFF5334"/>
    <w:rsid w:val="3D411CAC"/>
    <w:rsid w:val="3D870E33"/>
    <w:rsid w:val="3DF85881"/>
    <w:rsid w:val="3E467C35"/>
    <w:rsid w:val="3EEE70EE"/>
    <w:rsid w:val="40576411"/>
    <w:rsid w:val="40691B61"/>
    <w:rsid w:val="41E579D9"/>
    <w:rsid w:val="42666493"/>
    <w:rsid w:val="4276494E"/>
    <w:rsid w:val="42886827"/>
    <w:rsid w:val="43EE46E6"/>
    <w:rsid w:val="44626C94"/>
    <w:rsid w:val="447F41FE"/>
    <w:rsid w:val="44AA183B"/>
    <w:rsid w:val="44DE344B"/>
    <w:rsid w:val="45476AD2"/>
    <w:rsid w:val="45C71FD4"/>
    <w:rsid w:val="462B07EA"/>
    <w:rsid w:val="462F3918"/>
    <w:rsid w:val="47E524E0"/>
    <w:rsid w:val="48961A2D"/>
    <w:rsid w:val="48BA1BBF"/>
    <w:rsid w:val="48DD3142"/>
    <w:rsid w:val="4AA21B35"/>
    <w:rsid w:val="4B217CFF"/>
    <w:rsid w:val="4C6729B1"/>
    <w:rsid w:val="4C956DF0"/>
    <w:rsid w:val="4CF5766A"/>
    <w:rsid w:val="4DC31516"/>
    <w:rsid w:val="4E022757"/>
    <w:rsid w:val="4E963B35"/>
    <w:rsid w:val="4E984750"/>
    <w:rsid w:val="4F2834AF"/>
    <w:rsid w:val="4F5E3D7A"/>
    <w:rsid w:val="4FF741C4"/>
    <w:rsid w:val="50242014"/>
    <w:rsid w:val="50290FD7"/>
    <w:rsid w:val="503C1682"/>
    <w:rsid w:val="503D5B5A"/>
    <w:rsid w:val="50935F84"/>
    <w:rsid w:val="50AC505F"/>
    <w:rsid w:val="50D8056B"/>
    <w:rsid w:val="50FB18B4"/>
    <w:rsid w:val="50FE0AB7"/>
    <w:rsid w:val="50FE2771"/>
    <w:rsid w:val="510A1C7D"/>
    <w:rsid w:val="52C553E8"/>
    <w:rsid w:val="52DC6DAA"/>
    <w:rsid w:val="54727784"/>
    <w:rsid w:val="551751B8"/>
    <w:rsid w:val="56594DC5"/>
    <w:rsid w:val="56CD62B4"/>
    <w:rsid w:val="56DF6C95"/>
    <w:rsid w:val="57362D58"/>
    <w:rsid w:val="57F17EC4"/>
    <w:rsid w:val="585B6ABF"/>
    <w:rsid w:val="588E2594"/>
    <w:rsid w:val="59626547"/>
    <w:rsid w:val="59F36CDF"/>
    <w:rsid w:val="59F574FE"/>
    <w:rsid w:val="5A740E30"/>
    <w:rsid w:val="5A98224F"/>
    <w:rsid w:val="5ABC17C7"/>
    <w:rsid w:val="5AE66844"/>
    <w:rsid w:val="5B715EFB"/>
    <w:rsid w:val="5C067AF7"/>
    <w:rsid w:val="5C78796F"/>
    <w:rsid w:val="5D5800B4"/>
    <w:rsid w:val="5DBD2B10"/>
    <w:rsid w:val="5DD44AC0"/>
    <w:rsid w:val="5E785A05"/>
    <w:rsid w:val="5EC0115A"/>
    <w:rsid w:val="5F337B7D"/>
    <w:rsid w:val="5F6E0BB6"/>
    <w:rsid w:val="5FCC1EF0"/>
    <w:rsid w:val="607A226A"/>
    <w:rsid w:val="60AC45B5"/>
    <w:rsid w:val="61204131"/>
    <w:rsid w:val="6186603B"/>
    <w:rsid w:val="62522C5F"/>
    <w:rsid w:val="62651FB7"/>
    <w:rsid w:val="62984B3F"/>
    <w:rsid w:val="62C41857"/>
    <w:rsid w:val="63343EC4"/>
    <w:rsid w:val="645C7B76"/>
    <w:rsid w:val="64ED00BE"/>
    <w:rsid w:val="65175FC1"/>
    <w:rsid w:val="65705687"/>
    <w:rsid w:val="659159E4"/>
    <w:rsid w:val="65A4075A"/>
    <w:rsid w:val="6631762B"/>
    <w:rsid w:val="66807B4C"/>
    <w:rsid w:val="66AF0431"/>
    <w:rsid w:val="67332E10"/>
    <w:rsid w:val="67E5182E"/>
    <w:rsid w:val="686B6A15"/>
    <w:rsid w:val="68BE4EDE"/>
    <w:rsid w:val="68D0468F"/>
    <w:rsid w:val="68F567FA"/>
    <w:rsid w:val="6B631D50"/>
    <w:rsid w:val="6CA5791A"/>
    <w:rsid w:val="6CD43612"/>
    <w:rsid w:val="6D4E124B"/>
    <w:rsid w:val="6D5A5246"/>
    <w:rsid w:val="6D6F26C8"/>
    <w:rsid w:val="6E866F32"/>
    <w:rsid w:val="6EA2262A"/>
    <w:rsid w:val="6EBB0AA7"/>
    <w:rsid w:val="6EED7EBF"/>
    <w:rsid w:val="6F0B04C2"/>
    <w:rsid w:val="6F6F58B2"/>
    <w:rsid w:val="7050681D"/>
    <w:rsid w:val="70BF1754"/>
    <w:rsid w:val="713A6CB7"/>
    <w:rsid w:val="72D461B6"/>
    <w:rsid w:val="72FA3077"/>
    <w:rsid w:val="73B34386"/>
    <w:rsid w:val="74D96FD2"/>
    <w:rsid w:val="750A7D29"/>
    <w:rsid w:val="759302C9"/>
    <w:rsid w:val="75F30597"/>
    <w:rsid w:val="768F558D"/>
    <w:rsid w:val="76D85FF3"/>
    <w:rsid w:val="78DC72F0"/>
    <w:rsid w:val="793D3346"/>
    <w:rsid w:val="799139C7"/>
    <w:rsid w:val="7B22612D"/>
    <w:rsid w:val="7B58479C"/>
    <w:rsid w:val="7B5C7792"/>
    <w:rsid w:val="7B9A1258"/>
    <w:rsid w:val="7BC37CA9"/>
    <w:rsid w:val="7BD32BE2"/>
    <w:rsid w:val="7C6D63CF"/>
    <w:rsid w:val="7F0A5249"/>
    <w:rsid w:val="7FA41032"/>
    <w:rsid w:val="7FAD558D"/>
    <w:rsid w:val="7FDF3211"/>
    <w:rsid w:val="7FFE2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62"/>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link w:val="64"/>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9"/>
    <w:autoRedefine/>
    <w:qFormat/>
    <w:uiPriority w:val="0"/>
    <w:pPr>
      <w:keepNext/>
      <w:keepLines/>
      <w:spacing w:before="280" w:after="290" w:line="376" w:lineRule="auto"/>
      <w:outlineLvl w:val="3"/>
    </w:pPr>
    <w:rPr>
      <w:b/>
      <w:bCs/>
      <w:sz w:val="28"/>
      <w:szCs w:val="28"/>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7">
    <w:name w:val="annotation text"/>
    <w:basedOn w:val="1"/>
    <w:link w:val="61"/>
    <w:autoRedefine/>
    <w:qFormat/>
    <w:uiPriority w:val="0"/>
    <w:pPr>
      <w:jc w:val="left"/>
    </w:pPr>
    <w:rPr>
      <w:rFonts w:ascii="Arial" w:hAnsi="Arial" w:eastAsia="黑体" w:cs="Arial"/>
    </w:rPr>
  </w:style>
  <w:style w:type="paragraph" w:styleId="8">
    <w:name w:val="Body Text"/>
    <w:basedOn w:val="1"/>
    <w:link w:val="70"/>
    <w:autoRedefine/>
    <w:qFormat/>
    <w:uiPriority w:val="0"/>
    <w:pPr>
      <w:spacing w:after="120"/>
    </w:pPr>
    <w:rPr>
      <w:rFonts w:ascii="@微软简标宋" w:hAnsi="@微软简标宋" w:eastAsia="@微软简标宋" w:cs="@微软简标宋"/>
      <w:szCs w:val="24"/>
      <w:lang w:val="zh-CN"/>
    </w:rPr>
  </w:style>
  <w:style w:type="paragraph" w:styleId="9">
    <w:name w:val="Body Text Indent"/>
    <w:basedOn w:val="1"/>
    <w:next w:val="10"/>
    <w:autoRedefine/>
    <w:qFormat/>
    <w:uiPriority w:val="0"/>
    <w:pPr>
      <w:spacing w:after="120"/>
      <w:ind w:left="420" w:leftChars="200"/>
    </w:pPr>
  </w:style>
  <w:style w:type="paragraph" w:styleId="10">
    <w:name w:val="envelope return"/>
    <w:basedOn w:val="1"/>
    <w:autoRedefine/>
    <w:qFormat/>
    <w:uiPriority w:val="99"/>
    <w:pPr>
      <w:snapToGrid w:val="0"/>
    </w:pPr>
    <w:rPr>
      <w:rFonts w:ascii="Arial" w:hAnsi="Arial"/>
    </w:rPr>
  </w:style>
  <w:style w:type="paragraph" w:styleId="11">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2">
    <w:name w:val="Plain Text"/>
    <w:basedOn w:val="1"/>
    <w:link w:val="50"/>
    <w:autoRedefine/>
    <w:qFormat/>
    <w:uiPriority w:val="99"/>
    <w:rPr>
      <w:rFonts w:ascii="宋体" w:hAnsi="Courier New" w:eastAsiaTheme="minorEastAsia" w:cstheme="minorBidi"/>
      <w:szCs w:val="22"/>
    </w:rPr>
  </w:style>
  <w:style w:type="paragraph" w:styleId="13">
    <w:name w:val="Date"/>
    <w:basedOn w:val="1"/>
    <w:next w:val="1"/>
    <w:link w:val="57"/>
    <w:autoRedefine/>
    <w:qFormat/>
    <w:uiPriority w:val="0"/>
    <w:rPr>
      <w:rFonts w:ascii="Arial" w:hAnsi="Arial" w:eastAsia="宋体" w:cs="Arial"/>
      <w:b/>
      <w:sz w:val="28"/>
    </w:rPr>
  </w:style>
  <w:style w:type="paragraph" w:styleId="14">
    <w:name w:val="Balloon Text"/>
    <w:basedOn w:val="1"/>
    <w:link w:val="44"/>
    <w:autoRedefine/>
    <w:semiHidden/>
    <w:unhideWhenUsed/>
    <w:qFormat/>
    <w:uiPriority w:val="99"/>
    <w:rPr>
      <w:sz w:val="18"/>
      <w:szCs w:val="18"/>
    </w:rPr>
  </w:style>
  <w:style w:type="paragraph" w:styleId="15">
    <w:name w:val="footer"/>
    <w:basedOn w:val="1"/>
    <w:link w:val="49"/>
    <w:autoRedefine/>
    <w:unhideWhenUsed/>
    <w:qFormat/>
    <w:uiPriority w:val="99"/>
    <w:pPr>
      <w:tabs>
        <w:tab w:val="center" w:pos="4153"/>
        <w:tab w:val="right" w:pos="8306"/>
      </w:tabs>
      <w:snapToGrid w:val="0"/>
      <w:jc w:val="left"/>
    </w:pPr>
    <w:rPr>
      <w:sz w:val="18"/>
      <w:szCs w:val="18"/>
    </w:rPr>
  </w:style>
  <w:style w:type="paragraph" w:styleId="16">
    <w:name w:val="header"/>
    <w:basedOn w:val="1"/>
    <w:link w:val="4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8">
    <w:name w:val="Body Text Indent 3"/>
    <w:basedOn w:val="1"/>
    <w:autoRedefine/>
    <w:qFormat/>
    <w:uiPriority w:val="0"/>
    <w:pPr>
      <w:spacing w:after="120"/>
      <w:ind w:left="420" w:leftChars="200"/>
    </w:pPr>
    <w:rPr>
      <w:b/>
      <w:color w:val="FF0000"/>
      <w:sz w:val="16"/>
      <w:szCs w:val="16"/>
    </w:rPr>
  </w:style>
  <w:style w:type="paragraph" w:styleId="19">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0">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仿宋_GB2312"/>
      <w:kern w:val="0"/>
      <w:sz w:val="24"/>
    </w:rPr>
  </w:style>
  <w:style w:type="paragraph" w:styleId="21">
    <w:name w:val="Normal (Web)"/>
    <w:basedOn w:val="1"/>
    <w:autoRedefine/>
    <w:semiHidden/>
    <w:unhideWhenUsed/>
    <w:qFormat/>
    <w:uiPriority w:val="99"/>
    <w:pPr>
      <w:spacing w:beforeAutospacing="1" w:afterAutospacing="1"/>
      <w:jc w:val="left"/>
    </w:pPr>
    <w:rPr>
      <w:rFonts w:cs="Times New Roman"/>
      <w:kern w:val="0"/>
      <w:sz w:val="24"/>
    </w:rPr>
  </w:style>
  <w:style w:type="paragraph" w:styleId="22">
    <w:name w:val="index 1"/>
    <w:basedOn w:val="1"/>
    <w:next w:val="1"/>
    <w:autoRedefine/>
    <w:qFormat/>
    <w:uiPriority w:val="0"/>
    <w:pPr>
      <w:jc w:val="center"/>
    </w:pPr>
    <w:rPr>
      <w:rFonts w:ascii="Arial" w:hAnsi="Arial" w:eastAsia="Arial" w:cs="Arial"/>
      <w:b/>
      <w:bCs/>
      <w:sz w:val="28"/>
    </w:rPr>
  </w:style>
  <w:style w:type="paragraph" w:styleId="23">
    <w:name w:val="annotation subject"/>
    <w:basedOn w:val="7"/>
    <w:next w:val="7"/>
    <w:link w:val="71"/>
    <w:autoRedefine/>
    <w:semiHidden/>
    <w:unhideWhenUsed/>
    <w:qFormat/>
    <w:uiPriority w:val="99"/>
    <w:rPr>
      <w:rFonts w:ascii="@仿宋_GB2312" w:hAnsi="@仿宋_GB2312" w:eastAsia="@仿宋_GB2312" w:cs="@仿宋_GB2312"/>
      <w:b/>
      <w:bCs/>
    </w:rPr>
  </w:style>
  <w:style w:type="paragraph" w:styleId="24">
    <w:name w:val="Body Text First Indent"/>
    <w:basedOn w:val="8"/>
    <w:autoRedefine/>
    <w:unhideWhenUsed/>
    <w:qFormat/>
    <w:uiPriority w:val="99"/>
    <w:pPr>
      <w:ind w:firstLine="420" w:firstLineChars="100"/>
    </w:pPr>
  </w:style>
  <w:style w:type="paragraph" w:styleId="25">
    <w:name w:val="Body Text First Indent 2"/>
    <w:basedOn w:val="9"/>
    <w:next w:val="1"/>
    <w:autoRedefine/>
    <w:qFormat/>
    <w:uiPriority w:val="99"/>
    <w:pPr>
      <w:tabs>
        <w:tab w:val="left" w:pos="0"/>
        <w:tab w:val="left" w:pos="993"/>
        <w:tab w:val="left" w:pos="1134"/>
      </w:tabs>
      <w:ind w:firstLine="420" w:firstLineChars="200"/>
    </w:pPr>
  </w:style>
  <w:style w:type="table" w:styleId="27">
    <w:name w:val="Table Grid"/>
    <w:basedOn w:val="26"/>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b/>
      <w:bCs/>
    </w:rPr>
  </w:style>
  <w:style w:type="character" w:styleId="30">
    <w:name w:val="page number"/>
    <w:basedOn w:val="28"/>
    <w:autoRedefine/>
    <w:qFormat/>
    <w:uiPriority w:val="0"/>
  </w:style>
  <w:style w:type="character" w:styleId="31">
    <w:name w:val="FollowedHyperlink"/>
    <w:basedOn w:val="28"/>
    <w:autoRedefine/>
    <w:semiHidden/>
    <w:unhideWhenUsed/>
    <w:qFormat/>
    <w:uiPriority w:val="99"/>
    <w:rPr>
      <w:color w:val="800080"/>
      <w:u w:val="none"/>
    </w:rPr>
  </w:style>
  <w:style w:type="character" w:styleId="32">
    <w:name w:val="Emphasis"/>
    <w:basedOn w:val="28"/>
    <w:autoRedefine/>
    <w:qFormat/>
    <w:uiPriority w:val="20"/>
    <w:rPr>
      <w:b/>
      <w:bCs/>
    </w:rPr>
  </w:style>
  <w:style w:type="character" w:styleId="33">
    <w:name w:val="HTML Definition"/>
    <w:basedOn w:val="28"/>
    <w:autoRedefine/>
    <w:semiHidden/>
    <w:unhideWhenUsed/>
    <w:qFormat/>
    <w:uiPriority w:val="99"/>
  </w:style>
  <w:style w:type="character" w:styleId="34">
    <w:name w:val="HTML Typewriter"/>
    <w:basedOn w:val="28"/>
    <w:autoRedefine/>
    <w:semiHidden/>
    <w:unhideWhenUsed/>
    <w:qFormat/>
    <w:uiPriority w:val="99"/>
    <w:rPr>
      <w:rFonts w:hint="default" w:ascii="monospace" w:hAnsi="monospace" w:eastAsia="monospace" w:cs="monospace"/>
      <w:sz w:val="20"/>
    </w:rPr>
  </w:style>
  <w:style w:type="character" w:styleId="35">
    <w:name w:val="HTML Acronym"/>
    <w:basedOn w:val="28"/>
    <w:autoRedefine/>
    <w:semiHidden/>
    <w:unhideWhenUsed/>
    <w:qFormat/>
    <w:uiPriority w:val="99"/>
  </w:style>
  <w:style w:type="character" w:styleId="36">
    <w:name w:val="HTML Variable"/>
    <w:basedOn w:val="28"/>
    <w:autoRedefine/>
    <w:semiHidden/>
    <w:unhideWhenUsed/>
    <w:qFormat/>
    <w:uiPriority w:val="99"/>
  </w:style>
  <w:style w:type="character" w:styleId="37">
    <w:name w:val="Hyperlink"/>
    <w:basedOn w:val="28"/>
    <w:autoRedefine/>
    <w:unhideWhenUsed/>
    <w:qFormat/>
    <w:uiPriority w:val="99"/>
    <w:rPr>
      <w:color w:val="0000FF" w:themeColor="hyperlink"/>
      <w:u w:val="single"/>
      <w14:textFill>
        <w14:solidFill>
          <w14:schemeClr w14:val="hlink"/>
        </w14:solidFill>
      </w14:textFill>
    </w:rPr>
  </w:style>
  <w:style w:type="character" w:styleId="38">
    <w:name w:val="HTML Code"/>
    <w:basedOn w:val="28"/>
    <w:autoRedefine/>
    <w:semiHidden/>
    <w:unhideWhenUsed/>
    <w:qFormat/>
    <w:uiPriority w:val="99"/>
    <w:rPr>
      <w:rFonts w:ascii="monospace" w:hAnsi="monospace" w:eastAsia="monospace" w:cs="monospace"/>
      <w:sz w:val="20"/>
    </w:rPr>
  </w:style>
  <w:style w:type="character" w:styleId="39">
    <w:name w:val="annotation reference"/>
    <w:basedOn w:val="28"/>
    <w:autoRedefine/>
    <w:semiHidden/>
    <w:unhideWhenUsed/>
    <w:qFormat/>
    <w:uiPriority w:val="99"/>
    <w:rPr>
      <w:sz w:val="21"/>
      <w:szCs w:val="21"/>
    </w:rPr>
  </w:style>
  <w:style w:type="character" w:styleId="40">
    <w:name w:val="HTML Cite"/>
    <w:basedOn w:val="28"/>
    <w:autoRedefine/>
    <w:semiHidden/>
    <w:unhideWhenUsed/>
    <w:qFormat/>
    <w:uiPriority w:val="99"/>
  </w:style>
  <w:style w:type="character" w:styleId="41">
    <w:name w:val="HTML Keyboard"/>
    <w:basedOn w:val="28"/>
    <w:autoRedefine/>
    <w:semiHidden/>
    <w:unhideWhenUsed/>
    <w:qFormat/>
    <w:uiPriority w:val="99"/>
    <w:rPr>
      <w:rFonts w:hint="default" w:ascii="monospace" w:hAnsi="monospace" w:eastAsia="monospace" w:cs="monospace"/>
      <w:sz w:val="20"/>
    </w:rPr>
  </w:style>
  <w:style w:type="character" w:styleId="42">
    <w:name w:val="HTML Sample"/>
    <w:basedOn w:val="28"/>
    <w:autoRedefine/>
    <w:semiHidden/>
    <w:unhideWhenUsed/>
    <w:qFormat/>
    <w:uiPriority w:val="99"/>
    <w:rPr>
      <w:rFonts w:hint="default" w:ascii="monospace" w:hAnsi="monospace" w:eastAsia="monospace" w:cs="monospace"/>
    </w:rPr>
  </w:style>
  <w:style w:type="paragraph" w:customStyle="1" w:styleId="43">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4">
    <w:name w:val="批注框文本 Char"/>
    <w:basedOn w:val="28"/>
    <w:link w:val="14"/>
    <w:autoRedefine/>
    <w:semiHidden/>
    <w:qFormat/>
    <w:uiPriority w:val="99"/>
    <w:rPr>
      <w:rFonts w:ascii="@仿宋_GB2312" w:hAnsi="@仿宋_GB2312" w:eastAsia="@仿宋_GB2312" w:cs="@仿宋_GB2312"/>
      <w:sz w:val="18"/>
      <w:szCs w:val="18"/>
    </w:rPr>
  </w:style>
  <w:style w:type="paragraph" w:customStyle="1" w:styleId="45">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6">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7">
    <w:name w:val="D&amp;L"/>
    <w:basedOn w:val="16"/>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8">
    <w:name w:val="页眉 Char"/>
    <w:basedOn w:val="28"/>
    <w:link w:val="16"/>
    <w:autoRedefine/>
    <w:qFormat/>
    <w:uiPriority w:val="0"/>
    <w:rPr>
      <w:rFonts w:ascii="@仿宋_GB2312" w:hAnsi="@仿宋_GB2312" w:eastAsia="@仿宋_GB2312" w:cs="@仿宋_GB2312"/>
      <w:sz w:val="18"/>
      <w:szCs w:val="18"/>
    </w:rPr>
  </w:style>
  <w:style w:type="character" w:customStyle="1" w:styleId="49">
    <w:name w:val="页脚 Char"/>
    <w:basedOn w:val="28"/>
    <w:link w:val="15"/>
    <w:autoRedefine/>
    <w:qFormat/>
    <w:uiPriority w:val="99"/>
    <w:rPr>
      <w:rFonts w:ascii="@仿宋_GB2312" w:hAnsi="@仿宋_GB2312" w:eastAsia="@仿宋_GB2312" w:cs="@仿宋_GB2312"/>
      <w:sz w:val="18"/>
      <w:szCs w:val="18"/>
    </w:rPr>
  </w:style>
  <w:style w:type="character" w:customStyle="1" w:styleId="50">
    <w:name w:val="纯文本 Char"/>
    <w:link w:val="12"/>
    <w:autoRedefine/>
    <w:qFormat/>
    <w:uiPriority w:val="0"/>
    <w:rPr>
      <w:rFonts w:ascii="宋体" w:hAnsi="Courier New"/>
    </w:rPr>
  </w:style>
  <w:style w:type="character" w:customStyle="1" w:styleId="51">
    <w:name w:val="纯文本 字符1"/>
    <w:basedOn w:val="28"/>
    <w:autoRedefine/>
    <w:semiHidden/>
    <w:qFormat/>
    <w:uiPriority w:val="99"/>
    <w:rPr>
      <w:rFonts w:hAnsi="Courier New" w:cs="Courier New" w:asciiTheme="minorEastAsia"/>
      <w:szCs w:val="20"/>
    </w:rPr>
  </w:style>
  <w:style w:type="character" w:customStyle="1" w:styleId="52">
    <w:name w:val="未处理的提及1"/>
    <w:basedOn w:val="28"/>
    <w:autoRedefine/>
    <w:semiHidden/>
    <w:unhideWhenUsed/>
    <w:qFormat/>
    <w:uiPriority w:val="99"/>
    <w:rPr>
      <w:color w:val="605E5C"/>
      <w:shd w:val="clear" w:color="auto" w:fill="E1DFDD"/>
    </w:rPr>
  </w:style>
  <w:style w:type="paragraph" w:styleId="53">
    <w:name w:val="List Paragraph"/>
    <w:basedOn w:val="1"/>
    <w:autoRedefine/>
    <w:qFormat/>
    <w:uiPriority w:val="34"/>
    <w:pPr>
      <w:ind w:firstLine="420" w:firstLineChars="200"/>
    </w:pPr>
  </w:style>
  <w:style w:type="paragraph" w:customStyle="1" w:styleId="54">
    <w:name w:val="Char Char Char Char Char Char Char1 Char"/>
    <w:basedOn w:val="1"/>
    <w:autoRedefine/>
    <w:qFormat/>
    <w:uiPriority w:val="0"/>
    <w:rPr>
      <w:rFonts w:ascii="Arial" w:hAnsi="Arial" w:eastAsia="宋体" w:cs="Arial"/>
      <w:sz w:val="24"/>
    </w:rPr>
  </w:style>
  <w:style w:type="table" w:customStyle="1" w:styleId="55">
    <w:name w:val="网格表 1 浅色1"/>
    <w:basedOn w:val="26"/>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6">
    <w:name w:val="日期 字符"/>
    <w:basedOn w:val="28"/>
    <w:autoRedefine/>
    <w:semiHidden/>
    <w:qFormat/>
    <w:uiPriority w:val="99"/>
    <w:rPr>
      <w:rFonts w:ascii="@仿宋_GB2312" w:hAnsi="@仿宋_GB2312" w:eastAsia="@仿宋_GB2312" w:cs="@仿宋_GB2312"/>
      <w:szCs w:val="20"/>
    </w:rPr>
  </w:style>
  <w:style w:type="character" w:customStyle="1" w:styleId="57">
    <w:name w:val="日期 Char"/>
    <w:link w:val="13"/>
    <w:autoRedefine/>
    <w:qFormat/>
    <w:uiPriority w:val="0"/>
    <w:rPr>
      <w:rFonts w:ascii="Arial" w:hAnsi="Arial" w:eastAsia="宋体" w:cs="Arial"/>
      <w:b/>
      <w:sz w:val="28"/>
      <w:szCs w:val="20"/>
    </w:rPr>
  </w:style>
  <w:style w:type="character" w:customStyle="1" w:styleId="58">
    <w:name w:val="纯文本 Char1"/>
    <w:link w:val="59"/>
    <w:autoRedefine/>
    <w:qFormat/>
    <w:locked/>
    <w:uiPriority w:val="0"/>
    <w:rPr>
      <w:rFonts w:ascii="Arial" w:hAnsi="Arial" w:eastAsia="Arial"/>
      <w:kern w:val="2"/>
      <w:sz w:val="21"/>
      <w:lang w:val="en-US" w:eastAsia="zh-CN" w:bidi="ar-SA"/>
    </w:rPr>
  </w:style>
  <w:style w:type="paragraph" w:customStyle="1" w:styleId="59">
    <w:name w:val="纯文本1"/>
    <w:basedOn w:val="1"/>
    <w:link w:val="58"/>
    <w:autoRedefine/>
    <w:qFormat/>
    <w:uiPriority w:val="0"/>
    <w:rPr>
      <w:rFonts w:ascii="Arial" w:hAnsi="Arial" w:eastAsia="Arial" w:cstheme="minorBidi"/>
    </w:rPr>
  </w:style>
  <w:style w:type="character" w:customStyle="1" w:styleId="60">
    <w:name w:val="批注文字 Char"/>
    <w:basedOn w:val="28"/>
    <w:autoRedefine/>
    <w:semiHidden/>
    <w:qFormat/>
    <w:uiPriority w:val="99"/>
    <w:rPr>
      <w:rFonts w:ascii="@仿宋_GB2312" w:hAnsi="@仿宋_GB2312" w:eastAsia="@仿宋_GB2312" w:cs="@仿宋_GB2312"/>
      <w:szCs w:val="20"/>
    </w:rPr>
  </w:style>
  <w:style w:type="character" w:customStyle="1" w:styleId="61">
    <w:name w:val="批注文字 Char1"/>
    <w:link w:val="7"/>
    <w:autoRedefine/>
    <w:qFormat/>
    <w:uiPriority w:val="0"/>
    <w:rPr>
      <w:rFonts w:ascii="Arial" w:hAnsi="Arial" w:eastAsia="黑体" w:cs="Arial"/>
      <w:szCs w:val="20"/>
    </w:rPr>
  </w:style>
  <w:style w:type="character" w:customStyle="1" w:styleId="62">
    <w:name w:val="标题 1 Char"/>
    <w:basedOn w:val="28"/>
    <w:link w:val="2"/>
    <w:autoRedefine/>
    <w:qFormat/>
    <w:uiPriority w:val="9"/>
    <w:rPr>
      <w:rFonts w:ascii="@仿宋_GB2312" w:hAnsi="@仿宋_GB2312" w:eastAsia="@仿宋_GB2312" w:cs="@仿宋_GB2312"/>
      <w:b/>
      <w:bCs/>
      <w:kern w:val="44"/>
      <w:sz w:val="44"/>
      <w:szCs w:val="44"/>
    </w:rPr>
  </w:style>
  <w:style w:type="paragraph" w:customStyle="1" w:styleId="63">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4">
    <w:name w:val="标题 3 Char"/>
    <w:basedOn w:val="28"/>
    <w:link w:val="4"/>
    <w:autoRedefine/>
    <w:semiHidden/>
    <w:qFormat/>
    <w:uiPriority w:val="9"/>
    <w:rPr>
      <w:rFonts w:ascii="@仿宋_GB2312" w:hAnsi="@仿宋_GB2312" w:eastAsia="@仿宋_GB2312" w:cs="@仿宋_GB2312"/>
      <w:b/>
      <w:bCs/>
      <w:sz w:val="32"/>
      <w:szCs w:val="32"/>
    </w:rPr>
  </w:style>
  <w:style w:type="character" w:customStyle="1" w:styleId="65">
    <w:name w:val="fontstyle01"/>
    <w:basedOn w:val="28"/>
    <w:autoRedefine/>
    <w:qFormat/>
    <w:uiPriority w:val="0"/>
    <w:rPr>
      <w:rFonts w:hint="eastAsia" w:ascii="宋体" w:hAnsi="宋体" w:eastAsia="宋体"/>
      <w:color w:val="000000"/>
      <w:sz w:val="22"/>
      <w:szCs w:val="22"/>
    </w:rPr>
  </w:style>
  <w:style w:type="character" w:customStyle="1" w:styleId="66">
    <w:name w:val="fontstyle21"/>
    <w:basedOn w:val="28"/>
    <w:autoRedefine/>
    <w:qFormat/>
    <w:uiPriority w:val="0"/>
    <w:rPr>
      <w:rFonts w:hint="default" w:ascii="TimesNewRomanPSMT" w:hAnsi="TimesNewRomanPSMT"/>
      <w:color w:val="000000"/>
      <w:sz w:val="22"/>
      <w:szCs w:val="22"/>
    </w:rPr>
  </w:style>
  <w:style w:type="character" w:customStyle="1" w:styleId="67">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8">
    <w:name w:val="标题 4 字符"/>
    <w:basedOn w:val="28"/>
    <w:autoRedefine/>
    <w:semiHidden/>
    <w:qFormat/>
    <w:uiPriority w:val="9"/>
    <w:rPr>
      <w:rFonts w:asciiTheme="majorHAnsi" w:hAnsiTheme="majorHAnsi" w:eastAsiaTheme="majorEastAsia" w:cstheme="majorBidi"/>
      <w:b/>
      <w:bCs/>
      <w:sz w:val="28"/>
      <w:szCs w:val="28"/>
    </w:rPr>
  </w:style>
  <w:style w:type="character" w:customStyle="1" w:styleId="69">
    <w:name w:val="标题 4 Char"/>
    <w:link w:val="5"/>
    <w:autoRedefine/>
    <w:qFormat/>
    <w:uiPriority w:val="0"/>
    <w:rPr>
      <w:rFonts w:ascii="@仿宋_GB2312" w:hAnsi="@仿宋_GB2312" w:eastAsia="@仿宋_GB2312" w:cs="@仿宋_GB2312"/>
      <w:b/>
      <w:bCs/>
      <w:sz w:val="28"/>
      <w:szCs w:val="28"/>
    </w:rPr>
  </w:style>
  <w:style w:type="character" w:customStyle="1" w:styleId="70">
    <w:name w:val="正文文本 Char"/>
    <w:basedOn w:val="28"/>
    <w:link w:val="8"/>
    <w:autoRedefine/>
    <w:qFormat/>
    <w:uiPriority w:val="0"/>
    <w:rPr>
      <w:rFonts w:ascii="@微软简标宋" w:hAnsi="@微软简标宋" w:eastAsia="@微软简标宋" w:cs="@微软简标宋"/>
      <w:szCs w:val="24"/>
      <w:lang w:val="zh-CN" w:eastAsia="zh-CN"/>
    </w:rPr>
  </w:style>
  <w:style w:type="character" w:customStyle="1" w:styleId="71">
    <w:name w:val="批注主题 Char"/>
    <w:basedOn w:val="61"/>
    <w:link w:val="23"/>
    <w:autoRedefine/>
    <w:semiHidden/>
    <w:qFormat/>
    <w:uiPriority w:val="99"/>
    <w:rPr>
      <w:rFonts w:ascii="@仿宋_GB2312" w:hAnsi="@仿宋_GB2312" w:eastAsia="@仿宋_GB2312" w:cs="@仿宋_GB2312"/>
      <w:b/>
      <w:bCs/>
      <w:kern w:val="2"/>
      <w:sz w:val="21"/>
      <w:szCs w:val="20"/>
    </w:rPr>
  </w:style>
  <w:style w:type="paragraph" w:customStyle="1" w:styleId="72">
    <w:name w:val="样式1"/>
    <w:basedOn w:val="1"/>
    <w:autoRedefine/>
    <w:qFormat/>
    <w:uiPriority w:val="0"/>
    <w:pPr>
      <w:tabs>
        <w:tab w:val="left" w:pos="1630"/>
      </w:tabs>
      <w:spacing w:line="360" w:lineRule="auto"/>
      <w:jc w:val="center"/>
    </w:pPr>
    <w:rPr>
      <w:rFonts w:hint="eastAsia" w:ascii="宋体" w:hAnsi="宋体" w:eastAsia="宋体" w:cs="Times New Roman"/>
      <w:b/>
      <w:sz w:val="28"/>
      <w:szCs w:val="28"/>
      <w:u w:val="single"/>
    </w:rPr>
  </w:style>
  <w:style w:type="paragraph" w:customStyle="1" w:styleId="73">
    <w:name w:val="Table Paragraph"/>
    <w:basedOn w:val="1"/>
    <w:autoRedefine/>
    <w:qFormat/>
    <w:uiPriority w:val="1"/>
    <w:pPr>
      <w:jc w:val="left"/>
    </w:pPr>
    <w:rPr>
      <w:kern w:val="0"/>
      <w:sz w:val="22"/>
      <w:lang w:eastAsia="en-US"/>
    </w:rPr>
  </w:style>
  <w:style w:type="character" w:customStyle="1" w:styleId="74">
    <w:name w:val="NormalCharacter"/>
    <w:autoRedefine/>
    <w:qFormat/>
    <w:uiPriority w:val="99"/>
  </w:style>
  <w:style w:type="paragraph" w:customStyle="1" w:styleId="75">
    <w:name w:val="Body text|1"/>
    <w:basedOn w:val="1"/>
    <w:autoRedefine/>
    <w:qFormat/>
    <w:uiPriority w:val="0"/>
    <w:pPr>
      <w:spacing w:line="398" w:lineRule="auto"/>
      <w:ind w:firstLine="400"/>
    </w:pPr>
    <w:rPr>
      <w:rFonts w:ascii="宋体" w:hAnsi="宋体" w:cs="宋体"/>
      <w:sz w:val="30"/>
      <w:szCs w:val="30"/>
      <w:lang w:val="zh-TW" w:eastAsia="zh-TW" w:bidi="zh-TW"/>
    </w:rPr>
  </w:style>
  <w:style w:type="character" w:customStyle="1" w:styleId="76">
    <w:name w:val="font71"/>
    <w:basedOn w:val="28"/>
    <w:autoRedefine/>
    <w:qFormat/>
    <w:uiPriority w:val="0"/>
    <w:rPr>
      <w:rFonts w:hint="eastAsia" w:ascii="宋体" w:hAnsi="宋体" w:eastAsia="宋体" w:cs="宋体"/>
      <w:color w:val="000000"/>
      <w:sz w:val="20"/>
      <w:szCs w:val="20"/>
      <w:u w:val="single"/>
    </w:rPr>
  </w:style>
  <w:style w:type="character" w:customStyle="1" w:styleId="77">
    <w:name w:val="font11"/>
    <w:basedOn w:val="28"/>
    <w:autoRedefine/>
    <w:qFormat/>
    <w:uiPriority w:val="0"/>
    <w:rPr>
      <w:rFonts w:hint="eastAsia" w:ascii="宋体" w:hAnsi="宋体" w:eastAsia="宋体" w:cs="宋体"/>
      <w:color w:val="000000"/>
      <w:sz w:val="20"/>
      <w:szCs w:val="20"/>
      <w:u w:val="none"/>
    </w:rPr>
  </w:style>
  <w:style w:type="character" w:customStyle="1" w:styleId="78">
    <w:name w:val="font51"/>
    <w:basedOn w:val="28"/>
    <w:autoRedefine/>
    <w:qFormat/>
    <w:uiPriority w:val="0"/>
    <w:rPr>
      <w:rFonts w:hint="eastAsia" w:ascii="宋体" w:hAnsi="宋体" w:eastAsia="宋体" w:cs="宋体"/>
      <w:color w:val="000000"/>
      <w:sz w:val="18"/>
      <w:szCs w:val="18"/>
      <w:u w:val="none"/>
    </w:rPr>
  </w:style>
  <w:style w:type="character" w:customStyle="1" w:styleId="79">
    <w:name w:val="font91"/>
    <w:basedOn w:val="28"/>
    <w:autoRedefine/>
    <w:qFormat/>
    <w:uiPriority w:val="0"/>
    <w:rPr>
      <w:rFonts w:hint="eastAsia" w:ascii="宋体" w:hAnsi="宋体" w:eastAsia="宋体" w:cs="宋体"/>
      <w:color w:val="auto"/>
      <w:sz w:val="20"/>
      <w:szCs w:val="20"/>
      <w:u w:val="single"/>
    </w:rPr>
  </w:style>
  <w:style w:type="character" w:customStyle="1" w:styleId="80">
    <w:name w:val="font101"/>
    <w:basedOn w:val="28"/>
    <w:autoRedefine/>
    <w:qFormat/>
    <w:uiPriority w:val="0"/>
    <w:rPr>
      <w:rFonts w:ascii="Arial Black" w:hAnsi="Arial Black" w:eastAsia="Arial Black" w:cs="Arial Black"/>
      <w:color w:val="auto"/>
      <w:sz w:val="20"/>
      <w:szCs w:val="20"/>
      <w:u w:val="none"/>
    </w:rPr>
  </w:style>
  <w:style w:type="character" w:customStyle="1" w:styleId="81">
    <w:name w:val="font61"/>
    <w:basedOn w:val="28"/>
    <w:autoRedefine/>
    <w:qFormat/>
    <w:uiPriority w:val="0"/>
    <w:rPr>
      <w:rFonts w:hint="eastAsia" w:ascii="宋体" w:hAnsi="宋体" w:eastAsia="宋体" w:cs="宋体"/>
      <w:color w:val="auto"/>
      <w:sz w:val="18"/>
      <w:szCs w:val="18"/>
      <w:u w:val="none"/>
    </w:rPr>
  </w:style>
  <w:style w:type="character" w:customStyle="1" w:styleId="82">
    <w:name w:val="font81"/>
    <w:basedOn w:val="28"/>
    <w:autoRedefine/>
    <w:qFormat/>
    <w:uiPriority w:val="0"/>
    <w:rPr>
      <w:rFonts w:hint="eastAsia" w:ascii="宋体" w:hAnsi="宋体" w:eastAsia="宋体" w:cs="宋体"/>
      <w:color w:val="FF0000"/>
      <w:sz w:val="18"/>
      <w:szCs w:val="18"/>
      <w:u w:val="none"/>
    </w:rPr>
  </w:style>
  <w:style w:type="character" w:customStyle="1" w:styleId="83">
    <w:name w:val="hover1"/>
    <w:basedOn w:val="28"/>
    <w:autoRedefine/>
    <w:qFormat/>
    <w:uiPriority w:val="0"/>
    <w:rPr>
      <w:color w:val="2590EB"/>
    </w:rPr>
  </w:style>
  <w:style w:type="character" w:customStyle="1" w:styleId="84">
    <w:name w:val="hover2"/>
    <w:basedOn w:val="28"/>
    <w:autoRedefine/>
    <w:qFormat/>
    <w:uiPriority w:val="0"/>
    <w:rPr>
      <w:color w:val="2590EB"/>
    </w:rPr>
  </w:style>
  <w:style w:type="character" w:customStyle="1" w:styleId="85">
    <w:name w:val="hover3"/>
    <w:basedOn w:val="28"/>
    <w:autoRedefine/>
    <w:qFormat/>
    <w:uiPriority w:val="0"/>
  </w:style>
  <w:style w:type="paragraph" w:customStyle="1" w:styleId="86">
    <w:name w:val="Body text|3"/>
    <w:basedOn w:val="1"/>
    <w:autoRedefine/>
    <w:qFormat/>
    <w:uiPriority w:val="0"/>
    <w:pPr>
      <w:spacing w:after="630"/>
      <w:ind w:firstLine="200" w:firstLineChars="200"/>
      <w:jc w:val="center"/>
    </w:pPr>
    <w:rPr>
      <w:rFonts w:ascii="MingLiU" w:hAnsi="MingLiU" w:eastAsia="MingLiU" w:cs="MingLiU"/>
      <w:kern w:val="0"/>
      <w:sz w:val="28"/>
      <w:szCs w:val="28"/>
      <w:lang w:val="zh-TW" w:eastAsia="zh-TW" w:bidi="zh-TW"/>
    </w:rPr>
  </w:style>
  <w:style w:type="character" w:customStyle="1" w:styleId="87">
    <w:name w:val="hover"/>
    <w:basedOn w:val="28"/>
    <w:autoRedefine/>
    <w:qFormat/>
    <w:uiPriority w:val="0"/>
    <w:rPr>
      <w:color w:val="2590EB"/>
    </w:rPr>
  </w:style>
  <w:style w:type="paragraph" w:customStyle="1" w:styleId="88">
    <w:name w:val="Table Text"/>
    <w:basedOn w:val="1"/>
    <w:autoRedefine/>
    <w:semiHidden/>
    <w:qFormat/>
    <w:uiPriority w:val="0"/>
    <w:rPr>
      <w:rFonts w:ascii="宋体" w:hAnsi="宋体" w:eastAsia="宋体" w:cs="宋体"/>
      <w:sz w:val="24"/>
      <w:szCs w:val="24"/>
      <w:lang w:val="en-US" w:eastAsia="en-US" w:bidi="ar-SA"/>
    </w:rPr>
  </w:style>
  <w:style w:type="table" w:customStyle="1" w:styleId="89">
    <w:name w:val="Table Normal"/>
    <w:autoRedefine/>
    <w:semiHidden/>
    <w:unhideWhenUsed/>
    <w:qFormat/>
    <w:uiPriority w:val="0"/>
    <w:tblPr>
      <w:tblCellMar>
        <w:top w:w="0" w:type="dxa"/>
        <w:left w:w="0" w:type="dxa"/>
        <w:bottom w:w="0" w:type="dxa"/>
        <w:right w:w="0" w:type="dxa"/>
      </w:tblCellMar>
    </w:tblPr>
  </w:style>
  <w:style w:type="paragraph" w:customStyle="1" w:styleId="90">
    <w:name w:val="(正文)"/>
    <w:basedOn w:val="9"/>
    <w:qFormat/>
    <w:uiPriority w:val="0"/>
    <w:pPr>
      <w:tabs>
        <w:tab w:val="left" w:pos="4860"/>
      </w:tabs>
      <w:adjustRightInd w:val="0"/>
      <w:snapToGrid w:val="0"/>
      <w:spacing w:line="360" w:lineRule="auto"/>
      <w:ind w:firstLine="480" w:firstLineChars="200"/>
      <w:textAlignment w:val="center"/>
    </w:pPr>
    <w:rPr>
      <w:rFonts w:ascii="Times New Roman" w:eastAsia="宋体"/>
      <w:kern w:val="0"/>
      <w:sz w:val="24"/>
      <w:szCs w:val="24"/>
    </w:rPr>
  </w:style>
  <w:style w:type="paragraph" w:customStyle="1" w:styleId="91">
    <w:name w:val="正文1"/>
    <w:basedOn w:val="1"/>
    <w:qFormat/>
    <w:uiPriority w:val="0"/>
    <w:pPr>
      <w:adjustRightInd w:val="0"/>
      <w:spacing w:line="360" w:lineRule="atLeast"/>
      <w:textAlignment w:val="baseline"/>
    </w:pPr>
    <w:rPr>
      <w:rFonts w:ascii="宋体" w:hAnsi="Times New Roman"/>
      <w:kern w:val="0"/>
      <w:sz w:val="36"/>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0808F4-76BB-4402-BA80-21EBD1E24B20}">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49</Pages>
  <Words>19506</Words>
  <Characters>20532</Characters>
  <Lines>186</Lines>
  <Paragraphs>52</Paragraphs>
  <TotalTime>2</TotalTime>
  <ScaleCrop>false</ScaleCrop>
  <LinksUpToDate>false</LinksUpToDate>
  <CharactersWithSpaces>20744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2020-06-30T11:09:00Z</dcterms:created>
  <dc:creator>Anakin</dc:creator>
  <cp:lastModifiedBy>.</cp:lastModifiedBy>
  <cp:lastPrinted>2019-12-07T15:20:00Z</cp:lastPrinted>
  <dcterms:modified xsi:type="dcterms:W3CDTF">2025-06-12T02:38:28Z</dcterms:modified>
  <dc:title>淠史杭灌区水源保障能力提升研究 </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88C5960360324DED854F1BFC8EC364FF_13</vt:lpwstr>
  </property>
  <property fmtid="{D5CDD505-2E9C-101B-9397-08002B2CF9AE}" pid="4" name="KSOTemplateDocerSaveRecord">
    <vt:lpwstr>eyJoZGlkIjoiZjlkMjZmYTZjNTQ3MWUxODllMzg0OWMzYjBiMmFmNDIiLCJ1c2VySWQiOiIzODc1NDYwMDQifQ==</vt:lpwstr>
  </property>
</Properties>
</file>