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F9260">
      <w:pPr>
        <w:tabs>
          <w:tab w:val="left" w:pos="420"/>
        </w:tabs>
        <w:spacing w:before="360" w:beforeLines="150" w:line="1700" w:lineRule="exact"/>
        <w:rPr>
          <w:rFonts w:hint="eastAsia" w:ascii="宋体" w:hAnsi="宋体" w:cs="宋体"/>
          <w:b/>
          <w:bCs/>
          <w:color w:val="auto"/>
          <w:sz w:val="52"/>
          <w:szCs w:val="52"/>
          <w:highlight w:val="none"/>
        </w:rPr>
      </w:pPr>
      <w:bookmarkStart w:id="0" w:name="_Toc30186"/>
      <w:bookmarkStart w:id="1" w:name="_Toc1863"/>
    </w:p>
    <w:p w14:paraId="1A311F57">
      <w:pPr>
        <w:tabs>
          <w:tab w:val="left" w:pos="420"/>
        </w:tabs>
        <w:spacing w:before="360" w:beforeLines="150" w:line="1700" w:lineRule="exact"/>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竞争性磋商文件</w:t>
      </w:r>
    </w:p>
    <w:p w14:paraId="31E212E6">
      <w:pPr>
        <w:pStyle w:val="2"/>
        <w:rPr>
          <w:rFonts w:hint="eastAsia" w:ascii="宋体" w:hAnsi="宋体" w:cs="宋体"/>
          <w:color w:val="auto"/>
          <w:highlight w:val="none"/>
        </w:rPr>
      </w:pPr>
    </w:p>
    <w:p w14:paraId="0E44A3F4">
      <w:pPr>
        <w:pStyle w:val="2"/>
        <w:rPr>
          <w:rFonts w:hint="eastAsia" w:ascii="宋体" w:hAnsi="宋体" w:cs="宋体"/>
          <w:color w:val="auto"/>
          <w:highlight w:val="none"/>
        </w:rPr>
      </w:pPr>
    </w:p>
    <w:p w14:paraId="7B382DB7">
      <w:pPr>
        <w:pStyle w:val="2"/>
        <w:rPr>
          <w:rFonts w:hint="eastAsia" w:ascii="宋体" w:hAnsi="宋体" w:cs="宋体"/>
          <w:color w:val="auto"/>
          <w:highlight w:val="none"/>
        </w:rPr>
      </w:pPr>
    </w:p>
    <w:p w14:paraId="3BDA30F8">
      <w:pPr>
        <w:tabs>
          <w:tab w:val="left" w:pos="315"/>
          <w:tab w:val="left" w:pos="8820"/>
        </w:tabs>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（服务类）</w:t>
      </w:r>
    </w:p>
    <w:p w14:paraId="4DE2206E">
      <w:pPr>
        <w:tabs>
          <w:tab w:val="left" w:pos="315"/>
          <w:tab w:val="left" w:pos="8820"/>
        </w:tabs>
        <w:spacing w:before="240" w:beforeLines="100" w:after="120" w:afterLines="50" w:line="500" w:lineRule="exact"/>
        <w:ind w:right="267" w:rightChars="127"/>
        <w:jc w:val="center"/>
        <w:rPr>
          <w:rFonts w:hint="eastAsia" w:ascii="宋体" w:hAnsi="宋体" w:cs="宋体"/>
          <w:color w:val="auto"/>
          <w:sz w:val="44"/>
          <w:highlight w:val="none"/>
        </w:rPr>
      </w:pPr>
    </w:p>
    <w:p w14:paraId="47E3BE8E">
      <w:pPr>
        <w:pStyle w:val="2"/>
        <w:rPr>
          <w:rFonts w:hint="eastAsia" w:ascii="宋体" w:hAnsi="宋体" w:cs="宋体"/>
          <w:color w:val="auto"/>
          <w:highlight w:val="none"/>
        </w:rPr>
      </w:pPr>
    </w:p>
    <w:p w14:paraId="70B24F12">
      <w:pPr>
        <w:tabs>
          <w:tab w:val="left" w:pos="2410"/>
        </w:tabs>
        <w:autoSpaceDE w:val="0"/>
        <w:autoSpaceDN w:val="0"/>
        <w:adjustRightInd w:val="0"/>
        <w:snapToGrid w:val="0"/>
        <w:spacing w:line="360" w:lineRule="auto"/>
        <w:jc w:val="left"/>
        <w:rPr>
          <w:rFonts w:hint="eastAsia" w:ascii="宋体" w:hAnsi="宋体" w:cs="宋体"/>
          <w:b/>
          <w:color w:val="auto"/>
          <w:spacing w:val="20"/>
          <w:kern w:val="0"/>
          <w:sz w:val="32"/>
          <w:szCs w:val="32"/>
          <w:highlight w:val="none"/>
        </w:rPr>
      </w:pPr>
    </w:p>
    <w:p w14:paraId="64F05B88">
      <w:pPr>
        <w:tabs>
          <w:tab w:val="left" w:pos="2410"/>
        </w:tabs>
        <w:autoSpaceDE w:val="0"/>
        <w:autoSpaceDN w:val="0"/>
        <w:adjustRightInd w:val="0"/>
        <w:snapToGrid w:val="0"/>
        <w:spacing w:line="600" w:lineRule="exact"/>
        <w:ind w:left="2616" w:leftChars="480" w:hanging="1608" w:hangingChars="445"/>
        <w:jc w:val="left"/>
        <w:rPr>
          <w:rFonts w:hint="eastAsia" w:ascii="宋体" w:hAnsi="宋体" w:cs="宋体"/>
          <w:b/>
          <w:color w:val="auto"/>
          <w:spacing w:val="20"/>
          <w:kern w:val="0"/>
          <w:sz w:val="32"/>
          <w:szCs w:val="32"/>
          <w:highlight w:val="none"/>
        </w:rPr>
      </w:pPr>
    </w:p>
    <w:p w14:paraId="57E391B0">
      <w:pPr>
        <w:tabs>
          <w:tab w:val="left" w:pos="2410"/>
        </w:tabs>
        <w:autoSpaceDE w:val="0"/>
        <w:autoSpaceDN w:val="0"/>
        <w:adjustRightInd w:val="0"/>
        <w:snapToGrid w:val="0"/>
        <w:spacing w:line="600" w:lineRule="exact"/>
        <w:ind w:left="1050" w:leftChars="500"/>
        <w:jc w:val="left"/>
        <w:rPr>
          <w:rFonts w:hint="eastAsia" w:ascii="宋体" w:hAnsi="宋体" w:cs="宋体"/>
          <w:bCs/>
          <w:color w:val="auto"/>
          <w:sz w:val="28"/>
          <w:szCs w:val="28"/>
          <w:highlight w:val="none"/>
          <w:shd w:val="clear" w:color="auto" w:fill="FFFFFF"/>
          <w:lang w:bidi="ar"/>
        </w:rPr>
      </w:pPr>
      <w:r>
        <w:rPr>
          <w:rFonts w:hint="eastAsia" w:ascii="宋体" w:hAnsi="宋体" w:cs="宋体"/>
          <w:b/>
          <w:color w:val="auto"/>
          <w:spacing w:val="11"/>
          <w:kern w:val="0"/>
          <w:sz w:val="28"/>
          <w:szCs w:val="28"/>
          <w:highlight w:val="none"/>
        </w:rPr>
        <w:t>项目名称：取用水档案管理提升项目</w:t>
      </w:r>
    </w:p>
    <w:p w14:paraId="0F5FBC45">
      <w:pPr>
        <w:tabs>
          <w:tab w:val="left" w:pos="2410"/>
        </w:tabs>
        <w:autoSpaceDE w:val="0"/>
        <w:autoSpaceDN w:val="0"/>
        <w:adjustRightInd w:val="0"/>
        <w:snapToGrid w:val="0"/>
        <w:spacing w:line="600" w:lineRule="exact"/>
        <w:ind w:left="1050" w:leftChars="500"/>
        <w:jc w:val="left"/>
        <w:rPr>
          <w:rFonts w:hint="eastAsia" w:ascii="宋体" w:hAnsi="宋体" w:cs="宋体"/>
          <w:b/>
          <w:color w:val="auto"/>
          <w:spacing w:val="11"/>
          <w:kern w:val="0"/>
          <w:sz w:val="28"/>
          <w:szCs w:val="28"/>
          <w:highlight w:val="none"/>
        </w:rPr>
      </w:pPr>
      <w:r>
        <w:rPr>
          <w:rFonts w:hint="eastAsia" w:ascii="宋体" w:hAnsi="宋体" w:cs="宋体"/>
          <w:b/>
          <w:color w:val="auto"/>
          <w:spacing w:val="11"/>
          <w:kern w:val="0"/>
          <w:sz w:val="28"/>
          <w:szCs w:val="28"/>
          <w:highlight w:val="none"/>
        </w:rPr>
        <w:t>项目编号：LAHL20250403</w:t>
      </w:r>
    </w:p>
    <w:p w14:paraId="2B4CD26A">
      <w:pPr>
        <w:tabs>
          <w:tab w:val="left" w:pos="2410"/>
        </w:tabs>
        <w:autoSpaceDE w:val="0"/>
        <w:autoSpaceDN w:val="0"/>
        <w:adjustRightInd w:val="0"/>
        <w:snapToGrid w:val="0"/>
        <w:spacing w:line="600" w:lineRule="exact"/>
        <w:ind w:left="1050" w:leftChars="500"/>
        <w:jc w:val="left"/>
        <w:rPr>
          <w:rFonts w:hint="eastAsia" w:ascii="宋体" w:hAnsi="宋体" w:cs="宋体"/>
          <w:b/>
          <w:color w:val="auto"/>
          <w:spacing w:val="11"/>
          <w:kern w:val="0"/>
          <w:sz w:val="28"/>
          <w:szCs w:val="28"/>
          <w:highlight w:val="none"/>
        </w:rPr>
      </w:pPr>
      <w:r>
        <w:rPr>
          <w:rFonts w:hint="eastAsia" w:ascii="宋体" w:hAnsi="宋体" w:cs="宋体"/>
          <w:b/>
          <w:color w:val="auto"/>
          <w:spacing w:val="11"/>
          <w:kern w:val="0"/>
          <w:sz w:val="28"/>
          <w:szCs w:val="28"/>
          <w:highlight w:val="none"/>
        </w:rPr>
        <w:t>采 购 人：六安市水利局</w:t>
      </w:r>
    </w:p>
    <w:p w14:paraId="69BF5BE4">
      <w:pPr>
        <w:tabs>
          <w:tab w:val="left" w:pos="2410"/>
        </w:tabs>
        <w:autoSpaceDE w:val="0"/>
        <w:autoSpaceDN w:val="0"/>
        <w:adjustRightInd w:val="0"/>
        <w:snapToGrid w:val="0"/>
        <w:spacing w:line="600" w:lineRule="exact"/>
        <w:ind w:left="1050" w:leftChars="500"/>
        <w:jc w:val="left"/>
        <w:rPr>
          <w:rFonts w:hint="eastAsia" w:ascii="宋体" w:hAnsi="宋体" w:cs="宋体"/>
          <w:b/>
          <w:color w:val="auto"/>
          <w:spacing w:val="11"/>
          <w:kern w:val="0"/>
          <w:sz w:val="28"/>
          <w:szCs w:val="28"/>
          <w:highlight w:val="none"/>
        </w:rPr>
      </w:pPr>
      <w:r>
        <w:rPr>
          <w:rFonts w:hint="eastAsia" w:ascii="宋体" w:hAnsi="宋体" w:cs="宋体"/>
          <w:b/>
          <w:color w:val="auto"/>
          <w:spacing w:val="11"/>
          <w:kern w:val="0"/>
          <w:sz w:val="28"/>
          <w:szCs w:val="28"/>
          <w:highlight w:val="none"/>
        </w:rPr>
        <w:t>采购代理机构：六安市厚灵工程咨询服务有限公司</w:t>
      </w:r>
    </w:p>
    <w:p w14:paraId="43EE5AD8">
      <w:pPr>
        <w:tabs>
          <w:tab w:val="left" w:pos="2410"/>
        </w:tabs>
        <w:autoSpaceDE w:val="0"/>
        <w:autoSpaceDN w:val="0"/>
        <w:adjustRightInd w:val="0"/>
        <w:snapToGrid w:val="0"/>
        <w:spacing w:line="600" w:lineRule="exact"/>
        <w:ind w:left="1050" w:leftChars="500"/>
        <w:jc w:val="left"/>
        <w:rPr>
          <w:rFonts w:hint="eastAsia" w:ascii="宋体" w:hAnsi="宋体" w:cs="宋体"/>
          <w:b/>
          <w:color w:val="auto"/>
          <w:spacing w:val="11"/>
          <w:kern w:val="0"/>
          <w:sz w:val="28"/>
          <w:szCs w:val="28"/>
          <w:highlight w:val="none"/>
        </w:rPr>
      </w:pPr>
      <w:r>
        <w:rPr>
          <w:rFonts w:hint="eastAsia" w:ascii="宋体" w:hAnsi="宋体" w:cs="宋体"/>
          <w:b/>
          <w:color w:val="auto"/>
          <w:spacing w:val="11"/>
          <w:kern w:val="0"/>
          <w:sz w:val="28"/>
          <w:szCs w:val="28"/>
          <w:highlight w:val="none"/>
        </w:rPr>
        <w:t>采购时间：2025年</w:t>
      </w:r>
      <w:r>
        <w:rPr>
          <w:rFonts w:hint="eastAsia" w:ascii="宋体" w:hAnsi="宋体" w:cs="宋体"/>
          <w:b/>
          <w:color w:val="auto"/>
          <w:spacing w:val="11"/>
          <w:kern w:val="0"/>
          <w:sz w:val="28"/>
          <w:szCs w:val="28"/>
          <w:highlight w:val="none"/>
          <w:lang w:val="en-US" w:eastAsia="zh-CN"/>
        </w:rPr>
        <w:t>5</w:t>
      </w:r>
      <w:r>
        <w:rPr>
          <w:rFonts w:hint="eastAsia" w:ascii="宋体" w:hAnsi="宋体" w:cs="宋体"/>
          <w:b/>
          <w:color w:val="auto"/>
          <w:spacing w:val="11"/>
          <w:kern w:val="0"/>
          <w:sz w:val="28"/>
          <w:szCs w:val="28"/>
          <w:highlight w:val="none"/>
        </w:rPr>
        <w:t>月</w:t>
      </w:r>
      <w:bookmarkStart w:id="142" w:name="_GoBack"/>
      <w:bookmarkEnd w:id="142"/>
    </w:p>
    <w:p w14:paraId="2EBA28B6">
      <w:pPr>
        <w:spacing w:line="360" w:lineRule="auto"/>
        <w:rPr>
          <w:rFonts w:hint="eastAsia" w:ascii="宋体" w:hAnsi="宋体" w:cs="宋体"/>
          <w:color w:val="auto"/>
          <w:sz w:val="32"/>
          <w:szCs w:val="32"/>
          <w:highlight w:val="none"/>
        </w:rPr>
      </w:pPr>
    </w:p>
    <w:p w14:paraId="03DFE112">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6352E5FA">
      <w:pPr>
        <w:spacing w:after="120" w:afterLines="50"/>
        <w:jc w:val="center"/>
        <w:rPr>
          <w:rFonts w:hint="eastAsia" w:ascii="宋体" w:hAnsi="宋体" w:cs="宋体"/>
          <w:color w:val="auto"/>
          <w:sz w:val="36"/>
          <w:szCs w:val="36"/>
          <w:highlight w:val="none"/>
        </w:rPr>
      </w:pPr>
      <w:r>
        <w:rPr>
          <w:rFonts w:hint="eastAsia" w:ascii="宋体" w:hAnsi="宋体" w:cs="宋体"/>
          <w:b/>
          <w:color w:val="auto"/>
          <w:sz w:val="36"/>
          <w:szCs w:val="36"/>
          <w:highlight w:val="none"/>
        </w:rPr>
        <w:t>目  录</w:t>
      </w:r>
    </w:p>
    <w:p w14:paraId="0CC1D769">
      <w:pPr>
        <w:pStyle w:val="11"/>
        <w:tabs>
          <w:tab w:val="right" w:leader="dot" w:pos="8844"/>
        </w:tabs>
        <w:spacing w:line="240" w:lineRule="auto"/>
        <w:ind w:leftChars="0"/>
        <w:rPr>
          <w:rFonts w:hint="eastAsia" w:ascii="宋体" w:hAnsi="宋体" w:cs="宋体"/>
          <w:b/>
          <w:bCs/>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"_Toc1863" </w:instrText>
      </w:r>
      <w:r>
        <w:rPr>
          <w:color w:val="auto"/>
          <w:highlight w:val="none"/>
        </w:rPr>
        <w:fldChar w:fldCharType="separate"/>
      </w:r>
      <w:r>
        <w:rPr>
          <w:rFonts w:hint="eastAsia" w:ascii="宋体" w:hAnsi="宋体" w:cs="宋体"/>
          <w:b/>
          <w:bCs/>
          <w:color w:val="auto"/>
          <w:sz w:val="24"/>
          <w:szCs w:val="24"/>
          <w:highlight w:val="none"/>
        </w:rPr>
        <w:t>竞争性磋商采购公告</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_Toc1863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1392DB6D">
      <w:pPr>
        <w:pStyle w:val="11"/>
        <w:tabs>
          <w:tab w:val="right" w:leader="dot" w:pos="8844"/>
        </w:tabs>
        <w:spacing w:line="240" w:lineRule="auto"/>
        <w:ind w:left="0" w:leftChars="0" w:firstLine="420" w:firstLineChars="200"/>
        <w:rPr>
          <w:rFonts w:hint="eastAsia"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"_Toc21819" </w:instrText>
      </w:r>
      <w:r>
        <w:rPr>
          <w:color w:val="auto"/>
          <w:highlight w:val="none"/>
        </w:rPr>
        <w:fldChar w:fldCharType="separate"/>
      </w:r>
      <w:r>
        <w:rPr>
          <w:rFonts w:hint="eastAsia" w:ascii="宋体" w:hAnsi="宋体" w:cs="宋体"/>
          <w:b/>
          <w:bCs/>
          <w:color w:val="auto"/>
          <w:sz w:val="24"/>
          <w:szCs w:val="24"/>
          <w:highlight w:val="none"/>
        </w:rPr>
        <w:t>一、供应商须知</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_Toc21819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2C39E584">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"_Toc22568" </w:instrText>
      </w:r>
      <w:r>
        <w:rPr>
          <w:color w:val="auto"/>
          <w:highlight w:val="none"/>
        </w:rPr>
        <w:fldChar w:fldCharType="separate"/>
      </w:r>
      <w:r>
        <w:rPr>
          <w:rFonts w:hint="eastAsia" w:ascii="宋体" w:hAnsi="宋体" w:cs="宋体"/>
          <w:color w:val="auto"/>
          <w:sz w:val="24"/>
          <w:szCs w:val="24"/>
          <w:highlight w:val="none"/>
        </w:rPr>
        <w:t>（一）须知前附表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_Toc22568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9D2907F">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"_Toc14333" </w:instrText>
      </w:r>
      <w:r>
        <w:rPr>
          <w:color w:val="auto"/>
          <w:highlight w:val="none"/>
        </w:rPr>
        <w:fldChar w:fldCharType="separate"/>
      </w:r>
      <w:r>
        <w:rPr>
          <w:rFonts w:hint="eastAsia" w:ascii="宋体" w:hAnsi="宋体" w:cs="宋体"/>
          <w:color w:val="auto"/>
          <w:sz w:val="24"/>
          <w:szCs w:val="24"/>
          <w:highlight w:val="none"/>
        </w:rPr>
        <w:t>（二）供应商资格</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_Toc14333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3CF7D13">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"_Toc9435" </w:instrText>
      </w:r>
      <w:r>
        <w:rPr>
          <w:color w:val="auto"/>
          <w:highlight w:val="none"/>
        </w:rPr>
        <w:fldChar w:fldCharType="separate"/>
      </w:r>
      <w:r>
        <w:rPr>
          <w:rFonts w:hint="eastAsia" w:ascii="宋体" w:hAnsi="宋体" w:cs="宋体"/>
          <w:color w:val="auto"/>
          <w:sz w:val="24"/>
          <w:szCs w:val="24"/>
          <w:highlight w:val="none"/>
        </w:rPr>
        <w:t>（三）供应商必须提交的响应文件内容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_Toc9435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61812AE">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"_Toc9883" </w:instrText>
      </w:r>
      <w:r>
        <w:rPr>
          <w:color w:val="auto"/>
          <w:highlight w:val="none"/>
        </w:rPr>
        <w:fldChar w:fldCharType="separate"/>
      </w:r>
      <w:r>
        <w:rPr>
          <w:rFonts w:hint="eastAsia" w:ascii="宋体" w:hAnsi="宋体" w:cs="宋体"/>
          <w:color w:val="auto"/>
          <w:sz w:val="24"/>
          <w:szCs w:val="24"/>
          <w:highlight w:val="none"/>
        </w:rPr>
        <w:t>（四）响应文件的提交</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_Toc9883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27EA70D">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"_Toc32682" </w:instrText>
      </w:r>
      <w:r>
        <w:rPr>
          <w:color w:val="auto"/>
          <w:highlight w:val="none"/>
        </w:rPr>
        <w:fldChar w:fldCharType="separate"/>
      </w:r>
      <w:r>
        <w:rPr>
          <w:rFonts w:hint="eastAsia" w:ascii="宋体" w:hAnsi="宋体" w:cs="宋体"/>
          <w:color w:val="auto"/>
          <w:sz w:val="24"/>
          <w:szCs w:val="24"/>
          <w:highlight w:val="none"/>
        </w:rPr>
        <w:t>（五）磋商程序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_Toc32682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DAB4F9D">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"_Toc11542" </w:instrText>
      </w:r>
      <w:r>
        <w:rPr>
          <w:color w:val="auto"/>
          <w:highlight w:val="none"/>
        </w:rPr>
        <w:fldChar w:fldCharType="separate"/>
      </w:r>
      <w:r>
        <w:rPr>
          <w:rFonts w:hint="eastAsia" w:ascii="宋体" w:hAnsi="宋体" w:cs="宋体"/>
          <w:color w:val="auto"/>
          <w:sz w:val="24"/>
          <w:szCs w:val="24"/>
          <w:highlight w:val="none"/>
        </w:rPr>
        <w:t>（六）评审及异常情况处理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_Toc11542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CD5A979">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"_Toc30632" </w:instrText>
      </w:r>
      <w:r>
        <w:rPr>
          <w:color w:val="auto"/>
          <w:highlight w:val="none"/>
        </w:rPr>
        <w:fldChar w:fldCharType="separate"/>
      </w:r>
      <w:r>
        <w:rPr>
          <w:rFonts w:hint="eastAsia" w:ascii="宋体" w:hAnsi="宋体" w:cs="宋体"/>
          <w:color w:val="auto"/>
          <w:sz w:val="24"/>
          <w:szCs w:val="24"/>
          <w:highlight w:val="none"/>
        </w:rPr>
        <w:t>（七）报价响应及答疑</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_Toc30632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8B0E510">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"_Toc19999" </w:instrText>
      </w:r>
      <w:r>
        <w:rPr>
          <w:color w:val="auto"/>
          <w:highlight w:val="none"/>
        </w:rPr>
        <w:fldChar w:fldCharType="separate"/>
      </w:r>
      <w:r>
        <w:rPr>
          <w:rFonts w:hint="eastAsia" w:ascii="宋体" w:hAnsi="宋体" w:cs="宋体"/>
          <w:color w:val="auto"/>
          <w:sz w:val="24"/>
          <w:szCs w:val="24"/>
          <w:highlight w:val="none"/>
        </w:rPr>
        <w:t>（八）合同的签订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_Toc19999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571381F">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"_Toc1832" </w:instrText>
      </w:r>
      <w:r>
        <w:rPr>
          <w:color w:val="auto"/>
          <w:highlight w:val="none"/>
        </w:rPr>
        <w:fldChar w:fldCharType="separate"/>
      </w:r>
      <w:r>
        <w:rPr>
          <w:rFonts w:hint="eastAsia" w:ascii="宋体" w:hAnsi="宋体" w:cs="宋体"/>
          <w:color w:val="auto"/>
          <w:sz w:val="24"/>
          <w:szCs w:val="24"/>
          <w:highlight w:val="none"/>
        </w:rPr>
        <w:t>（九）澄清及变更</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_Toc1832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36B52C7">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"_Toc18928" </w:instrText>
      </w:r>
      <w:r>
        <w:rPr>
          <w:color w:val="auto"/>
          <w:highlight w:val="none"/>
        </w:rPr>
        <w:fldChar w:fldCharType="separate"/>
      </w:r>
      <w:r>
        <w:rPr>
          <w:rFonts w:hint="eastAsia" w:ascii="宋体" w:hAnsi="宋体" w:cs="宋体"/>
          <w:color w:val="auto"/>
          <w:sz w:val="24"/>
          <w:szCs w:val="24"/>
          <w:highlight w:val="none"/>
        </w:rPr>
        <w:t>（十）验收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_Toc18928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022C1B8">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"_Toc3680" </w:instrText>
      </w:r>
      <w:r>
        <w:rPr>
          <w:color w:val="auto"/>
          <w:highlight w:val="none"/>
        </w:rPr>
        <w:fldChar w:fldCharType="separate"/>
      </w:r>
      <w:r>
        <w:rPr>
          <w:rFonts w:hint="eastAsia" w:ascii="宋体" w:hAnsi="宋体" w:cs="宋体"/>
          <w:color w:val="auto"/>
          <w:sz w:val="24"/>
          <w:szCs w:val="24"/>
          <w:highlight w:val="none"/>
        </w:rPr>
        <w:t>（十一）质疑</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_Toc3680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A930AD4">
      <w:pPr>
        <w:pStyle w:val="11"/>
        <w:tabs>
          <w:tab w:val="right" w:leader="dot" w:pos="8844"/>
        </w:tabs>
        <w:spacing w:line="240" w:lineRule="auto"/>
        <w:ind w:left="0" w:leftChars="0" w:firstLine="420" w:firstLineChars="200"/>
        <w:rPr>
          <w:rFonts w:hint="eastAsia"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"_Toc22378" </w:instrText>
      </w:r>
      <w:r>
        <w:rPr>
          <w:color w:val="auto"/>
          <w:highlight w:val="none"/>
        </w:rPr>
        <w:fldChar w:fldCharType="separate"/>
      </w:r>
      <w:r>
        <w:rPr>
          <w:rFonts w:hint="eastAsia" w:ascii="宋体" w:hAnsi="宋体" w:cs="宋体"/>
          <w:b/>
          <w:bCs/>
          <w:color w:val="auto"/>
          <w:sz w:val="24"/>
          <w:szCs w:val="24"/>
          <w:highlight w:val="none"/>
        </w:rPr>
        <w:t>二、采购合同</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_Toc22378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13</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7E9F0688">
      <w:pPr>
        <w:pStyle w:val="11"/>
        <w:tabs>
          <w:tab w:val="right" w:leader="dot" w:pos="8844"/>
        </w:tabs>
        <w:spacing w:line="240" w:lineRule="auto"/>
        <w:ind w:left="0" w:leftChars="0" w:firstLine="420" w:firstLineChars="200"/>
        <w:rPr>
          <w:rFonts w:hint="eastAsia"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"_Toc17199" </w:instrText>
      </w:r>
      <w:r>
        <w:rPr>
          <w:color w:val="auto"/>
          <w:highlight w:val="none"/>
        </w:rPr>
        <w:fldChar w:fldCharType="separate"/>
      </w:r>
      <w:r>
        <w:rPr>
          <w:rFonts w:hint="eastAsia" w:ascii="宋体" w:hAnsi="宋体" w:cs="宋体"/>
          <w:b/>
          <w:bCs/>
          <w:color w:val="auto"/>
          <w:sz w:val="24"/>
          <w:szCs w:val="24"/>
          <w:highlight w:val="none"/>
        </w:rPr>
        <w:t>三、采购需求</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_Toc17199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23</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28FFD1D8">
      <w:pPr>
        <w:pStyle w:val="11"/>
        <w:tabs>
          <w:tab w:val="right" w:leader="dot" w:pos="8844"/>
        </w:tabs>
        <w:spacing w:line="240" w:lineRule="auto"/>
        <w:ind w:left="0" w:leftChars="0" w:firstLine="420" w:firstLineChars="200"/>
        <w:rPr>
          <w:rFonts w:hint="eastAsia"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"_Toc19815" </w:instrText>
      </w:r>
      <w:r>
        <w:rPr>
          <w:color w:val="auto"/>
          <w:highlight w:val="none"/>
        </w:rPr>
        <w:fldChar w:fldCharType="separate"/>
      </w:r>
      <w:r>
        <w:rPr>
          <w:rFonts w:hint="eastAsia" w:ascii="宋体" w:hAnsi="宋体" w:cs="宋体"/>
          <w:b/>
          <w:bCs/>
          <w:color w:val="auto"/>
          <w:sz w:val="24"/>
          <w:szCs w:val="24"/>
          <w:highlight w:val="none"/>
        </w:rPr>
        <w:t>四、评分标准</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_Toc19815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24</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6F61F05C">
      <w:pPr>
        <w:pStyle w:val="11"/>
        <w:tabs>
          <w:tab w:val="right" w:leader="dot" w:pos="8844"/>
        </w:tabs>
        <w:spacing w:line="240" w:lineRule="auto"/>
        <w:ind w:left="0" w:leftChars="0" w:firstLine="420" w:firstLineChars="200"/>
        <w:rPr>
          <w:rFonts w:hint="eastAsia"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"_Toc8088" </w:instrText>
      </w:r>
      <w:r>
        <w:rPr>
          <w:color w:val="auto"/>
          <w:highlight w:val="none"/>
        </w:rPr>
        <w:fldChar w:fldCharType="separate"/>
      </w:r>
      <w:r>
        <w:rPr>
          <w:rFonts w:hint="eastAsia" w:ascii="宋体" w:hAnsi="宋体" w:cs="宋体"/>
          <w:b/>
          <w:bCs/>
          <w:color w:val="auto"/>
          <w:sz w:val="24"/>
          <w:szCs w:val="24"/>
          <w:highlight w:val="none"/>
        </w:rPr>
        <w:t>五、响应文件格式</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_Toc8088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24</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1D8A7F3A">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"_Toc2602" </w:instrText>
      </w:r>
      <w:r>
        <w:rPr>
          <w:color w:val="auto"/>
          <w:highlight w:val="none"/>
        </w:rPr>
        <w:fldChar w:fldCharType="separate"/>
      </w:r>
      <w:r>
        <w:rPr>
          <w:rFonts w:hint="eastAsia" w:ascii="宋体" w:hAnsi="宋体" w:cs="宋体"/>
          <w:b/>
          <w:bCs/>
          <w:color w:val="auto"/>
          <w:sz w:val="24"/>
          <w:szCs w:val="24"/>
          <w:highlight w:val="none"/>
        </w:rPr>
        <w:t>响应文件资料清单</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_Toc2602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28</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2257F693">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"_Toc21309" </w:instrText>
      </w:r>
      <w:r>
        <w:rPr>
          <w:color w:val="auto"/>
          <w:highlight w:val="none"/>
        </w:rPr>
        <w:fldChar w:fldCharType="separate"/>
      </w:r>
      <w:r>
        <w:rPr>
          <w:rFonts w:hint="eastAsia" w:ascii="宋体" w:hAnsi="宋体" w:cs="宋体"/>
          <w:color w:val="auto"/>
          <w:sz w:val="24"/>
          <w:szCs w:val="24"/>
          <w:highlight w:val="none"/>
        </w:rPr>
        <w:t>附件一 报价单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_Toc21309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8DADF2E">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"_Toc22855" </w:instrText>
      </w:r>
      <w:r>
        <w:rPr>
          <w:color w:val="auto"/>
          <w:highlight w:val="none"/>
        </w:rPr>
        <w:fldChar w:fldCharType="separate"/>
      </w:r>
      <w:r>
        <w:rPr>
          <w:rFonts w:hint="eastAsia" w:ascii="宋体" w:hAnsi="宋体" w:cs="宋体"/>
          <w:color w:val="auto"/>
          <w:sz w:val="24"/>
          <w:szCs w:val="24"/>
          <w:highlight w:val="none"/>
        </w:rPr>
        <w:t>附件二 供应商基本信息</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_Toc22855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2A72A0C">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"_Toc10154" </w:instrText>
      </w:r>
      <w:r>
        <w:rPr>
          <w:color w:val="auto"/>
          <w:highlight w:val="none"/>
        </w:rPr>
        <w:fldChar w:fldCharType="separate"/>
      </w:r>
      <w:r>
        <w:rPr>
          <w:rFonts w:hint="eastAsia" w:ascii="宋体" w:hAnsi="宋体" w:cs="宋体"/>
          <w:color w:val="auto"/>
          <w:sz w:val="24"/>
          <w:szCs w:val="24"/>
          <w:highlight w:val="none"/>
        </w:rPr>
        <w:t>附件三 磋商授权书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_Toc10154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656BADF">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"_Toc17888" </w:instrText>
      </w:r>
      <w:r>
        <w:rPr>
          <w:color w:val="auto"/>
          <w:highlight w:val="none"/>
        </w:rPr>
        <w:fldChar w:fldCharType="separate"/>
      </w:r>
      <w:r>
        <w:rPr>
          <w:rFonts w:hint="eastAsia" w:ascii="宋体" w:hAnsi="宋体" w:cs="宋体"/>
          <w:color w:val="auto"/>
          <w:sz w:val="24"/>
          <w:szCs w:val="24"/>
          <w:highlight w:val="none"/>
        </w:rPr>
        <w:t>附件四 磋商响应函</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_Toc17888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3DBF368">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"_Toc16627" </w:instrText>
      </w:r>
      <w:r>
        <w:rPr>
          <w:color w:val="auto"/>
          <w:highlight w:val="none"/>
        </w:rPr>
        <w:fldChar w:fldCharType="separate"/>
      </w:r>
      <w:r>
        <w:rPr>
          <w:rFonts w:hint="eastAsia" w:ascii="宋体" w:hAnsi="宋体" w:cs="宋体"/>
          <w:color w:val="auto"/>
          <w:sz w:val="24"/>
          <w:szCs w:val="24"/>
          <w:highlight w:val="none"/>
        </w:rPr>
        <w:t xml:space="preserve">附件五 </w:t>
      </w:r>
      <w:r>
        <w:rPr>
          <w:rFonts w:hint="eastAsia" w:ascii="宋体" w:hAnsi="宋体" w:cs="宋体"/>
          <w:color w:val="auto"/>
          <w:sz w:val="24"/>
          <w:szCs w:val="24"/>
          <w:highlight w:val="none"/>
          <w:lang w:val="zh-CN"/>
        </w:rPr>
        <w:t>无重大违法记录声明函、无不良信用记录承诺函</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_Toc16627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032FC87">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"_Toc17797" </w:instrText>
      </w:r>
      <w:r>
        <w:rPr>
          <w:color w:val="auto"/>
          <w:highlight w:val="none"/>
        </w:rPr>
        <w:fldChar w:fldCharType="separate"/>
      </w:r>
      <w:r>
        <w:rPr>
          <w:rFonts w:hint="eastAsia" w:ascii="宋体" w:hAnsi="宋体" w:cs="宋体"/>
          <w:color w:val="auto"/>
          <w:sz w:val="24"/>
          <w:szCs w:val="24"/>
          <w:highlight w:val="none"/>
        </w:rPr>
        <w:t xml:space="preserve">附件六 </w:t>
      </w:r>
      <w:r>
        <w:rPr>
          <w:rFonts w:hint="eastAsia" w:ascii="宋体" w:hAnsi="宋体" w:cs="宋体"/>
          <w:color w:val="auto"/>
          <w:sz w:val="24"/>
          <w:szCs w:val="24"/>
          <w:highlight w:val="none"/>
          <w:lang w:val="zh-CN"/>
        </w:rPr>
        <w:t>响应情况表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_Toc17797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756D629">
      <w:pPr>
        <w:pStyle w:val="11"/>
        <w:tabs>
          <w:tab w:val="right" w:leader="dot" w:pos="8844"/>
        </w:tabs>
        <w:spacing w:line="240" w:lineRule="auto"/>
        <w:ind w:left="0" w:leftChars="0" w:firstLine="420" w:firstLineChars="200"/>
        <w:rPr>
          <w:rFonts w:hint="eastAsia" w:ascii="宋体" w:hAnsi="宋体" w:cs="宋体"/>
          <w:color w:val="auto"/>
          <w:sz w:val="24"/>
          <w:szCs w:val="24"/>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"_Toc2879" </w:instrText>
      </w:r>
      <w:r>
        <w:rPr>
          <w:rFonts w:hint="eastAsia" w:ascii="宋体" w:hAnsi="宋体" w:cs="宋体"/>
          <w:color w:val="auto"/>
          <w:highlight w:val="none"/>
        </w:rPr>
        <w:fldChar w:fldCharType="separate"/>
      </w:r>
      <w:r>
        <w:rPr>
          <w:rFonts w:hint="eastAsia" w:ascii="宋体" w:hAnsi="宋体" w:cs="宋体"/>
          <w:color w:val="auto"/>
          <w:sz w:val="24"/>
          <w:szCs w:val="24"/>
          <w:highlight w:val="none"/>
        </w:rPr>
        <w:t>附件七 中小企业声明函</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_Toc2879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34</w:t>
      </w:r>
      <w:r>
        <w:rPr>
          <w:rFonts w:hint="eastAsia" w:ascii="宋体" w:hAnsi="宋体" w:cs="宋体"/>
          <w:color w:val="auto"/>
          <w:sz w:val="24"/>
          <w:szCs w:val="24"/>
          <w:highlight w:val="none"/>
        </w:rPr>
        <w:fldChar w:fldCharType="end"/>
      </w:r>
    </w:p>
    <w:p w14:paraId="37179601">
      <w:pPr>
        <w:pStyle w:val="11"/>
        <w:tabs>
          <w:tab w:val="right" w:leader="dot" w:pos="8844"/>
        </w:tabs>
        <w:spacing w:line="240" w:lineRule="auto"/>
        <w:rPr>
          <w:rFonts w:hint="eastAsia" w:ascii="宋体" w:hAnsi="宋体" w:cs="宋体"/>
          <w:color w:val="auto"/>
          <w:sz w:val="24"/>
          <w:szCs w:val="24"/>
          <w:highlight w:val="none"/>
        </w:rPr>
      </w:pPr>
      <w:r>
        <w:rPr>
          <w:rFonts w:hint="eastAsia" w:ascii="宋体" w:hAnsi="宋体" w:cs="宋体"/>
          <w:bCs/>
          <w:color w:val="auto"/>
          <w:sz w:val="24"/>
          <w:szCs w:val="24"/>
          <w:highlight w:val="none"/>
        </w:rPr>
        <w:t>附件八 磋商文件要求和供应商认为需要提供的其它说明和资料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_Toc2879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FC07E74">
      <w:pPr>
        <w:spacing w:line="240" w:lineRule="auto"/>
        <w:rPr>
          <w:rFonts w:hint="eastAsia" w:ascii="宋体" w:hAnsi="宋体" w:cs="宋体"/>
          <w:bCs/>
          <w:color w:val="auto"/>
          <w:sz w:val="44"/>
          <w:szCs w:val="44"/>
          <w:highlight w:val="none"/>
        </w:rPr>
      </w:pPr>
      <w:r>
        <w:rPr>
          <w:rFonts w:hint="eastAsia" w:ascii="宋体" w:hAnsi="宋体" w:cs="宋体"/>
          <w:color w:val="auto"/>
          <w:sz w:val="24"/>
          <w:szCs w:val="24"/>
          <w:highlight w:val="none"/>
        </w:rPr>
        <w:fldChar w:fldCharType="end"/>
      </w:r>
    </w:p>
    <w:p w14:paraId="7F0D525C">
      <w:pPr>
        <w:pStyle w:val="5"/>
        <w:spacing w:before="120" w:beforeLines="50" w:after="120" w:afterLines="50"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取用水档案管理提升项目</w:t>
      </w:r>
    </w:p>
    <w:p w14:paraId="151BB569">
      <w:pPr>
        <w:pStyle w:val="5"/>
        <w:spacing w:before="120" w:beforeLines="50" w:after="120" w:afterLines="50"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竞争性磋商采购公告</w:t>
      </w:r>
      <w:bookmarkEnd w:id="0"/>
      <w:bookmarkEnd w:id="1"/>
    </w:p>
    <w:p w14:paraId="62F43A2D">
      <w:pPr>
        <w:pBdr>
          <w:top w:val="single" w:color="auto" w:sz="4" w:space="1"/>
          <w:left w:val="single" w:color="auto" w:sz="4" w:space="4"/>
          <w:bottom w:val="single" w:color="auto" w:sz="4" w:space="1"/>
          <w:right w:val="single" w:color="auto" w:sz="4" w:space="4"/>
        </w:pBdr>
        <w:spacing w:line="52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项目概况：</w:t>
      </w:r>
      <w:r>
        <w:rPr>
          <w:rFonts w:hint="eastAsia" w:ascii="宋体" w:hAnsi="宋体" w:cs="宋体"/>
          <w:color w:val="auto"/>
          <w:sz w:val="28"/>
          <w:szCs w:val="28"/>
          <w:highlight w:val="none"/>
          <w:u w:val="single"/>
        </w:rPr>
        <w:t>取用水档案管理提升项目（项目编号：LAHL20250403）</w:t>
      </w:r>
      <w:r>
        <w:rPr>
          <w:rFonts w:hint="eastAsia" w:ascii="宋体" w:hAnsi="宋体" w:cs="宋体"/>
          <w:color w:val="auto"/>
          <w:sz w:val="28"/>
          <w:szCs w:val="28"/>
          <w:highlight w:val="none"/>
        </w:rPr>
        <w:t>的潜在供应商应于</w:t>
      </w:r>
      <w:r>
        <w:rPr>
          <w:rFonts w:hint="eastAsia" w:ascii="宋体" w:hAnsi="宋体" w:cs="宋体"/>
          <w:color w:val="auto"/>
          <w:sz w:val="28"/>
          <w:szCs w:val="28"/>
          <w:highlight w:val="none"/>
          <w:u w:val="single"/>
        </w:rPr>
        <w:t>2025</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5</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16</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日前线上获取竞争性磋商文件，并于</w:t>
      </w:r>
      <w:r>
        <w:rPr>
          <w:rFonts w:hint="eastAsia" w:ascii="宋体" w:hAnsi="宋体" w:cs="宋体"/>
          <w:color w:val="auto"/>
          <w:sz w:val="28"/>
          <w:szCs w:val="28"/>
          <w:highlight w:val="none"/>
          <w:u w:val="single"/>
        </w:rPr>
        <w:t>2025</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5</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16</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15</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00</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分（北京时间）前提交响应文件。</w:t>
      </w:r>
    </w:p>
    <w:p w14:paraId="21375C29">
      <w:pPr>
        <w:pStyle w:val="5"/>
        <w:adjustRightInd/>
        <w:spacing w:before="0" w:after="0" w:line="520" w:lineRule="exact"/>
        <w:jc w:val="both"/>
        <w:textAlignment w:val="auto"/>
        <w:rPr>
          <w:rFonts w:hint="eastAsia" w:ascii="宋体" w:hAnsi="宋体" w:eastAsia="宋体" w:cs="宋体"/>
          <w:b w:val="0"/>
          <w:bCs/>
          <w:color w:val="auto"/>
          <w:sz w:val="28"/>
          <w:szCs w:val="28"/>
          <w:highlight w:val="none"/>
        </w:rPr>
      </w:pPr>
      <w:bookmarkStart w:id="2" w:name="_Toc28359089"/>
      <w:bookmarkStart w:id="3" w:name="_Toc9864"/>
      <w:bookmarkStart w:id="4" w:name="_Toc28359012"/>
      <w:bookmarkStart w:id="5" w:name="_Toc35393629"/>
      <w:bookmarkStart w:id="6" w:name="_Toc35393798"/>
      <w:r>
        <w:rPr>
          <w:rFonts w:hint="eastAsia" w:ascii="宋体" w:hAnsi="宋体" w:eastAsia="宋体" w:cs="宋体"/>
          <w:b w:val="0"/>
          <w:bCs/>
          <w:color w:val="auto"/>
          <w:sz w:val="28"/>
          <w:szCs w:val="28"/>
          <w:highlight w:val="none"/>
        </w:rPr>
        <w:t>一、项目基本情况</w:t>
      </w:r>
      <w:bookmarkEnd w:id="2"/>
      <w:bookmarkEnd w:id="3"/>
      <w:bookmarkEnd w:id="4"/>
      <w:bookmarkEnd w:id="5"/>
      <w:bookmarkEnd w:id="6"/>
    </w:p>
    <w:p w14:paraId="20EEAA16">
      <w:pPr>
        <w:spacing w:line="52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1、项目编号：LAHL20250403</w:t>
      </w:r>
    </w:p>
    <w:p w14:paraId="71350CFA">
      <w:pPr>
        <w:spacing w:line="52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2、项目名称：取用水档案管理提升项目</w:t>
      </w:r>
    </w:p>
    <w:p w14:paraId="336D0726">
      <w:pPr>
        <w:spacing w:line="52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3、项目类型：服务类</w:t>
      </w:r>
    </w:p>
    <w:p w14:paraId="1BAAA493">
      <w:pPr>
        <w:spacing w:line="52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4、采购方式：竞争性磋商 </w:t>
      </w:r>
    </w:p>
    <w:p w14:paraId="7F9AA617">
      <w:pPr>
        <w:spacing w:line="52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5、预算金额：22万元</w:t>
      </w:r>
    </w:p>
    <w:p w14:paraId="4377B49B">
      <w:pPr>
        <w:spacing w:line="52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6、最高限价：22万元</w:t>
      </w:r>
    </w:p>
    <w:p w14:paraId="484979FC">
      <w:pPr>
        <w:spacing w:line="64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7、采购内容：对全市取用水档案管理进行提升，具体内容见项目采购需求。</w:t>
      </w:r>
    </w:p>
    <w:p w14:paraId="7147C9A2">
      <w:pPr>
        <w:widowControl/>
        <w:spacing w:line="52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8、服务期：自合同签订之日起90个日历天内。</w:t>
      </w:r>
    </w:p>
    <w:p w14:paraId="47C0994D">
      <w:pPr>
        <w:spacing w:line="52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9、是否接受联合体：本项目不接受联合体。</w:t>
      </w:r>
    </w:p>
    <w:p w14:paraId="00BB77CE">
      <w:pPr>
        <w:pStyle w:val="5"/>
        <w:adjustRightInd/>
        <w:spacing w:before="0" w:after="0" w:line="520" w:lineRule="exact"/>
        <w:jc w:val="both"/>
        <w:textAlignment w:val="auto"/>
        <w:rPr>
          <w:rFonts w:hint="eastAsia" w:ascii="宋体" w:hAnsi="宋体" w:eastAsia="宋体" w:cs="宋体"/>
          <w:b w:val="0"/>
          <w:bCs/>
          <w:color w:val="auto"/>
          <w:sz w:val="28"/>
          <w:szCs w:val="28"/>
          <w:highlight w:val="none"/>
        </w:rPr>
      </w:pPr>
      <w:bookmarkStart w:id="7" w:name="_Toc8072"/>
      <w:bookmarkStart w:id="8" w:name="_Toc35393799"/>
      <w:bookmarkStart w:id="9" w:name="_Toc28359013"/>
      <w:bookmarkStart w:id="10" w:name="_Toc28359090"/>
      <w:bookmarkStart w:id="11" w:name="_Toc35393630"/>
      <w:bookmarkStart w:id="12" w:name="_Toc28359014"/>
      <w:bookmarkStart w:id="13" w:name="_Toc28359091"/>
      <w:r>
        <w:rPr>
          <w:rFonts w:hint="eastAsia" w:ascii="宋体" w:hAnsi="宋体" w:eastAsia="宋体" w:cs="宋体"/>
          <w:b w:val="0"/>
          <w:bCs/>
          <w:color w:val="auto"/>
          <w:sz w:val="28"/>
          <w:szCs w:val="28"/>
          <w:highlight w:val="none"/>
        </w:rPr>
        <w:t>二、申请人的资格要求</w:t>
      </w:r>
      <w:bookmarkEnd w:id="7"/>
      <w:bookmarkEnd w:id="8"/>
      <w:bookmarkEnd w:id="9"/>
      <w:bookmarkEnd w:id="10"/>
      <w:bookmarkEnd w:id="11"/>
    </w:p>
    <w:p w14:paraId="6F95B333">
      <w:pPr>
        <w:spacing w:line="52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1、满足《中华人民共和国政府采购法》第二十二条规定；</w:t>
      </w:r>
    </w:p>
    <w:p w14:paraId="2AB00913">
      <w:pPr>
        <w:pStyle w:val="29"/>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2、落实政府采购政策需满足的资格要求：/；</w:t>
      </w:r>
    </w:p>
    <w:p w14:paraId="1465AF78">
      <w:pPr>
        <w:pStyle w:val="29"/>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3、本项目无特定资格要求。</w:t>
      </w:r>
    </w:p>
    <w:p w14:paraId="127CE2E6">
      <w:pPr>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4、供应商存在以下不良信用记录情形之一的，不得推荐为成交候选供应商，不得确定为成交供应商：</w:t>
      </w:r>
    </w:p>
    <w:p w14:paraId="6F6E3328">
      <w:pPr>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（1）供应商被人民法院列入失信被执行人的；</w:t>
      </w:r>
    </w:p>
    <w:p w14:paraId="09B966C2">
      <w:pPr>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（2）供应商被市场监督管理部门列入企业经营异常名录的；</w:t>
      </w:r>
    </w:p>
    <w:p w14:paraId="7ABDB856">
      <w:pPr>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（3）供应商被税务部门列入重大税收违法案件当事人名单的；</w:t>
      </w:r>
    </w:p>
    <w:p w14:paraId="351CD96A">
      <w:pPr>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（4）供应商被政府采购监管部门列入政府采购严重违法失信行为记录名单的。</w:t>
      </w:r>
    </w:p>
    <w:p w14:paraId="310C1143">
      <w:pPr>
        <w:pStyle w:val="5"/>
        <w:adjustRightInd/>
        <w:spacing w:before="0" w:after="0" w:line="520" w:lineRule="exact"/>
        <w:jc w:val="both"/>
        <w:textAlignment w:val="auto"/>
        <w:rPr>
          <w:rFonts w:hint="eastAsia" w:ascii="宋体" w:hAnsi="宋体" w:eastAsia="宋体" w:cs="宋体"/>
          <w:b w:val="0"/>
          <w:bCs/>
          <w:color w:val="auto"/>
          <w:sz w:val="28"/>
          <w:szCs w:val="28"/>
          <w:highlight w:val="none"/>
        </w:rPr>
      </w:pPr>
      <w:bookmarkStart w:id="14" w:name="_Toc35393800"/>
      <w:bookmarkStart w:id="15" w:name="_Toc32583"/>
      <w:bookmarkStart w:id="16" w:name="_Toc35393631"/>
      <w:r>
        <w:rPr>
          <w:rFonts w:hint="eastAsia" w:ascii="宋体" w:hAnsi="宋体" w:eastAsia="宋体" w:cs="宋体"/>
          <w:b w:val="0"/>
          <w:bCs/>
          <w:color w:val="auto"/>
          <w:sz w:val="28"/>
          <w:szCs w:val="28"/>
          <w:highlight w:val="none"/>
        </w:rPr>
        <w:t>三、获取采购文件</w:t>
      </w:r>
      <w:bookmarkEnd w:id="12"/>
      <w:bookmarkEnd w:id="13"/>
      <w:bookmarkEnd w:id="14"/>
      <w:bookmarkEnd w:id="15"/>
      <w:bookmarkEnd w:id="16"/>
    </w:p>
    <w:p w14:paraId="2D2CEF54">
      <w:pPr>
        <w:spacing w:line="560" w:lineRule="exact"/>
        <w:ind w:firstLine="560" w:firstLineChars="200"/>
        <w:rPr>
          <w:rFonts w:hint="eastAsia" w:ascii="宋体" w:hAnsi="宋体" w:cs="宋体"/>
          <w:bCs/>
          <w:color w:val="auto"/>
          <w:sz w:val="28"/>
          <w:szCs w:val="28"/>
          <w:highlight w:val="none"/>
        </w:rPr>
      </w:pPr>
      <w:bookmarkStart w:id="17" w:name="_Toc35393801"/>
      <w:bookmarkStart w:id="18" w:name="_Toc28359092"/>
      <w:bookmarkStart w:id="19" w:name="_Toc35393632"/>
      <w:bookmarkStart w:id="20" w:name="_Toc28359015"/>
      <w:bookmarkStart w:id="21" w:name="_Toc26077"/>
      <w:r>
        <w:rPr>
          <w:rFonts w:hint="eastAsia" w:ascii="宋体" w:hAnsi="宋体" w:cs="宋体"/>
          <w:bCs/>
          <w:color w:val="auto"/>
          <w:sz w:val="28"/>
          <w:szCs w:val="28"/>
          <w:highlight w:val="none"/>
        </w:rPr>
        <w:t xml:space="preserve">1、时间：2025年 </w:t>
      </w:r>
      <w:r>
        <w:rPr>
          <w:rFonts w:hint="eastAsia" w:ascii="宋体" w:hAnsi="宋体" w:cs="宋体"/>
          <w:bCs/>
          <w:color w:val="auto"/>
          <w:sz w:val="28"/>
          <w:szCs w:val="28"/>
          <w:highlight w:val="none"/>
          <w:lang w:val="en-US" w:eastAsia="zh-CN"/>
        </w:rPr>
        <w:t xml:space="preserve">5 </w:t>
      </w:r>
      <w:r>
        <w:rPr>
          <w:rFonts w:hint="eastAsia" w:ascii="宋体" w:hAnsi="宋体" w:cs="宋体"/>
          <w:bCs/>
          <w:color w:val="auto"/>
          <w:sz w:val="28"/>
          <w:szCs w:val="28"/>
          <w:highlight w:val="none"/>
        </w:rPr>
        <w:t xml:space="preserve">月 </w:t>
      </w:r>
      <w:r>
        <w:rPr>
          <w:rFonts w:hint="eastAsia" w:ascii="宋体" w:hAnsi="宋体" w:cs="宋体"/>
          <w:bCs/>
          <w:color w:val="auto"/>
          <w:sz w:val="28"/>
          <w:szCs w:val="28"/>
          <w:highlight w:val="none"/>
          <w:lang w:val="en-US" w:eastAsia="zh-CN"/>
        </w:rPr>
        <w:t>6</w:t>
      </w:r>
      <w:r>
        <w:rPr>
          <w:rFonts w:hint="eastAsia" w:ascii="宋体" w:hAnsi="宋体" w:cs="宋体"/>
          <w:bCs/>
          <w:color w:val="auto"/>
          <w:sz w:val="28"/>
          <w:szCs w:val="28"/>
          <w:highlight w:val="none"/>
        </w:rPr>
        <w:t xml:space="preserve"> 日至</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rPr>
        <w:t xml:space="preserve">2025年 </w:t>
      </w:r>
      <w:r>
        <w:rPr>
          <w:rFonts w:hint="eastAsia" w:ascii="宋体" w:hAnsi="宋体" w:cs="宋体"/>
          <w:bCs/>
          <w:color w:val="auto"/>
          <w:sz w:val="28"/>
          <w:szCs w:val="28"/>
          <w:highlight w:val="none"/>
          <w:lang w:val="en-US" w:eastAsia="zh-CN"/>
        </w:rPr>
        <w:t>5</w:t>
      </w:r>
      <w:r>
        <w:rPr>
          <w:rFonts w:hint="eastAsia" w:ascii="宋体" w:hAnsi="宋体" w:cs="宋体"/>
          <w:bCs/>
          <w:color w:val="auto"/>
          <w:sz w:val="28"/>
          <w:szCs w:val="28"/>
          <w:highlight w:val="none"/>
        </w:rPr>
        <w:t xml:space="preserve"> 月 </w:t>
      </w:r>
      <w:r>
        <w:rPr>
          <w:rFonts w:hint="eastAsia" w:ascii="宋体" w:hAnsi="宋体" w:cs="宋体"/>
          <w:bCs/>
          <w:color w:val="auto"/>
          <w:sz w:val="28"/>
          <w:szCs w:val="28"/>
          <w:highlight w:val="none"/>
          <w:lang w:val="en-US" w:eastAsia="zh-CN"/>
        </w:rPr>
        <w:t>16</w:t>
      </w:r>
      <w:r>
        <w:rPr>
          <w:rFonts w:hint="eastAsia" w:ascii="宋体" w:hAnsi="宋体" w:cs="宋体"/>
          <w:bCs/>
          <w:color w:val="auto"/>
          <w:sz w:val="28"/>
          <w:szCs w:val="28"/>
          <w:highlight w:val="none"/>
        </w:rPr>
        <w:t xml:space="preserve"> 日；</w:t>
      </w:r>
    </w:p>
    <w:p w14:paraId="3E290B4F">
      <w:pPr>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2、获取方式：供应商在获取时间内线上获取；</w:t>
      </w:r>
    </w:p>
    <w:p w14:paraId="47D6A57C">
      <w:pPr>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3、网址： https://slj.luan.gov.cn；</w:t>
      </w:r>
    </w:p>
    <w:p w14:paraId="294913FB">
      <w:pPr>
        <w:pStyle w:val="5"/>
        <w:adjustRightInd/>
        <w:spacing w:before="0" w:after="0" w:line="520" w:lineRule="exact"/>
        <w:jc w:val="both"/>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四、响应文件</w:t>
      </w:r>
      <w:bookmarkEnd w:id="17"/>
      <w:bookmarkEnd w:id="18"/>
      <w:bookmarkEnd w:id="19"/>
      <w:bookmarkEnd w:id="20"/>
      <w:r>
        <w:rPr>
          <w:rFonts w:hint="eastAsia" w:ascii="宋体" w:hAnsi="宋体" w:eastAsia="宋体" w:cs="宋体"/>
          <w:b w:val="0"/>
          <w:bCs/>
          <w:color w:val="auto"/>
          <w:sz w:val="28"/>
          <w:szCs w:val="28"/>
          <w:highlight w:val="none"/>
        </w:rPr>
        <w:t>提交</w:t>
      </w:r>
      <w:bookmarkEnd w:id="21"/>
    </w:p>
    <w:p w14:paraId="0FEAE6D5">
      <w:pPr>
        <w:pStyle w:val="2"/>
        <w:spacing w:after="0" w:line="560" w:lineRule="exact"/>
        <w:ind w:firstLine="560" w:firstLineChars="200"/>
        <w:rPr>
          <w:rFonts w:hint="eastAsia" w:ascii="宋体" w:hAnsi="宋体" w:cs="宋体"/>
          <w:color w:val="auto"/>
          <w:sz w:val="28"/>
          <w:szCs w:val="28"/>
          <w:highlight w:val="none"/>
        </w:rPr>
      </w:pPr>
      <w:bookmarkStart w:id="22" w:name="_Toc28359016"/>
      <w:bookmarkStart w:id="23" w:name="_Toc35393802"/>
      <w:bookmarkStart w:id="24" w:name="_Toc28359093"/>
      <w:bookmarkStart w:id="25" w:name="_Toc35393633"/>
      <w:bookmarkStart w:id="26" w:name="_Toc11900"/>
      <w:r>
        <w:rPr>
          <w:rFonts w:hint="eastAsia" w:ascii="宋体" w:hAnsi="宋体" w:cs="宋体"/>
          <w:color w:val="auto"/>
          <w:sz w:val="28"/>
          <w:szCs w:val="28"/>
          <w:highlight w:val="none"/>
        </w:rPr>
        <w:t xml:space="preserve">1、截止时间：2025年 </w:t>
      </w:r>
      <w:r>
        <w:rPr>
          <w:rFonts w:hint="eastAsia" w:ascii="宋体" w:hAnsi="宋体" w:cs="宋体"/>
          <w:color w:val="auto"/>
          <w:sz w:val="28"/>
          <w:szCs w:val="28"/>
          <w:highlight w:val="none"/>
          <w:lang w:val="en-US" w:eastAsia="zh-CN"/>
        </w:rPr>
        <w:t xml:space="preserve">5 </w:t>
      </w:r>
      <w:r>
        <w:rPr>
          <w:rFonts w:hint="eastAsia" w:ascii="宋体" w:hAnsi="宋体" w:cs="宋体"/>
          <w:color w:val="auto"/>
          <w:sz w:val="28"/>
          <w:szCs w:val="28"/>
          <w:highlight w:val="none"/>
        </w:rPr>
        <w:t xml:space="preserve">月 </w:t>
      </w:r>
      <w:r>
        <w:rPr>
          <w:rFonts w:hint="eastAsia" w:ascii="宋体" w:hAnsi="宋体" w:cs="宋体"/>
          <w:color w:val="auto"/>
          <w:sz w:val="28"/>
          <w:szCs w:val="28"/>
          <w:highlight w:val="none"/>
          <w:lang w:val="en-US" w:eastAsia="zh-CN"/>
        </w:rPr>
        <w:t>16</w:t>
      </w:r>
      <w:r>
        <w:rPr>
          <w:rFonts w:hint="eastAsia" w:ascii="宋体" w:hAnsi="宋体" w:cs="宋体"/>
          <w:color w:val="auto"/>
          <w:sz w:val="28"/>
          <w:szCs w:val="28"/>
          <w:highlight w:val="none"/>
        </w:rPr>
        <w:t xml:space="preserve"> 日 </w:t>
      </w:r>
      <w:r>
        <w:rPr>
          <w:rFonts w:hint="eastAsia" w:ascii="宋体" w:hAnsi="宋体" w:cs="宋体"/>
          <w:color w:val="auto"/>
          <w:sz w:val="28"/>
          <w:szCs w:val="28"/>
          <w:highlight w:val="none"/>
          <w:lang w:val="en-US" w:eastAsia="zh-CN"/>
        </w:rPr>
        <w:t>15</w:t>
      </w:r>
      <w:r>
        <w:rPr>
          <w:rFonts w:hint="eastAsia" w:ascii="宋体" w:hAnsi="宋体" w:cs="宋体"/>
          <w:color w:val="auto"/>
          <w:sz w:val="28"/>
          <w:szCs w:val="28"/>
          <w:highlight w:val="none"/>
        </w:rPr>
        <w:t xml:space="preserve"> 点 </w:t>
      </w:r>
      <w:r>
        <w:rPr>
          <w:rFonts w:hint="eastAsia" w:ascii="宋体" w:hAnsi="宋体" w:cs="宋体"/>
          <w:color w:val="auto"/>
          <w:sz w:val="28"/>
          <w:szCs w:val="28"/>
          <w:highlight w:val="none"/>
          <w:lang w:val="en-US" w:eastAsia="zh-CN"/>
        </w:rPr>
        <w:t>00</w:t>
      </w:r>
      <w:r>
        <w:rPr>
          <w:rFonts w:hint="eastAsia" w:ascii="宋体" w:hAnsi="宋体" w:cs="宋体"/>
          <w:color w:val="auto"/>
          <w:sz w:val="28"/>
          <w:szCs w:val="28"/>
          <w:highlight w:val="none"/>
        </w:rPr>
        <w:t xml:space="preserve"> 分（北京时间）</w:t>
      </w:r>
    </w:p>
    <w:p w14:paraId="05B97326">
      <w:pPr>
        <w:pStyle w:val="2"/>
        <w:spacing w:after="0" w:line="56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2、地点：</w:t>
      </w:r>
      <w:r>
        <w:rPr>
          <w:rFonts w:hint="eastAsia" w:ascii="宋体" w:hAnsi="宋体" w:cs="宋体"/>
          <w:bCs/>
          <w:color w:val="auto"/>
          <w:sz w:val="28"/>
          <w:szCs w:val="28"/>
          <w:highlight w:val="none"/>
        </w:rPr>
        <w:t>六安市金安区金桥小区二期1号楼1804室</w:t>
      </w:r>
    </w:p>
    <w:p w14:paraId="351AFC8A">
      <w:pPr>
        <w:pStyle w:val="2"/>
        <w:spacing w:after="0" w:line="56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3、响应文件提交方式：现场递交纸质标书。逾期送达的或者未送达指定地点的响应文件，采购人不予受理。</w:t>
      </w:r>
    </w:p>
    <w:p w14:paraId="0725A42E">
      <w:pPr>
        <w:pStyle w:val="5"/>
        <w:adjustRightInd/>
        <w:spacing w:before="0" w:after="0" w:line="520" w:lineRule="exact"/>
        <w:jc w:val="both"/>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五、</w:t>
      </w:r>
      <w:bookmarkEnd w:id="22"/>
      <w:bookmarkEnd w:id="23"/>
      <w:bookmarkEnd w:id="24"/>
      <w:bookmarkEnd w:id="25"/>
      <w:r>
        <w:rPr>
          <w:rFonts w:hint="eastAsia" w:ascii="宋体" w:hAnsi="宋体" w:eastAsia="宋体" w:cs="宋体"/>
          <w:b w:val="0"/>
          <w:bCs/>
          <w:color w:val="auto"/>
          <w:sz w:val="28"/>
          <w:szCs w:val="28"/>
          <w:highlight w:val="none"/>
        </w:rPr>
        <w:t>响应文件开启</w:t>
      </w:r>
      <w:bookmarkEnd w:id="26"/>
    </w:p>
    <w:p w14:paraId="7BFA074A">
      <w:pPr>
        <w:spacing w:line="520" w:lineRule="exact"/>
        <w:ind w:firstLine="560" w:firstLineChars="20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1、时间：</w:t>
      </w:r>
      <w:r>
        <w:rPr>
          <w:rFonts w:hint="eastAsia" w:ascii="宋体" w:hAnsi="宋体" w:cs="宋体"/>
          <w:bCs/>
          <w:color w:val="auto"/>
          <w:sz w:val="28"/>
          <w:szCs w:val="28"/>
          <w:highlight w:val="none"/>
          <w:u w:val="single"/>
        </w:rPr>
        <w:t xml:space="preserve">2025 </w:t>
      </w:r>
      <w:r>
        <w:rPr>
          <w:rFonts w:hint="eastAsia" w:ascii="宋体" w:hAnsi="宋体" w:cs="宋体"/>
          <w:bCs/>
          <w:color w:val="auto"/>
          <w:sz w:val="28"/>
          <w:szCs w:val="28"/>
          <w:highlight w:val="none"/>
        </w:rPr>
        <w:t>年</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5</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月</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16</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日</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15</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点</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00</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分</w:t>
      </w:r>
      <w:r>
        <w:rPr>
          <w:rFonts w:hint="eastAsia" w:ascii="宋体" w:hAnsi="宋体" w:cs="宋体"/>
          <w:color w:val="auto"/>
          <w:sz w:val="28"/>
          <w:szCs w:val="28"/>
          <w:highlight w:val="none"/>
        </w:rPr>
        <w:t>（北京时间）</w:t>
      </w:r>
    </w:p>
    <w:p w14:paraId="05FD7AD4">
      <w:pPr>
        <w:pStyle w:val="2"/>
        <w:spacing w:after="0" w:line="52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2、地点：</w:t>
      </w:r>
      <w:r>
        <w:rPr>
          <w:rFonts w:hint="eastAsia" w:ascii="宋体" w:hAnsi="宋体" w:cs="宋体"/>
          <w:bCs/>
          <w:color w:val="auto"/>
          <w:sz w:val="28"/>
          <w:szCs w:val="28"/>
          <w:highlight w:val="none"/>
        </w:rPr>
        <w:t>六安市金安区金桥小区二期1号楼1804室</w:t>
      </w:r>
    </w:p>
    <w:p w14:paraId="3E6493B1">
      <w:pPr>
        <w:pStyle w:val="5"/>
        <w:adjustRightInd/>
        <w:spacing w:before="0" w:after="0" w:line="520" w:lineRule="exact"/>
        <w:jc w:val="both"/>
        <w:textAlignment w:val="auto"/>
        <w:rPr>
          <w:rFonts w:hint="eastAsia" w:ascii="宋体" w:hAnsi="宋体" w:eastAsia="宋体" w:cs="宋体"/>
          <w:b w:val="0"/>
          <w:bCs/>
          <w:color w:val="auto"/>
          <w:sz w:val="28"/>
          <w:szCs w:val="28"/>
          <w:highlight w:val="none"/>
        </w:rPr>
      </w:pPr>
      <w:bookmarkStart w:id="27" w:name="_Toc35393803"/>
      <w:bookmarkStart w:id="28" w:name="_Toc28359017"/>
      <w:bookmarkStart w:id="29" w:name="_Toc6439"/>
      <w:bookmarkStart w:id="30" w:name="_Toc35393634"/>
      <w:bookmarkStart w:id="31" w:name="_Toc28359094"/>
      <w:r>
        <w:rPr>
          <w:rFonts w:hint="eastAsia" w:ascii="宋体" w:hAnsi="宋体" w:eastAsia="宋体" w:cs="宋体"/>
          <w:b w:val="0"/>
          <w:bCs/>
          <w:color w:val="auto"/>
          <w:sz w:val="28"/>
          <w:szCs w:val="28"/>
          <w:highlight w:val="none"/>
        </w:rPr>
        <w:t>六、公告期限</w:t>
      </w:r>
      <w:bookmarkEnd w:id="27"/>
      <w:bookmarkEnd w:id="28"/>
      <w:bookmarkEnd w:id="29"/>
      <w:bookmarkEnd w:id="30"/>
      <w:bookmarkEnd w:id="31"/>
    </w:p>
    <w:p w14:paraId="60221860">
      <w:pPr>
        <w:spacing w:line="520" w:lineRule="exact"/>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自本公告发布之日起3个工作日。</w:t>
      </w:r>
    </w:p>
    <w:p w14:paraId="17B1661A">
      <w:pPr>
        <w:spacing w:line="52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七、</w:t>
      </w:r>
      <w:bookmarkStart w:id="32" w:name="_Toc35393635"/>
      <w:bookmarkStart w:id="33" w:name="_Toc35393804"/>
      <w:r>
        <w:rPr>
          <w:rFonts w:hint="eastAsia" w:ascii="宋体" w:hAnsi="宋体" w:cs="宋体"/>
          <w:color w:val="auto"/>
          <w:sz w:val="28"/>
          <w:szCs w:val="28"/>
          <w:highlight w:val="none"/>
        </w:rPr>
        <w:t>其他事宜</w:t>
      </w:r>
      <w:bookmarkEnd w:id="32"/>
      <w:bookmarkEnd w:id="33"/>
      <w:bookmarkStart w:id="34" w:name="_Toc35393805"/>
      <w:bookmarkStart w:id="35" w:name="_Toc35393636"/>
      <w:bookmarkStart w:id="36" w:name="_Toc28359095"/>
      <w:bookmarkStart w:id="37" w:name="_Toc28359018"/>
    </w:p>
    <w:p w14:paraId="57355F1A">
      <w:pPr>
        <w:widowControl/>
        <w:shd w:val="clear" w:color="auto" w:fill="FFFFFF"/>
        <w:spacing w:line="520" w:lineRule="exact"/>
        <w:ind w:firstLine="560" w:firstLineChars="200"/>
        <w:jc w:val="left"/>
        <w:rPr>
          <w:rFonts w:hint="eastAsia" w:ascii="宋体" w:hAnsi="宋体" w:cs="宋体"/>
          <w:bCs/>
          <w:color w:val="auto"/>
          <w:kern w:val="0"/>
          <w:sz w:val="28"/>
          <w:szCs w:val="28"/>
          <w:highlight w:val="none"/>
        </w:rPr>
      </w:pPr>
      <w:r>
        <w:rPr>
          <w:rFonts w:hint="eastAsia" w:ascii="宋体" w:hAnsi="宋体" w:cs="宋体"/>
          <w:bCs/>
          <w:color w:val="auto"/>
          <w:kern w:val="0"/>
          <w:sz w:val="28"/>
          <w:szCs w:val="28"/>
          <w:highlight w:val="none"/>
        </w:rPr>
        <w:t>响应保证金：本项目无需提供。</w:t>
      </w:r>
    </w:p>
    <w:p w14:paraId="7418B37C">
      <w:pPr>
        <w:pStyle w:val="5"/>
        <w:adjustRightInd/>
        <w:spacing w:before="0" w:after="0" w:line="520" w:lineRule="exact"/>
        <w:jc w:val="both"/>
        <w:textAlignment w:val="auto"/>
        <w:rPr>
          <w:rFonts w:hint="eastAsia" w:ascii="宋体" w:hAnsi="宋体" w:eastAsia="宋体" w:cs="宋体"/>
          <w:b w:val="0"/>
          <w:bCs/>
          <w:color w:val="auto"/>
          <w:sz w:val="28"/>
          <w:szCs w:val="28"/>
          <w:highlight w:val="none"/>
        </w:rPr>
      </w:pPr>
      <w:bookmarkStart w:id="38" w:name="_Toc21256"/>
      <w:bookmarkStart w:id="39" w:name="_Toc7807"/>
      <w:r>
        <w:rPr>
          <w:rFonts w:hint="eastAsia" w:ascii="宋体" w:hAnsi="宋体" w:eastAsia="宋体" w:cs="宋体"/>
          <w:b w:val="0"/>
          <w:bCs/>
          <w:color w:val="auto"/>
          <w:sz w:val="28"/>
          <w:szCs w:val="28"/>
          <w:highlight w:val="none"/>
        </w:rPr>
        <w:t>八、凡对本次采购提出询问，请按以下方式联系。</w:t>
      </w:r>
      <w:bookmarkEnd w:id="34"/>
      <w:bookmarkEnd w:id="35"/>
      <w:bookmarkEnd w:id="36"/>
      <w:bookmarkEnd w:id="37"/>
      <w:bookmarkEnd w:id="38"/>
      <w:bookmarkEnd w:id="39"/>
    </w:p>
    <w:p w14:paraId="16CD06BE">
      <w:pPr>
        <w:pStyle w:val="5"/>
        <w:adjustRightInd/>
        <w:spacing w:before="0" w:after="0" w:line="560" w:lineRule="exact"/>
        <w:ind w:firstLine="560" w:firstLineChars="200"/>
        <w:jc w:val="both"/>
        <w:textAlignment w:val="auto"/>
        <w:rPr>
          <w:rFonts w:hint="eastAsia" w:ascii="宋体" w:hAnsi="宋体" w:eastAsia="宋体" w:cs="宋体"/>
          <w:b w:val="0"/>
          <w:bCs/>
          <w:color w:val="auto"/>
          <w:sz w:val="28"/>
          <w:szCs w:val="28"/>
          <w:highlight w:val="none"/>
        </w:rPr>
      </w:pPr>
      <w:bookmarkStart w:id="40" w:name="_Toc12167"/>
      <w:bookmarkStart w:id="41" w:name="_Toc35393637"/>
      <w:bookmarkStart w:id="42" w:name="_Toc28359019"/>
      <w:bookmarkStart w:id="43" w:name="_Toc35393806"/>
      <w:bookmarkStart w:id="44" w:name="_Toc24687"/>
      <w:bookmarkStart w:id="45" w:name="_Toc28359096"/>
      <w:r>
        <w:rPr>
          <w:rFonts w:hint="eastAsia" w:ascii="宋体" w:hAnsi="宋体" w:eastAsia="宋体" w:cs="宋体"/>
          <w:b w:val="0"/>
          <w:bCs/>
          <w:color w:val="auto"/>
          <w:sz w:val="28"/>
          <w:szCs w:val="28"/>
          <w:highlight w:val="none"/>
        </w:rPr>
        <w:t>1、采购人信息</w:t>
      </w:r>
      <w:bookmarkEnd w:id="40"/>
      <w:bookmarkEnd w:id="41"/>
      <w:bookmarkEnd w:id="42"/>
      <w:bookmarkEnd w:id="43"/>
      <w:bookmarkEnd w:id="44"/>
      <w:bookmarkEnd w:id="45"/>
    </w:p>
    <w:p w14:paraId="212F1B8B">
      <w:pPr>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名    称：六安市水利局</w:t>
      </w:r>
    </w:p>
    <w:p w14:paraId="7F0CFE5E">
      <w:pPr>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地    址：六安市皖西大道1513号</w:t>
      </w:r>
    </w:p>
    <w:p w14:paraId="6C46B99E">
      <w:pPr>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联系方式：</w:t>
      </w:r>
      <w:bookmarkStart w:id="46" w:name="_Toc28359020"/>
      <w:bookmarkStart w:id="47" w:name="_Toc28359097"/>
      <w:bookmarkStart w:id="48" w:name="_Toc35393807"/>
      <w:bookmarkStart w:id="49" w:name="_Toc35393638"/>
      <w:r>
        <w:rPr>
          <w:rFonts w:hint="eastAsia" w:ascii="宋体" w:hAnsi="宋体" w:cs="宋体"/>
          <w:bCs/>
          <w:color w:val="auto"/>
          <w:sz w:val="28"/>
          <w:szCs w:val="28"/>
          <w:highlight w:val="none"/>
        </w:rPr>
        <w:t>0564-3339175</w:t>
      </w:r>
    </w:p>
    <w:p w14:paraId="428BE8AD">
      <w:pPr>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2、采购代理机构信息</w:t>
      </w:r>
      <w:bookmarkEnd w:id="46"/>
      <w:bookmarkEnd w:id="47"/>
      <w:bookmarkEnd w:id="48"/>
      <w:bookmarkEnd w:id="49"/>
      <w:bookmarkStart w:id="50" w:name="_Toc35393808"/>
      <w:bookmarkStart w:id="51" w:name="_Toc28359021"/>
      <w:bookmarkStart w:id="52" w:name="_Toc28359098"/>
      <w:bookmarkStart w:id="53" w:name="_Toc35393639"/>
    </w:p>
    <w:p w14:paraId="1401E5BA">
      <w:pPr>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名 称：六安市厚灵工程咨询服务有限公司  </w:t>
      </w:r>
    </w:p>
    <w:p w14:paraId="5DB4F317">
      <w:pPr>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地址：六安市金安区金桥小区二期1号楼1804室                                     </w:t>
      </w:r>
    </w:p>
    <w:p w14:paraId="1D5F7E55">
      <w:pPr>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联系人：夏工             </w:t>
      </w:r>
    </w:p>
    <w:p w14:paraId="0971B99A">
      <w:pPr>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电话：0564-3330080   </w:t>
      </w:r>
    </w:p>
    <w:p w14:paraId="5FBDE567">
      <w:pPr>
        <w:numPr>
          <w:ilvl w:val="0"/>
          <w:numId w:val="1"/>
        </w:numPr>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项目联系方式</w:t>
      </w:r>
      <w:bookmarkEnd w:id="50"/>
      <w:bookmarkEnd w:id="51"/>
      <w:bookmarkEnd w:id="52"/>
      <w:bookmarkEnd w:id="53"/>
    </w:p>
    <w:p w14:paraId="6CF746EE">
      <w:pPr>
        <w:widowControl/>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项目联系人：夏工 </w:t>
      </w:r>
    </w:p>
    <w:p w14:paraId="56D1B2DA">
      <w:pPr>
        <w:widowControl/>
        <w:spacing w:line="560" w:lineRule="exact"/>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电　   话： 0564-3330080</w:t>
      </w:r>
    </w:p>
    <w:p w14:paraId="6D0428F3">
      <w:pPr>
        <w:widowControl/>
        <w:spacing w:line="540" w:lineRule="exact"/>
        <w:ind w:firstLine="560" w:firstLineChars="200"/>
        <w:rPr>
          <w:rFonts w:hint="eastAsia" w:ascii="宋体" w:hAnsi="宋体" w:cs="宋体"/>
          <w:bCs/>
          <w:color w:val="auto"/>
          <w:sz w:val="28"/>
          <w:szCs w:val="28"/>
          <w:highlight w:val="none"/>
        </w:rPr>
      </w:pPr>
    </w:p>
    <w:p w14:paraId="3CECA6B5">
      <w:pPr>
        <w:pStyle w:val="2"/>
        <w:spacing w:line="520" w:lineRule="exact"/>
        <w:ind w:firstLine="0"/>
        <w:rPr>
          <w:rFonts w:hint="eastAsia" w:ascii="宋体" w:hAnsi="宋体" w:cs="宋体"/>
          <w:bCs/>
          <w:color w:val="auto"/>
          <w:sz w:val="28"/>
          <w:szCs w:val="28"/>
          <w:highlight w:val="none"/>
        </w:rPr>
      </w:pPr>
    </w:p>
    <w:p w14:paraId="6FF58937">
      <w:pPr>
        <w:spacing w:line="520" w:lineRule="exact"/>
        <w:jc w:val="right"/>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2025年 </w:t>
      </w:r>
      <w:r>
        <w:rPr>
          <w:rFonts w:hint="eastAsia" w:ascii="宋体" w:hAnsi="宋体" w:cs="宋体"/>
          <w:bCs/>
          <w:color w:val="auto"/>
          <w:sz w:val="28"/>
          <w:szCs w:val="28"/>
          <w:highlight w:val="none"/>
          <w:lang w:val="en-US" w:eastAsia="zh-CN"/>
        </w:rPr>
        <w:t>5</w:t>
      </w:r>
      <w:r>
        <w:rPr>
          <w:rFonts w:hint="eastAsia" w:ascii="宋体" w:hAnsi="宋体" w:cs="宋体"/>
          <w:bCs/>
          <w:color w:val="auto"/>
          <w:sz w:val="28"/>
          <w:szCs w:val="28"/>
          <w:highlight w:val="none"/>
        </w:rPr>
        <w:t xml:space="preserve"> 月 </w:t>
      </w:r>
      <w:r>
        <w:rPr>
          <w:rFonts w:hint="eastAsia" w:ascii="宋体" w:hAnsi="宋体" w:cs="宋体"/>
          <w:bCs/>
          <w:color w:val="auto"/>
          <w:sz w:val="28"/>
          <w:szCs w:val="28"/>
          <w:highlight w:val="none"/>
          <w:lang w:val="en-US" w:eastAsia="zh-CN"/>
        </w:rPr>
        <w:t>6</w:t>
      </w:r>
      <w:r>
        <w:rPr>
          <w:rFonts w:hint="eastAsia" w:ascii="宋体" w:hAnsi="宋体" w:cs="宋体"/>
          <w:bCs/>
          <w:color w:val="auto"/>
          <w:sz w:val="28"/>
          <w:szCs w:val="28"/>
          <w:highlight w:val="none"/>
        </w:rPr>
        <w:t xml:space="preserve"> 日</w:t>
      </w:r>
    </w:p>
    <w:p w14:paraId="08004B26">
      <w:pPr>
        <w:rPr>
          <w:rFonts w:hint="eastAsia" w:ascii="宋体" w:hAnsi="宋体" w:cs="宋体"/>
          <w:bCs/>
          <w:color w:val="auto"/>
          <w:sz w:val="28"/>
          <w:szCs w:val="28"/>
          <w:highlight w:val="none"/>
        </w:rPr>
      </w:pPr>
      <w:r>
        <w:rPr>
          <w:rFonts w:hint="eastAsia" w:ascii="宋体" w:hAnsi="宋体" w:cs="宋体"/>
          <w:bCs/>
          <w:color w:val="auto"/>
          <w:sz w:val="28"/>
          <w:szCs w:val="28"/>
          <w:highlight w:val="none"/>
        </w:rPr>
        <w:br w:type="page"/>
      </w:r>
    </w:p>
    <w:p w14:paraId="198C355E">
      <w:pPr>
        <w:pStyle w:val="5"/>
        <w:spacing w:before="120" w:beforeLines="50" w:after="120" w:afterLines="50" w:line="560" w:lineRule="exact"/>
        <w:jc w:val="center"/>
        <w:rPr>
          <w:rFonts w:hint="eastAsia" w:ascii="宋体" w:hAnsi="宋体" w:eastAsia="宋体" w:cs="宋体"/>
          <w:color w:val="auto"/>
          <w:sz w:val="28"/>
          <w:szCs w:val="28"/>
          <w:highlight w:val="none"/>
        </w:rPr>
      </w:pPr>
      <w:bookmarkStart w:id="54" w:name="_Toc21819"/>
      <w:r>
        <w:rPr>
          <w:rFonts w:hint="eastAsia" w:ascii="宋体" w:hAnsi="宋体" w:eastAsia="宋体" w:cs="宋体"/>
          <w:color w:val="auto"/>
          <w:sz w:val="28"/>
          <w:szCs w:val="28"/>
          <w:highlight w:val="none"/>
        </w:rPr>
        <w:t>一、供应商须知</w:t>
      </w:r>
      <w:bookmarkEnd w:id="54"/>
    </w:p>
    <w:p w14:paraId="3A3BC4C0">
      <w:pPr>
        <w:pStyle w:val="5"/>
        <w:spacing w:before="0" w:after="0" w:line="560" w:lineRule="exact"/>
        <w:jc w:val="center"/>
        <w:rPr>
          <w:rFonts w:hint="eastAsia" w:ascii="宋体" w:hAnsi="宋体" w:eastAsia="宋体" w:cs="宋体"/>
          <w:color w:val="auto"/>
          <w:sz w:val="24"/>
          <w:szCs w:val="24"/>
          <w:highlight w:val="none"/>
        </w:rPr>
      </w:pPr>
      <w:bookmarkStart w:id="55" w:name="_Toc22568"/>
      <w:r>
        <w:rPr>
          <w:rFonts w:hint="eastAsia" w:ascii="宋体" w:hAnsi="宋体" w:eastAsia="宋体" w:cs="宋体"/>
          <w:color w:val="auto"/>
          <w:sz w:val="24"/>
          <w:szCs w:val="24"/>
          <w:highlight w:val="none"/>
        </w:rPr>
        <w:t>（一）须知前附表</w:t>
      </w:r>
      <w:bookmarkEnd w:id="55"/>
    </w:p>
    <w:tbl>
      <w:tblPr>
        <w:tblStyle w:val="14"/>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14:paraId="3C8E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1CC802A">
            <w:pPr>
              <w:spacing w:line="440" w:lineRule="exact"/>
              <w:jc w:val="center"/>
              <w:rPr>
                <w:rFonts w:hint="eastAsia" w:ascii="宋体" w:hAnsi="宋体" w:cs="宋体"/>
                <w:b/>
                <w:color w:val="auto"/>
                <w:sz w:val="24"/>
                <w:szCs w:val="24"/>
                <w:highlight w:val="none"/>
              </w:rPr>
            </w:pPr>
            <w:bookmarkStart w:id="56" w:name="_Toc438107743"/>
            <w:bookmarkStart w:id="57" w:name="_Toc363199267"/>
            <w:bookmarkStart w:id="58" w:name="_Toc216158627"/>
            <w:r>
              <w:rPr>
                <w:rFonts w:hint="eastAsia" w:ascii="宋体" w:hAnsi="宋体" w:cs="宋体"/>
                <w:b/>
                <w:color w:val="auto"/>
                <w:sz w:val="24"/>
                <w:szCs w:val="24"/>
                <w:highlight w:val="none"/>
              </w:rPr>
              <w:t>序号</w:t>
            </w:r>
          </w:p>
        </w:tc>
        <w:tc>
          <w:tcPr>
            <w:tcW w:w="1502" w:type="dxa"/>
            <w:vAlign w:val="center"/>
          </w:tcPr>
          <w:p w14:paraId="755CB911">
            <w:pPr>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内容</w:t>
            </w:r>
          </w:p>
        </w:tc>
        <w:tc>
          <w:tcPr>
            <w:tcW w:w="7308" w:type="dxa"/>
            <w:vAlign w:val="center"/>
          </w:tcPr>
          <w:p w14:paraId="3CF4B3DE">
            <w:pPr>
              <w:pStyle w:val="30"/>
              <w:widowControl w:val="0"/>
              <w:spacing w:before="0" w:beforeAutospacing="0" w:after="0" w:afterAutospacing="0" w:line="440" w:lineRule="exact"/>
              <w:rPr>
                <w:rFonts w:hint="eastAsia" w:cs="宋体"/>
                <w:bCs w:val="0"/>
                <w:color w:val="auto"/>
                <w:kern w:val="2"/>
                <w:sz w:val="24"/>
                <w:szCs w:val="24"/>
                <w:highlight w:val="none"/>
              </w:rPr>
            </w:pPr>
            <w:r>
              <w:rPr>
                <w:rFonts w:hint="eastAsia" w:cs="宋体"/>
                <w:bCs w:val="0"/>
                <w:color w:val="auto"/>
                <w:kern w:val="2"/>
                <w:sz w:val="24"/>
                <w:szCs w:val="24"/>
                <w:highlight w:val="none"/>
              </w:rPr>
              <w:t>说明与要求</w:t>
            </w:r>
          </w:p>
        </w:tc>
      </w:tr>
      <w:tr w14:paraId="15CD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407FD7F1">
            <w:pPr>
              <w:pStyle w:val="31"/>
              <w:pBdr>
                <w:bottom w:val="none" w:color="auto" w:sz="0" w:space="0"/>
              </w:pBdr>
              <w:tabs>
                <w:tab w:val="clear" w:pos="4153"/>
                <w:tab w:val="clear" w:pos="8306"/>
              </w:tabs>
              <w:adjustRightInd/>
              <w:spacing w:line="440" w:lineRule="exact"/>
              <w:textAlignment w:val="auto"/>
              <w:rPr>
                <w:rFonts w:hint="eastAsia" w:ascii="宋体" w:hAnsi="宋体" w:cs="宋体"/>
                <w:b/>
                <w:color w:val="auto"/>
                <w:kern w:val="2"/>
                <w:szCs w:val="24"/>
                <w:highlight w:val="none"/>
              </w:rPr>
            </w:pPr>
            <w:r>
              <w:rPr>
                <w:rFonts w:hint="eastAsia" w:ascii="宋体" w:hAnsi="宋体" w:cs="宋体"/>
                <w:b/>
                <w:color w:val="auto"/>
                <w:kern w:val="2"/>
                <w:szCs w:val="24"/>
                <w:highlight w:val="none"/>
              </w:rPr>
              <w:t>1</w:t>
            </w:r>
          </w:p>
        </w:tc>
        <w:tc>
          <w:tcPr>
            <w:tcW w:w="1502" w:type="dxa"/>
            <w:vAlign w:val="center"/>
          </w:tcPr>
          <w:p w14:paraId="1EE4435B">
            <w:pPr>
              <w:spacing w:line="440" w:lineRule="exact"/>
              <w:jc w:val="center"/>
              <w:rPr>
                <w:rFonts w:hint="eastAsia" w:ascii="宋体" w:hAnsi="宋体" w:cs="宋体"/>
                <w:color w:val="auto"/>
                <w:sz w:val="24"/>
                <w:szCs w:val="24"/>
                <w:highlight w:val="none"/>
              </w:rPr>
            </w:pPr>
            <w:r>
              <w:rPr>
                <w:rFonts w:hint="eastAsia" w:ascii="宋体" w:hAnsi="宋体" w:cs="宋体"/>
                <w:bCs/>
                <w:color w:val="auto"/>
                <w:sz w:val="24"/>
                <w:szCs w:val="24"/>
                <w:highlight w:val="none"/>
              </w:rPr>
              <w:t>采购人</w:t>
            </w:r>
          </w:p>
        </w:tc>
        <w:tc>
          <w:tcPr>
            <w:tcW w:w="7308" w:type="dxa"/>
            <w:vAlign w:val="center"/>
          </w:tcPr>
          <w:p w14:paraId="214AE809">
            <w:pPr>
              <w:spacing w:line="440" w:lineRule="exact"/>
              <w:rPr>
                <w:rFonts w:hint="eastAsia" w:ascii="宋体" w:hAnsi="宋体" w:cs="宋体"/>
                <w:color w:val="auto"/>
                <w:sz w:val="24"/>
                <w:szCs w:val="24"/>
                <w:highlight w:val="none"/>
              </w:rPr>
            </w:pPr>
            <w:r>
              <w:rPr>
                <w:rFonts w:hint="eastAsia" w:ascii="宋体" w:hAnsi="宋体" w:cs="宋体"/>
                <w:bCs/>
                <w:color w:val="auto"/>
                <w:sz w:val="24"/>
                <w:szCs w:val="24"/>
                <w:highlight w:val="none"/>
              </w:rPr>
              <w:t>六安市水利局</w:t>
            </w:r>
          </w:p>
        </w:tc>
      </w:tr>
      <w:tr w14:paraId="287D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71029013">
            <w:pPr>
              <w:pStyle w:val="31"/>
              <w:pBdr>
                <w:bottom w:val="none" w:color="auto" w:sz="0" w:space="0"/>
              </w:pBdr>
              <w:tabs>
                <w:tab w:val="clear" w:pos="4153"/>
                <w:tab w:val="clear" w:pos="8306"/>
              </w:tabs>
              <w:adjustRightInd/>
              <w:spacing w:line="440" w:lineRule="exact"/>
              <w:textAlignment w:val="auto"/>
              <w:rPr>
                <w:rFonts w:hint="eastAsia" w:ascii="宋体" w:hAnsi="宋体" w:cs="宋体"/>
                <w:b/>
                <w:color w:val="auto"/>
                <w:kern w:val="2"/>
                <w:szCs w:val="24"/>
                <w:highlight w:val="none"/>
              </w:rPr>
            </w:pPr>
            <w:r>
              <w:rPr>
                <w:rFonts w:hint="eastAsia" w:ascii="宋体" w:hAnsi="宋体" w:cs="宋体"/>
                <w:b/>
                <w:color w:val="auto"/>
                <w:kern w:val="2"/>
                <w:szCs w:val="24"/>
                <w:highlight w:val="none"/>
              </w:rPr>
              <w:t>2</w:t>
            </w:r>
          </w:p>
        </w:tc>
        <w:tc>
          <w:tcPr>
            <w:tcW w:w="1502" w:type="dxa"/>
            <w:vAlign w:val="center"/>
          </w:tcPr>
          <w:p w14:paraId="2B5EA0BE">
            <w:pPr>
              <w:spacing w:line="440" w:lineRule="exact"/>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采购代理机构</w:t>
            </w:r>
          </w:p>
        </w:tc>
        <w:tc>
          <w:tcPr>
            <w:tcW w:w="7308" w:type="dxa"/>
            <w:vAlign w:val="center"/>
          </w:tcPr>
          <w:p w14:paraId="59C384E8">
            <w:pPr>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名称：六安市厚灵工程咨询服务有限公司</w:t>
            </w:r>
          </w:p>
          <w:p w14:paraId="26C225D6">
            <w:pPr>
              <w:spacing w:line="440" w:lineRule="exact"/>
              <w:rPr>
                <w:rFonts w:hint="eastAsia" w:ascii="宋体" w:hAnsi="宋体" w:cs="宋体"/>
                <w:b/>
                <w:bCs/>
                <w:color w:val="auto"/>
                <w:sz w:val="24"/>
                <w:szCs w:val="24"/>
                <w:highlight w:val="none"/>
              </w:rPr>
            </w:pPr>
            <w:r>
              <w:rPr>
                <w:rFonts w:hint="eastAsia" w:ascii="宋体" w:hAnsi="宋体" w:cs="宋体"/>
                <w:bCs/>
                <w:color w:val="auto"/>
                <w:sz w:val="24"/>
                <w:szCs w:val="24"/>
                <w:highlight w:val="none"/>
              </w:rPr>
              <w:t>地址：六安市金安区金桥小区二期1号楼1804室</w:t>
            </w:r>
          </w:p>
        </w:tc>
      </w:tr>
      <w:tr w14:paraId="3B0E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5D5139E7">
            <w:pPr>
              <w:pStyle w:val="31"/>
              <w:pBdr>
                <w:bottom w:val="none" w:color="auto" w:sz="0" w:space="0"/>
              </w:pBdr>
              <w:tabs>
                <w:tab w:val="clear" w:pos="4153"/>
                <w:tab w:val="clear" w:pos="8306"/>
              </w:tabs>
              <w:adjustRightInd/>
              <w:spacing w:line="440" w:lineRule="exact"/>
              <w:textAlignment w:val="auto"/>
              <w:rPr>
                <w:rFonts w:hint="eastAsia" w:ascii="宋体" w:hAnsi="宋体" w:cs="宋体"/>
                <w:b/>
                <w:color w:val="auto"/>
                <w:kern w:val="2"/>
                <w:szCs w:val="24"/>
                <w:highlight w:val="none"/>
              </w:rPr>
            </w:pPr>
            <w:r>
              <w:rPr>
                <w:rFonts w:hint="eastAsia" w:ascii="宋体" w:hAnsi="宋体" w:cs="宋体"/>
                <w:b/>
                <w:color w:val="auto"/>
                <w:kern w:val="2"/>
                <w:szCs w:val="24"/>
                <w:highlight w:val="none"/>
              </w:rPr>
              <w:t>3</w:t>
            </w:r>
          </w:p>
        </w:tc>
        <w:tc>
          <w:tcPr>
            <w:tcW w:w="1502" w:type="dxa"/>
            <w:vAlign w:val="center"/>
          </w:tcPr>
          <w:p w14:paraId="32AD0B7F">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磋商有效期</w:t>
            </w:r>
          </w:p>
        </w:tc>
        <w:tc>
          <w:tcPr>
            <w:tcW w:w="7308" w:type="dxa"/>
            <w:vAlign w:val="center"/>
          </w:tcPr>
          <w:p w14:paraId="5E49B723">
            <w:pPr>
              <w:pStyle w:val="30"/>
              <w:widowControl w:val="0"/>
              <w:spacing w:before="0" w:beforeAutospacing="0" w:after="0" w:afterAutospacing="0" w:line="440" w:lineRule="exact"/>
              <w:jc w:val="both"/>
              <w:rPr>
                <w:rFonts w:hint="eastAsia" w:cs="宋体"/>
                <w:b w:val="0"/>
                <w:bCs w:val="0"/>
                <w:color w:val="auto"/>
                <w:sz w:val="24"/>
                <w:szCs w:val="24"/>
                <w:highlight w:val="none"/>
              </w:rPr>
            </w:pPr>
            <w:r>
              <w:rPr>
                <w:rFonts w:hint="eastAsia" w:cs="宋体"/>
                <w:b w:val="0"/>
                <w:bCs w:val="0"/>
                <w:color w:val="auto"/>
                <w:sz w:val="24"/>
                <w:szCs w:val="24"/>
                <w:highlight w:val="none"/>
              </w:rPr>
              <w:t>响应文件提交截止日后30天</w:t>
            </w:r>
          </w:p>
        </w:tc>
      </w:tr>
      <w:tr w14:paraId="2E90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8B9799">
            <w:pPr>
              <w:pStyle w:val="31"/>
              <w:pBdr>
                <w:bottom w:val="none" w:color="auto" w:sz="0" w:space="0"/>
              </w:pBdr>
              <w:tabs>
                <w:tab w:val="clear" w:pos="4153"/>
                <w:tab w:val="clear" w:pos="8306"/>
              </w:tabs>
              <w:adjustRightInd/>
              <w:spacing w:line="440" w:lineRule="exact"/>
              <w:textAlignment w:val="auto"/>
              <w:rPr>
                <w:rFonts w:hint="eastAsia" w:ascii="宋体" w:hAnsi="宋体" w:cs="宋体"/>
                <w:b/>
                <w:color w:val="auto"/>
                <w:kern w:val="2"/>
                <w:szCs w:val="24"/>
                <w:highlight w:val="none"/>
                <w:lang w:val="en-US"/>
              </w:rPr>
            </w:pPr>
            <w:r>
              <w:rPr>
                <w:rFonts w:hint="eastAsia" w:ascii="宋体" w:hAnsi="宋体" w:cs="宋体"/>
                <w:b/>
                <w:color w:val="auto"/>
                <w:kern w:val="2"/>
                <w:szCs w:val="24"/>
                <w:highlight w:val="none"/>
                <w:lang w:val="en-US"/>
              </w:rPr>
              <w:t>4</w:t>
            </w:r>
          </w:p>
        </w:tc>
        <w:tc>
          <w:tcPr>
            <w:tcW w:w="1502" w:type="dxa"/>
            <w:vAlign w:val="center"/>
          </w:tcPr>
          <w:p w14:paraId="2D46FAD8">
            <w:pPr>
              <w:spacing w:line="440" w:lineRule="exact"/>
              <w:jc w:val="center"/>
              <w:rPr>
                <w:rFonts w:hint="eastAsia" w:ascii="宋体" w:hAnsi="宋体" w:cs="宋体"/>
                <w:b/>
                <w:color w:val="auto"/>
                <w:sz w:val="24"/>
                <w:szCs w:val="24"/>
                <w:highlight w:val="none"/>
              </w:rPr>
            </w:pPr>
            <w:r>
              <w:rPr>
                <w:rFonts w:hint="eastAsia" w:ascii="宋体" w:hAnsi="宋体" w:cs="宋体"/>
                <w:color w:val="auto"/>
                <w:sz w:val="24"/>
                <w:szCs w:val="24"/>
                <w:highlight w:val="none"/>
              </w:rPr>
              <w:t>项目类型</w:t>
            </w:r>
          </w:p>
        </w:tc>
        <w:tc>
          <w:tcPr>
            <w:tcW w:w="7308" w:type="dxa"/>
            <w:vAlign w:val="center"/>
          </w:tcPr>
          <w:p w14:paraId="29CA1E2E">
            <w:pPr>
              <w:pStyle w:val="30"/>
              <w:widowControl w:val="0"/>
              <w:spacing w:before="0" w:beforeAutospacing="0" w:after="0" w:afterAutospacing="0" w:line="440" w:lineRule="exact"/>
              <w:jc w:val="both"/>
              <w:rPr>
                <w:rFonts w:hint="eastAsia" w:cs="宋体"/>
                <w:b w:val="0"/>
                <w:bCs w:val="0"/>
                <w:color w:val="auto"/>
                <w:sz w:val="24"/>
                <w:szCs w:val="24"/>
                <w:highlight w:val="none"/>
              </w:rPr>
            </w:pPr>
            <w:r>
              <w:rPr>
                <w:rFonts w:hint="eastAsia" w:cs="宋体"/>
                <w:b w:val="0"/>
                <w:bCs w:val="0"/>
                <w:color w:val="auto"/>
                <w:sz w:val="24"/>
                <w:szCs w:val="24"/>
                <w:highlight w:val="none"/>
              </w:rPr>
              <w:t>服务类</w:t>
            </w:r>
          </w:p>
        </w:tc>
      </w:tr>
      <w:tr w14:paraId="5F38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9CBF693">
            <w:pPr>
              <w:pStyle w:val="31"/>
              <w:pBdr>
                <w:bottom w:val="none" w:color="auto" w:sz="0" w:space="0"/>
              </w:pBdr>
              <w:tabs>
                <w:tab w:val="clear" w:pos="4153"/>
                <w:tab w:val="clear" w:pos="8306"/>
              </w:tabs>
              <w:adjustRightInd/>
              <w:spacing w:line="440" w:lineRule="exact"/>
              <w:textAlignment w:val="auto"/>
              <w:rPr>
                <w:rFonts w:hint="eastAsia" w:ascii="宋体" w:hAnsi="宋体" w:cs="宋体"/>
                <w:b/>
                <w:color w:val="auto"/>
                <w:kern w:val="2"/>
                <w:szCs w:val="24"/>
                <w:highlight w:val="none"/>
                <w:lang w:val="en-US"/>
              </w:rPr>
            </w:pPr>
            <w:r>
              <w:rPr>
                <w:rFonts w:hint="eastAsia" w:ascii="宋体" w:hAnsi="宋体" w:cs="宋体"/>
                <w:b/>
                <w:color w:val="auto"/>
                <w:kern w:val="2"/>
                <w:szCs w:val="24"/>
                <w:highlight w:val="none"/>
                <w:lang w:val="en-US"/>
              </w:rPr>
              <w:t>5</w:t>
            </w:r>
          </w:p>
        </w:tc>
        <w:tc>
          <w:tcPr>
            <w:tcW w:w="1502" w:type="dxa"/>
            <w:vAlign w:val="center"/>
          </w:tcPr>
          <w:p w14:paraId="0116C85E">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308" w:type="dxa"/>
            <w:vAlign w:val="center"/>
          </w:tcPr>
          <w:p w14:paraId="052D1ACA">
            <w:pPr>
              <w:pStyle w:val="30"/>
              <w:widowControl w:val="0"/>
              <w:spacing w:before="0" w:beforeAutospacing="0" w:after="0" w:afterAutospacing="0" w:line="440" w:lineRule="exact"/>
              <w:jc w:val="both"/>
              <w:rPr>
                <w:rFonts w:hint="eastAsia" w:cs="宋体"/>
                <w:color w:val="auto"/>
                <w:sz w:val="24"/>
                <w:szCs w:val="24"/>
                <w:highlight w:val="none"/>
              </w:rPr>
            </w:pPr>
            <w:r>
              <w:rPr>
                <w:rFonts w:hint="eastAsia" w:cs="宋体"/>
                <w:b w:val="0"/>
                <w:bCs w:val="0"/>
                <w:color w:val="auto"/>
                <w:kern w:val="2"/>
                <w:sz w:val="24"/>
                <w:szCs w:val="24"/>
                <w:highlight w:val="none"/>
              </w:rPr>
              <w:t>取用水档案管理提升项目</w:t>
            </w:r>
          </w:p>
        </w:tc>
      </w:tr>
      <w:tr w14:paraId="3C01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24BEE82B">
            <w:pPr>
              <w:pStyle w:val="31"/>
              <w:pBdr>
                <w:bottom w:val="none" w:color="auto" w:sz="0" w:space="0"/>
              </w:pBdr>
              <w:tabs>
                <w:tab w:val="clear" w:pos="4153"/>
                <w:tab w:val="clear" w:pos="8306"/>
              </w:tabs>
              <w:adjustRightInd/>
              <w:spacing w:line="440" w:lineRule="exact"/>
              <w:textAlignment w:val="auto"/>
              <w:rPr>
                <w:rFonts w:hint="eastAsia" w:ascii="宋体" w:hAnsi="宋体" w:cs="宋体"/>
                <w:b/>
                <w:color w:val="auto"/>
                <w:kern w:val="2"/>
                <w:szCs w:val="24"/>
                <w:highlight w:val="none"/>
              </w:rPr>
            </w:pPr>
            <w:r>
              <w:rPr>
                <w:rFonts w:hint="eastAsia" w:ascii="宋体" w:hAnsi="宋体" w:cs="宋体"/>
                <w:b/>
                <w:color w:val="auto"/>
                <w:kern w:val="2"/>
                <w:szCs w:val="24"/>
                <w:highlight w:val="none"/>
              </w:rPr>
              <w:t>6</w:t>
            </w:r>
          </w:p>
        </w:tc>
        <w:tc>
          <w:tcPr>
            <w:tcW w:w="1502" w:type="dxa"/>
            <w:vAlign w:val="center"/>
          </w:tcPr>
          <w:p w14:paraId="0A5107FF">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7308" w:type="dxa"/>
            <w:vAlign w:val="center"/>
          </w:tcPr>
          <w:p w14:paraId="3A619E62">
            <w:pPr>
              <w:pStyle w:val="30"/>
              <w:widowControl w:val="0"/>
              <w:spacing w:before="0" w:beforeAutospacing="0" w:after="0" w:afterAutospacing="0" w:line="440" w:lineRule="exact"/>
              <w:jc w:val="both"/>
              <w:rPr>
                <w:rFonts w:hint="eastAsia" w:cs="宋体"/>
                <w:b w:val="0"/>
                <w:color w:val="auto"/>
                <w:sz w:val="24"/>
                <w:szCs w:val="24"/>
                <w:highlight w:val="none"/>
              </w:rPr>
            </w:pPr>
            <w:r>
              <w:rPr>
                <w:rFonts w:hint="eastAsia" w:cs="宋体"/>
                <w:b w:val="0"/>
                <w:bCs w:val="0"/>
                <w:color w:val="auto"/>
                <w:kern w:val="2"/>
                <w:sz w:val="24"/>
                <w:szCs w:val="24"/>
                <w:highlight w:val="none"/>
              </w:rPr>
              <w:t>LAHL20250403</w:t>
            </w:r>
          </w:p>
        </w:tc>
      </w:tr>
      <w:tr w14:paraId="2315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83" w:hRule="atLeast"/>
          <w:jc w:val="center"/>
        </w:trPr>
        <w:tc>
          <w:tcPr>
            <w:tcW w:w="804" w:type="dxa"/>
            <w:vAlign w:val="center"/>
          </w:tcPr>
          <w:p w14:paraId="14627A2F">
            <w:pPr>
              <w:pStyle w:val="31"/>
              <w:pBdr>
                <w:bottom w:val="none" w:color="auto" w:sz="0" w:space="0"/>
              </w:pBdr>
              <w:tabs>
                <w:tab w:val="clear" w:pos="4153"/>
                <w:tab w:val="clear" w:pos="8306"/>
              </w:tabs>
              <w:adjustRightInd/>
              <w:spacing w:line="440" w:lineRule="exact"/>
              <w:textAlignment w:val="auto"/>
              <w:rPr>
                <w:rFonts w:hint="eastAsia" w:ascii="宋体" w:hAnsi="宋体" w:cs="宋体"/>
                <w:b/>
                <w:color w:val="auto"/>
                <w:kern w:val="2"/>
                <w:szCs w:val="24"/>
                <w:highlight w:val="none"/>
              </w:rPr>
            </w:pPr>
            <w:r>
              <w:rPr>
                <w:rFonts w:hint="eastAsia" w:ascii="宋体" w:hAnsi="宋体" w:cs="宋体"/>
                <w:b/>
                <w:color w:val="auto"/>
                <w:kern w:val="2"/>
                <w:szCs w:val="24"/>
                <w:highlight w:val="none"/>
              </w:rPr>
              <w:t>7</w:t>
            </w:r>
          </w:p>
        </w:tc>
        <w:tc>
          <w:tcPr>
            <w:tcW w:w="1502" w:type="dxa"/>
            <w:vAlign w:val="center"/>
          </w:tcPr>
          <w:p w14:paraId="6864329F">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付款方式</w:t>
            </w:r>
          </w:p>
        </w:tc>
        <w:tc>
          <w:tcPr>
            <w:tcW w:w="7308" w:type="dxa"/>
            <w:vAlign w:val="center"/>
          </w:tcPr>
          <w:p w14:paraId="4D1B3533">
            <w:pPr>
              <w:spacing w:line="440" w:lineRule="exact"/>
              <w:jc w:val="left"/>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合同签订后付40%预付款（供应商需提交等额的预付款保函），</w:t>
            </w:r>
            <w:r>
              <w:rPr>
                <w:rFonts w:ascii="宋体" w:hAnsi="宋体" w:cs="宋体"/>
                <w:b/>
                <w:bCs/>
                <w:color w:val="auto"/>
                <w:kern w:val="0"/>
                <w:sz w:val="24"/>
                <w:szCs w:val="24"/>
                <w:highlight w:val="none"/>
                <w:lang w:bidi="ar"/>
              </w:rPr>
              <w:t>完成合同全部内容</w:t>
            </w:r>
            <w:r>
              <w:rPr>
                <w:rFonts w:hint="eastAsia" w:ascii="宋体" w:hAnsi="宋体" w:cs="宋体"/>
                <w:b/>
                <w:bCs/>
                <w:color w:val="auto"/>
                <w:kern w:val="0"/>
                <w:sz w:val="24"/>
                <w:szCs w:val="24"/>
                <w:highlight w:val="none"/>
                <w:lang w:bidi="ar"/>
              </w:rPr>
              <w:t>并验收合格</w:t>
            </w:r>
            <w:r>
              <w:rPr>
                <w:rFonts w:ascii="宋体" w:hAnsi="宋体" w:cs="宋体"/>
                <w:b/>
                <w:bCs/>
                <w:color w:val="auto"/>
                <w:kern w:val="0"/>
                <w:sz w:val="24"/>
                <w:szCs w:val="24"/>
                <w:highlight w:val="none"/>
                <w:lang w:bidi="ar"/>
              </w:rPr>
              <w:t>后一次性付清尾款</w:t>
            </w:r>
            <w:r>
              <w:rPr>
                <w:rFonts w:hint="eastAsia" w:ascii="宋体" w:hAnsi="宋体" w:cs="宋体"/>
                <w:b/>
                <w:bCs/>
                <w:color w:val="auto"/>
                <w:kern w:val="0"/>
                <w:sz w:val="24"/>
                <w:szCs w:val="24"/>
                <w:highlight w:val="none"/>
                <w:lang w:bidi="ar"/>
              </w:rPr>
              <w:t>；</w:t>
            </w:r>
          </w:p>
          <w:p w14:paraId="6AD625D4">
            <w:pPr>
              <w:spacing w:line="440" w:lineRule="exact"/>
              <w:jc w:val="left"/>
              <w:rPr>
                <w:rFonts w:hint="eastAsia" w:ascii="宋体" w:hAnsi="宋体" w:cs="宋体"/>
                <w:color w:val="auto"/>
                <w:sz w:val="24"/>
                <w:szCs w:val="24"/>
                <w:highlight w:val="none"/>
              </w:rPr>
            </w:pPr>
            <w:r>
              <w:rPr>
                <w:rFonts w:hint="eastAsia" w:ascii="宋体" w:hAnsi="宋体" w:cs="宋体"/>
                <w:color w:val="auto"/>
                <w:sz w:val="24"/>
                <w:highlight w:val="none"/>
              </w:rPr>
              <w:t>（供应商提交的响应文件中如有关于付款条件的表述与磋商文件规定不符，将被视为实质性不响应，将导致响应无效）</w:t>
            </w:r>
          </w:p>
        </w:tc>
      </w:tr>
      <w:tr w14:paraId="74F1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65401487">
            <w:pPr>
              <w:pStyle w:val="31"/>
              <w:pBdr>
                <w:bottom w:val="none" w:color="auto" w:sz="0" w:space="0"/>
              </w:pBdr>
              <w:tabs>
                <w:tab w:val="clear" w:pos="4153"/>
                <w:tab w:val="clear" w:pos="8306"/>
              </w:tabs>
              <w:adjustRightInd/>
              <w:spacing w:line="440" w:lineRule="exact"/>
              <w:textAlignment w:val="auto"/>
              <w:rPr>
                <w:rFonts w:hint="eastAsia" w:ascii="宋体" w:hAnsi="宋体" w:cs="宋体"/>
                <w:b/>
                <w:color w:val="auto"/>
                <w:kern w:val="2"/>
                <w:szCs w:val="24"/>
                <w:highlight w:val="none"/>
              </w:rPr>
            </w:pPr>
            <w:r>
              <w:rPr>
                <w:rFonts w:hint="eastAsia" w:ascii="宋体" w:hAnsi="宋体" w:cs="宋体"/>
                <w:b/>
                <w:color w:val="auto"/>
                <w:kern w:val="2"/>
                <w:szCs w:val="24"/>
                <w:highlight w:val="none"/>
              </w:rPr>
              <w:t>8</w:t>
            </w:r>
          </w:p>
        </w:tc>
        <w:tc>
          <w:tcPr>
            <w:tcW w:w="1502" w:type="dxa"/>
            <w:vAlign w:val="center"/>
          </w:tcPr>
          <w:p w14:paraId="33DAB431">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服务期</w:t>
            </w:r>
          </w:p>
        </w:tc>
        <w:tc>
          <w:tcPr>
            <w:tcW w:w="7308" w:type="dxa"/>
            <w:vAlign w:val="center"/>
          </w:tcPr>
          <w:p w14:paraId="20937477">
            <w:pPr>
              <w:widowControl/>
              <w:spacing w:line="520" w:lineRule="exact"/>
              <w:rPr>
                <w:rFonts w:hint="eastAsia" w:ascii="宋体" w:hAnsi="宋体" w:cs="宋体"/>
                <w:color w:val="auto"/>
                <w:sz w:val="24"/>
                <w:szCs w:val="24"/>
                <w:highlight w:val="none"/>
              </w:rPr>
            </w:pPr>
            <w:r>
              <w:rPr>
                <w:rFonts w:hint="eastAsia" w:ascii="宋体" w:hAnsi="宋体" w:cs="宋体"/>
                <w:color w:val="auto"/>
                <w:sz w:val="24"/>
                <w:highlight w:val="none"/>
              </w:rPr>
              <w:t>自合同签订之日起90个日历天内</w:t>
            </w:r>
          </w:p>
        </w:tc>
      </w:tr>
      <w:tr w14:paraId="3E98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1754543">
            <w:pPr>
              <w:pStyle w:val="31"/>
              <w:pBdr>
                <w:bottom w:val="none" w:color="auto" w:sz="0" w:space="0"/>
              </w:pBdr>
              <w:tabs>
                <w:tab w:val="clear" w:pos="4153"/>
                <w:tab w:val="clear" w:pos="8306"/>
              </w:tabs>
              <w:adjustRightInd/>
              <w:spacing w:line="440" w:lineRule="exact"/>
              <w:textAlignment w:val="auto"/>
              <w:rPr>
                <w:rFonts w:hint="eastAsia" w:ascii="宋体" w:hAnsi="宋体" w:cs="宋体"/>
                <w:b/>
                <w:color w:val="auto"/>
                <w:kern w:val="2"/>
                <w:szCs w:val="24"/>
                <w:highlight w:val="none"/>
              </w:rPr>
            </w:pPr>
            <w:r>
              <w:rPr>
                <w:rFonts w:hint="eastAsia" w:ascii="宋体" w:hAnsi="宋体" w:cs="宋体"/>
                <w:b/>
                <w:color w:val="auto"/>
                <w:kern w:val="2"/>
                <w:szCs w:val="24"/>
                <w:highlight w:val="none"/>
              </w:rPr>
              <w:t>9</w:t>
            </w:r>
          </w:p>
        </w:tc>
        <w:tc>
          <w:tcPr>
            <w:tcW w:w="1502" w:type="dxa"/>
            <w:vAlign w:val="center"/>
          </w:tcPr>
          <w:p w14:paraId="002DB9AE">
            <w:pPr>
              <w:pStyle w:val="31"/>
              <w:pBdr>
                <w:bottom w:val="none" w:color="auto" w:sz="0" w:space="0"/>
              </w:pBdr>
              <w:tabs>
                <w:tab w:val="clear" w:pos="4153"/>
                <w:tab w:val="clear" w:pos="8306"/>
              </w:tabs>
              <w:adjustRightInd/>
              <w:spacing w:line="440" w:lineRule="exact"/>
              <w:textAlignment w:val="auto"/>
              <w:rPr>
                <w:rFonts w:hint="eastAsia" w:ascii="宋体" w:hAnsi="宋体" w:cs="宋体"/>
                <w:color w:val="auto"/>
                <w:szCs w:val="24"/>
                <w:highlight w:val="none"/>
              </w:rPr>
            </w:pPr>
            <w:r>
              <w:rPr>
                <w:rFonts w:hint="eastAsia" w:ascii="宋体" w:hAnsi="宋体" w:cs="宋体"/>
                <w:bCs/>
                <w:color w:val="auto"/>
                <w:kern w:val="2"/>
                <w:szCs w:val="24"/>
                <w:highlight w:val="none"/>
              </w:rPr>
              <w:t>代理服务费</w:t>
            </w:r>
          </w:p>
        </w:tc>
        <w:tc>
          <w:tcPr>
            <w:tcW w:w="7308" w:type="dxa"/>
            <w:vAlign w:val="center"/>
          </w:tcPr>
          <w:p w14:paraId="6E83B832">
            <w:pPr>
              <w:pStyle w:val="31"/>
              <w:pBdr>
                <w:bottom w:val="none" w:color="auto" w:sz="0" w:space="0"/>
              </w:pBdr>
              <w:tabs>
                <w:tab w:val="clear" w:pos="4153"/>
                <w:tab w:val="clear" w:pos="8306"/>
              </w:tabs>
              <w:adjustRightInd/>
              <w:spacing w:line="440" w:lineRule="exact"/>
              <w:jc w:val="left"/>
              <w:textAlignment w:val="auto"/>
              <w:rPr>
                <w:rFonts w:hint="eastAsia" w:ascii="宋体" w:hAnsi="宋体" w:cs="宋体"/>
                <w:bCs/>
                <w:color w:val="auto"/>
                <w:szCs w:val="24"/>
                <w:highlight w:val="none"/>
                <w:lang w:val="en-US"/>
              </w:rPr>
            </w:pPr>
            <w:r>
              <w:rPr>
                <w:rFonts w:hint="eastAsia" w:ascii="宋体" w:hAnsi="宋体"/>
                <w:b/>
                <w:color w:val="auto"/>
                <w:kern w:val="2"/>
                <w:szCs w:val="24"/>
                <w:highlight w:val="none"/>
              </w:rPr>
              <w:t>本项目代理服务费和专家评审费由成交供应商支付</w:t>
            </w:r>
            <w:r>
              <w:rPr>
                <w:rFonts w:hint="eastAsia" w:ascii="宋体" w:hAnsi="宋体"/>
                <w:bCs/>
                <w:color w:val="auto"/>
                <w:kern w:val="2"/>
                <w:szCs w:val="24"/>
                <w:highlight w:val="none"/>
              </w:rPr>
              <w:t>，</w:t>
            </w:r>
            <w:r>
              <w:rPr>
                <w:rFonts w:hint="eastAsia" w:ascii="宋体" w:hAnsi="宋体"/>
                <w:b/>
                <w:color w:val="auto"/>
                <w:kern w:val="2"/>
                <w:szCs w:val="24"/>
                <w:highlight w:val="none"/>
              </w:rPr>
              <w:t>成交供应商在响应报价中需充分考虑，</w:t>
            </w:r>
            <w:r>
              <w:rPr>
                <w:rFonts w:hint="eastAsia" w:ascii="宋体" w:hAnsi="宋体"/>
                <w:bCs/>
                <w:color w:val="auto"/>
                <w:kern w:val="2"/>
                <w:szCs w:val="24"/>
                <w:highlight w:val="none"/>
              </w:rPr>
              <w:t>领取成交通知书前一次性支付。代理服务费</w:t>
            </w:r>
            <w:r>
              <w:rPr>
                <w:rFonts w:hint="eastAsia" w:ascii="宋体" w:hAnsi="宋体" w:cs="宋体"/>
                <w:bCs/>
                <w:color w:val="auto"/>
                <w:kern w:val="2"/>
                <w:szCs w:val="24"/>
                <w:highlight w:val="none"/>
              </w:rPr>
              <w:t>以成交金额为计算基础，参照原国家计委“计价格[2002]1980号”文件收费标准收取</w:t>
            </w:r>
            <w:r>
              <w:rPr>
                <w:rFonts w:hint="eastAsia" w:ascii="宋体" w:hAnsi="宋体"/>
                <w:bCs/>
                <w:color w:val="auto"/>
                <w:kern w:val="2"/>
                <w:szCs w:val="24"/>
                <w:highlight w:val="none"/>
              </w:rPr>
              <w:t>，</w:t>
            </w:r>
            <w:r>
              <w:rPr>
                <w:rFonts w:hint="eastAsia" w:ascii="宋体" w:hAnsi="宋体"/>
                <w:bCs/>
                <w:color w:val="auto"/>
                <w:szCs w:val="24"/>
                <w:highlight w:val="none"/>
              </w:rPr>
              <w:t>不足3000元的按3000元固定标准收费</w:t>
            </w:r>
            <w:r>
              <w:rPr>
                <w:rFonts w:hint="eastAsia" w:ascii="宋体" w:hAnsi="宋体"/>
                <w:bCs/>
                <w:color w:val="auto"/>
                <w:kern w:val="2"/>
                <w:szCs w:val="24"/>
                <w:highlight w:val="none"/>
              </w:rPr>
              <w:t>。</w:t>
            </w:r>
          </w:p>
        </w:tc>
      </w:tr>
      <w:tr w14:paraId="5E2D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1F8429EE">
            <w:pPr>
              <w:pStyle w:val="31"/>
              <w:pBdr>
                <w:bottom w:val="none" w:color="auto" w:sz="0" w:space="0"/>
              </w:pBdr>
              <w:tabs>
                <w:tab w:val="clear" w:pos="4153"/>
                <w:tab w:val="clear" w:pos="8306"/>
              </w:tabs>
              <w:adjustRightInd/>
              <w:spacing w:line="440" w:lineRule="exact"/>
              <w:textAlignment w:val="auto"/>
              <w:rPr>
                <w:rFonts w:hint="eastAsia" w:ascii="宋体" w:hAnsi="宋体" w:cs="宋体"/>
                <w:b/>
                <w:color w:val="auto"/>
                <w:kern w:val="2"/>
                <w:szCs w:val="24"/>
                <w:highlight w:val="none"/>
              </w:rPr>
            </w:pPr>
            <w:r>
              <w:rPr>
                <w:rFonts w:hint="eastAsia" w:ascii="宋体" w:hAnsi="宋体" w:cs="宋体"/>
                <w:b/>
                <w:color w:val="auto"/>
                <w:kern w:val="2"/>
                <w:szCs w:val="24"/>
                <w:highlight w:val="none"/>
              </w:rPr>
              <w:t>10</w:t>
            </w:r>
          </w:p>
        </w:tc>
        <w:tc>
          <w:tcPr>
            <w:tcW w:w="1502" w:type="dxa"/>
            <w:vAlign w:val="center"/>
          </w:tcPr>
          <w:p w14:paraId="328BB026">
            <w:pPr>
              <w:pStyle w:val="31"/>
              <w:pBdr>
                <w:bottom w:val="none" w:color="auto" w:sz="0" w:space="0"/>
              </w:pBdr>
              <w:tabs>
                <w:tab w:val="clear" w:pos="4153"/>
                <w:tab w:val="clear" w:pos="8306"/>
              </w:tabs>
              <w:adjustRightInd/>
              <w:spacing w:line="440" w:lineRule="exac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履约保证金</w:t>
            </w:r>
          </w:p>
        </w:tc>
        <w:tc>
          <w:tcPr>
            <w:tcW w:w="7308" w:type="dxa"/>
            <w:vAlign w:val="center"/>
          </w:tcPr>
          <w:p w14:paraId="54BE80D7">
            <w:pPr>
              <w:pStyle w:val="31"/>
              <w:pBdr>
                <w:bottom w:val="none" w:color="auto" w:sz="0" w:space="0"/>
              </w:pBdr>
              <w:tabs>
                <w:tab w:val="clear" w:pos="4153"/>
                <w:tab w:val="clear" w:pos="8306"/>
              </w:tabs>
              <w:adjustRightInd/>
              <w:spacing w:line="440" w:lineRule="exact"/>
              <w:jc w:val="left"/>
              <w:textAlignment w:val="auto"/>
              <w:rPr>
                <w:rFonts w:hint="eastAsia" w:ascii="宋体" w:hAnsi="宋体" w:cs="宋体"/>
                <w:color w:val="auto"/>
                <w:szCs w:val="24"/>
                <w:highlight w:val="none"/>
              </w:rPr>
            </w:pPr>
            <w:r>
              <w:rPr>
                <w:rFonts w:hint="eastAsia" w:ascii="宋体" w:hAnsi="宋体" w:cs="宋体"/>
                <w:color w:val="auto"/>
                <w:szCs w:val="24"/>
                <w:highlight w:val="none"/>
                <w:lang w:val="en-US"/>
              </w:rPr>
              <w:t>本项目不作要求。</w:t>
            </w:r>
          </w:p>
        </w:tc>
      </w:tr>
      <w:tr w14:paraId="7C9E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36348421">
            <w:pPr>
              <w:pStyle w:val="31"/>
              <w:pBdr>
                <w:bottom w:val="none" w:color="auto" w:sz="0" w:space="0"/>
              </w:pBdr>
              <w:tabs>
                <w:tab w:val="clear" w:pos="4153"/>
                <w:tab w:val="clear" w:pos="8306"/>
              </w:tabs>
              <w:adjustRightInd/>
              <w:spacing w:line="440" w:lineRule="exact"/>
              <w:textAlignment w:val="auto"/>
              <w:rPr>
                <w:rFonts w:hint="eastAsia" w:ascii="宋体" w:hAnsi="宋体" w:cs="宋体"/>
                <w:b/>
                <w:color w:val="auto"/>
                <w:kern w:val="2"/>
                <w:szCs w:val="24"/>
                <w:highlight w:val="none"/>
              </w:rPr>
            </w:pPr>
            <w:r>
              <w:rPr>
                <w:rFonts w:hint="eastAsia" w:ascii="宋体" w:hAnsi="宋体" w:cs="宋体"/>
                <w:b/>
                <w:color w:val="auto"/>
                <w:kern w:val="2"/>
                <w:szCs w:val="24"/>
                <w:highlight w:val="none"/>
              </w:rPr>
              <w:t>11</w:t>
            </w:r>
          </w:p>
        </w:tc>
        <w:tc>
          <w:tcPr>
            <w:tcW w:w="1502" w:type="dxa"/>
            <w:vAlign w:val="center"/>
          </w:tcPr>
          <w:p w14:paraId="11B1DA72">
            <w:pPr>
              <w:pStyle w:val="31"/>
              <w:pBdr>
                <w:bottom w:val="none" w:color="auto" w:sz="0" w:space="0"/>
              </w:pBdr>
              <w:tabs>
                <w:tab w:val="clear" w:pos="4153"/>
                <w:tab w:val="clear" w:pos="8306"/>
              </w:tabs>
              <w:adjustRightInd/>
              <w:spacing w:line="440" w:lineRule="exac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勘察及对接</w:t>
            </w:r>
          </w:p>
        </w:tc>
        <w:tc>
          <w:tcPr>
            <w:tcW w:w="7308" w:type="dxa"/>
            <w:vAlign w:val="center"/>
          </w:tcPr>
          <w:p w14:paraId="4503A1FC">
            <w:pPr>
              <w:pStyle w:val="31"/>
              <w:pBdr>
                <w:bottom w:val="none" w:color="auto" w:sz="0" w:space="0"/>
              </w:pBdr>
              <w:tabs>
                <w:tab w:val="clear" w:pos="4153"/>
                <w:tab w:val="clear" w:pos="8306"/>
              </w:tabs>
              <w:adjustRightInd/>
              <w:spacing w:line="400" w:lineRule="exact"/>
              <w:jc w:val="both"/>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请各供应商联系采购单位自行勘踏，采购人免费提供项目实施过程中各项对接协调服务。</w:t>
            </w:r>
          </w:p>
        </w:tc>
      </w:tr>
      <w:tr w14:paraId="00B5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14:paraId="2409C5C9">
            <w:pPr>
              <w:pStyle w:val="31"/>
              <w:pBdr>
                <w:bottom w:val="none" w:color="auto" w:sz="0" w:space="0"/>
              </w:pBdr>
              <w:tabs>
                <w:tab w:val="clear" w:pos="4153"/>
                <w:tab w:val="clear" w:pos="8306"/>
              </w:tabs>
              <w:adjustRightInd/>
              <w:spacing w:line="440" w:lineRule="exact"/>
              <w:textAlignment w:val="auto"/>
              <w:rPr>
                <w:rFonts w:hint="eastAsia" w:ascii="宋体" w:hAnsi="宋体" w:cs="宋体"/>
                <w:b/>
                <w:color w:val="auto"/>
                <w:kern w:val="2"/>
                <w:szCs w:val="24"/>
                <w:highlight w:val="none"/>
              </w:rPr>
            </w:pPr>
            <w:r>
              <w:rPr>
                <w:rFonts w:hint="eastAsia" w:ascii="宋体" w:hAnsi="宋体" w:cs="宋体"/>
                <w:b/>
                <w:color w:val="auto"/>
                <w:kern w:val="2"/>
                <w:szCs w:val="24"/>
                <w:highlight w:val="none"/>
              </w:rPr>
              <w:t>12</w:t>
            </w:r>
          </w:p>
        </w:tc>
        <w:tc>
          <w:tcPr>
            <w:tcW w:w="1502" w:type="dxa"/>
            <w:vAlign w:val="center"/>
          </w:tcPr>
          <w:p w14:paraId="2429F10A">
            <w:pPr>
              <w:pStyle w:val="31"/>
              <w:pBdr>
                <w:bottom w:val="none" w:color="auto" w:sz="0" w:space="0"/>
              </w:pBdr>
              <w:tabs>
                <w:tab w:val="clear" w:pos="4153"/>
                <w:tab w:val="clear" w:pos="8306"/>
              </w:tabs>
              <w:adjustRightInd/>
              <w:spacing w:line="440" w:lineRule="exac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提问与回复</w:t>
            </w:r>
          </w:p>
        </w:tc>
        <w:tc>
          <w:tcPr>
            <w:tcW w:w="7308" w:type="dxa"/>
            <w:vAlign w:val="center"/>
          </w:tcPr>
          <w:p w14:paraId="6E61A2EB">
            <w:pPr>
              <w:pStyle w:val="30"/>
              <w:widowControl w:val="0"/>
              <w:spacing w:before="0" w:beforeAutospacing="0" w:after="0" w:afterAutospacing="0" w:line="460" w:lineRule="exact"/>
              <w:jc w:val="both"/>
              <w:rPr>
                <w:rFonts w:hint="eastAsia" w:cs="宋体"/>
                <w:b w:val="0"/>
                <w:color w:val="auto"/>
                <w:kern w:val="2"/>
                <w:sz w:val="24"/>
                <w:szCs w:val="24"/>
                <w:highlight w:val="none"/>
              </w:rPr>
            </w:pPr>
            <w:r>
              <w:rPr>
                <w:rFonts w:hint="eastAsia" w:cs="宋体"/>
                <w:b w:val="0"/>
                <w:color w:val="auto"/>
                <w:kern w:val="2"/>
                <w:sz w:val="24"/>
                <w:szCs w:val="24"/>
                <w:highlight w:val="none"/>
              </w:rPr>
              <w:t>供应商应仔细阅读采购文件及采购需求，有任何疑问应以书面方式向采购人或采购代理机构提出澄清要求。</w:t>
            </w:r>
          </w:p>
          <w:p w14:paraId="15F435BA">
            <w:pPr>
              <w:pStyle w:val="31"/>
              <w:pBdr>
                <w:bottom w:val="none" w:color="auto" w:sz="0" w:space="0"/>
              </w:pBdr>
              <w:tabs>
                <w:tab w:val="clear" w:pos="4153"/>
                <w:tab w:val="clear" w:pos="8306"/>
              </w:tabs>
              <w:adjustRightInd/>
              <w:spacing w:line="440" w:lineRule="exact"/>
              <w:jc w:val="left"/>
              <w:textAlignment w:val="auto"/>
              <w:rPr>
                <w:rFonts w:hint="eastAsia" w:ascii="宋体" w:hAnsi="宋体" w:cs="宋体"/>
                <w:bCs/>
                <w:color w:val="auto"/>
                <w:kern w:val="2"/>
                <w:szCs w:val="24"/>
                <w:highlight w:val="none"/>
              </w:rPr>
            </w:pPr>
            <w:r>
              <w:rPr>
                <w:rFonts w:hint="eastAsia" w:ascii="宋体" w:hAnsi="宋体" w:cs="宋体"/>
                <w:color w:val="auto"/>
                <w:kern w:val="2"/>
                <w:szCs w:val="24"/>
                <w:highlight w:val="none"/>
              </w:rPr>
              <w:t>供应商请注意</w:t>
            </w:r>
            <w:r>
              <w:rPr>
                <w:rFonts w:hint="eastAsia" w:ascii="宋体" w:hAnsi="宋体" w:cs="宋体"/>
                <w:color w:val="auto"/>
                <w:kern w:val="2"/>
                <w:szCs w:val="24"/>
                <w:highlight w:val="none"/>
                <w:lang w:val="en-US"/>
              </w:rPr>
              <w:t>：</w:t>
            </w:r>
            <w:r>
              <w:rPr>
                <w:rFonts w:hint="eastAsia" w:ascii="宋体" w:hAnsi="宋体" w:cs="宋体"/>
                <w:color w:val="auto"/>
                <w:kern w:val="2"/>
                <w:szCs w:val="24"/>
                <w:highlight w:val="none"/>
              </w:rPr>
              <w:t>如需要</w:t>
            </w:r>
            <w:r>
              <w:rPr>
                <w:rFonts w:hint="eastAsia" w:ascii="宋体" w:hAnsi="宋体" w:cs="宋体"/>
                <w:color w:val="auto"/>
                <w:kern w:val="2"/>
                <w:szCs w:val="24"/>
                <w:highlight w:val="none"/>
                <w:lang w:val="en-US"/>
              </w:rPr>
              <w:t>，</w:t>
            </w:r>
            <w:r>
              <w:rPr>
                <w:rFonts w:hint="eastAsia" w:ascii="宋体" w:hAnsi="宋体" w:cs="宋体"/>
                <w:color w:val="auto"/>
                <w:kern w:val="2"/>
                <w:szCs w:val="24"/>
                <w:highlight w:val="none"/>
              </w:rPr>
              <w:t>采购人将以书面形式向所有供应商发布澄清文件</w:t>
            </w:r>
            <w:r>
              <w:rPr>
                <w:rFonts w:hint="eastAsia" w:ascii="宋体" w:hAnsi="宋体" w:cs="宋体"/>
                <w:color w:val="auto"/>
                <w:kern w:val="2"/>
                <w:szCs w:val="24"/>
                <w:highlight w:val="none"/>
                <w:lang w:val="en-US"/>
              </w:rPr>
              <w:t>，</w:t>
            </w:r>
            <w:r>
              <w:rPr>
                <w:rFonts w:hint="eastAsia" w:ascii="宋体" w:hAnsi="宋体" w:cs="宋体"/>
                <w:color w:val="auto"/>
                <w:kern w:val="2"/>
                <w:szCs w:val="24"/>
                <w:highlight w:val="none"/>
              </w:rPr>
              <w:t>该澄清文件内容为采购文件的组成部分</w:t>
            </w:r>
            <w:r>
              <w:rPr>
                <w:rFonts w:hint="eastAsia" w:ascii="宋体" w:hAnsi="宋体" w:cs="宋体"/>
                <w:color w:val="auto"/>
                <w:kern w:val="2"/>
                <w:szCs w:val="24"/>
                <w:highlight w:val="none"/>
                <w:lang w:val="en-US"/>
              </w:rPr>
              <w:t>，</w:t>
            </w:r>
            <w:r>
              <w:rPr>
                <w:rFonts w:hint="eastAsia" w:ascii="宋体" w:hAnsi="宋体" w:cs="宋体"/>
                <w:color w:val="auto"/>
                <w:kern w:val="2"/>
                <w:szCs w:val="24"/>
                <w:highlight w:val="none"/>
              </w:rPr>
              <w:t>对响应供应商具有同样约束力。</w:t>
            </w:r>
          </w:p>
        </w:tc>
      </w:tr>
      <w:tr w14:paraId="7067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C58B0DF">
            <w:pPr>
              <w:pStyle w:val="31"/>
              <w:pBdr>
                <w:bottom w:val="none" w:color="auto" w:sz="0" w:space="0"/>
              </w:pBdr>
              <w:tabs>
                <w:tab w:val="clear" w:pos="4153"/>
                <w:tab w:val="clear" w:pos="8306"/>
              </w:tabs>
              <w:adjustRightInd/>
              <w:spacing w:line="440" w:lineRule="exact"/>
              <w:textAlignment w:val="auto"/>
              <w:rPr>
                <w:rFonts w:hint="eastAsia" w:ascii="宋体" w:hAnsi="宋体" w:cs="宋体"/>
                <w:b/>
                <w:color w:val="auto"/>
                <w:kern w:val="2"/>
                <w:szCs w:val="24"/>
                <w:highlight w:val="none"/>
              </w:rPr>
            </w:pPr>
            <w:r>
              <w:rPr>
                <w:rFonts w:hint="eastAsia" w:ascii="宋体" w:hAnsi="宋体" w:cs="宋体"/>
                <w:b/>
                <w:color w:val="auto"/>
                <w:kern w:val="2"/>
                <w:szCs w:val="24"/>
                <w:highlight w:val="none"/>
              </w:rPr>
              <w:t>13</w:t>
            </w:r>
          </w:p>
        </w:tc>
        <w:tc>
          <w:tcPr>
            <w:tcW w:w="1502" w:type="dxa"/>
            <w:vAlign w:val="center"/>
          </w:tcPr>
          <w:p w14:paraId="5BDDC6D5">
            <w:pPr>
              <w:pStyle w:val="31"/>
              <w:pBdr>
                <w:bottom w:val="none" w:color="auto" w:sz="0" w:space="0"/>
              </w:pBdr>
              <w:tabs>
                <w:tab w:val="clear" w:pos="4153"/>
                <w:tab w:val="clear" w:pos="8306"/>
              </w:tabs>
              <w:adjustRightInd/>
              <w:spacing w:line="440" w:lineRule="exac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响应文件份数及要求</w:t>
            </w:r>
          </w:p>
        </w:tc>
        <w:tc>
          <w:tcPr>
            <w:tcW w:w="7308" w:type="dxa"/>
            <w:vAlign w:val="center"/>
          </w:tcPr>
          <w:p w14:paraId="2090FFCD">
            <w:pPr>
              <w:pStyle w:val="31"/>
              <w:pBdr>
                <w:bottom w:val="none" w:color="auto" w:sz="0" w:space="0"/>
              </w:pBdr>
              <w:tabs>
                <w:tab w:val="clear" w:pos="4153"/>
                <w:tab w:val="clear" w:pos="8306"/>
              </w:tabs>
              <w:adjustRightInd/>
              <w:spacing w:line="460" w:lineRule="exact"/>
              <w:jc w:val="left"/>
              <w:rPr>
                <w:rFonts w:hint="eastAsia" w:ascii="宋体" w:hAnsi="宋体" w:cs="宋体"/>
                <w:color w:val="auto"/>
                <w:highlight w:val="none"/>
              </w:rPr>
            </w:pPr>
            <w:r>
              <w:rPr>
                <w:rFonts w:hint="eastAsia" w:ascii="宋体" w:hAnsi="宋体" w:cs="宋体"/>
                <w:bCs/>
                <w:color w:val="auto"/>
                <w:kern w:val="2"/>
                <w:szCs w:val="24"/>
                <w:highlight w:val="none"/>
              </w:rPr>
              <w:t>1、</w:t>
            </w:r>
            <w:r>
              <w:rPr>
                <w:rFonts w:hint="eastAsia" w:ascii="宋体" w:hAnsi="宋体" w:cs="宋体"/>
                <w:color w:val="auto"/>
                <w:highlight w:val="none"/>
              </w:rPr>
              <w:t>响应文件一式3份。其中，正本1份、副本2份。当响应文件正本和副本内容不一致时，以正本内容为准，供应商应无异议，否则作无效响应文件处理。响应文件胶装成册。</w:t>
            </w:r>
          </w:p>
          <w:p w14:paraId="7FB5E42B">
            <w:pPr>
              <w:pStyle w:val="31"/>
              <w:pBdr>
                <w:bottom w:val="none" w:color="auto" w:sz="0" w:space="0"/>
              </w:pBdr>
              <w:tabs>
                <w:tab w:val="clear" w:pos="4153"/>
                <w:tab w:val="clear" w:pos="8306"/>
              </w:tabs>
              <w:adjustRightInd/>
              <w:spacing w:line="460" w:lineRule="exact"/>
              <w:jc w:val="left"/>
              <w:rPr>
                <w:rFonts w:hint="eastAsia" w:ascii="宋体" w:hAnsi="宋体" w:cs="宋体"/>
                <w:bCs/>
                <w:color w:val="auto"/>
                <w:kern w:val="2"/>
                <w:szCs w:val="24"/>
                <w:highlight w:val="none"/>
              </w:rPr>
            </w:pPr>
            <w:r>
              <w:rPr>
                <w:rFonts w:hint="eastAsia" w:ascii="宋体" w:hAnsi="宋体" w:cs="宋体"/>
                <w:color w:val="auto"/>
                <w:highlight w:val="none"/>
                <w:lang w:val="en-US"/>
              </w:rPr>
              <w:t>2</w:t>
            </w:r>
            <w:r>
              <w:rPr>
                <w:rFonts w:hint="eastAsia" w:ascii="宋体" w:hAnsi="宋体" w:cs="宋体"/>
                <w:color w:val="auto"/>
                <w:highlight w:val="none"/>
              </w:rPr>
              <w:t>、供应商应将响应文件密封递交，并在封袋上加盖供应商公章。</w:t>
            </w:r>
          </w:p>
        </w:tc>
      </w:tr>
      <w:tr w14:paraId="79E6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7E885DA0">
            <w:pPr>
              <w:pStyle w:val="31"/>
              <w:pBdr>
                <w:bottom w:val="none" w:color="auto" w:sz="0" w:space="0"/>
              </w:pBdr>
              <w:tabs>
                <w:tab w:val="clear" w:pos="4153"/>
                <w:tab w:val="clear" w:pos="8306"/>
              </w:tabs>
              <w:adjustRightInd/>
              <w:spacing w:line="440" w:lineRule="exact"/>
              <w:textAlignment w:val="auto"/>
              <w:rPr>
                <w:rFonts w:hint="eastAsia" w:ascii="宋体" w:hAnsi="宋体" w:cs="宋体"/>
                <w:b/>
                <w:color w:val="auto"/>
                <w:kern w:val="2"/>
                <w:szCs w:val="24"/>
                <w:highlight w:val="none"/>
              </w:rPr>
            </w:pPr>
            <w:r>
              <w:rPr>
                <w:rFonts w:hint="eastAsia" w:ascii="宋体" w:hAnsi="宋体" w:cs="宋体"/>
                <w:b/>
                <w:color w:val="auto"/>
                <w:kern w:val="2"/>
                <w:szCs w:val="24"/>
                <w:highlight w:val="none"/>
              </w:rPr>
              <w:t>14</w:t>
            </w:r>
          </w:p>
        </w:tc>
        <w:tc>
          <w:tcPr>
            <w:tcW w:w="1502" w:type="dxa"/>
            <w:vAlign w:val="center"/>
          </w:tcPr>
          <w:p w14:paraId="46C88A3B">
            <w:pPr>
              <w:pStyle w:val="31"/>
              <w:pBdr>
                <w:bottom w:val="none" w:color="auto" w:sz="0" w:space="0"/>
              </w:pBdr>
              <w:tabs>
                <w:tab w:val="clear" w:pos="4153"/>
                <w:tab w:val="clear" w:pos="8306"/>
              </w:tabs>
              <w:adjustRightInd/>
              <w:spacing w:line="440" w:lineRule="exac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递交响应文件注意事项</w:t>
            </w:r>
          </w:p>
        </w:tc>
        <w:tc>
          <w:tcPr>
            <w:tcW w:w="7308" w:type="dxa"/>
            <w:vAlign w:val="center"/>
          </w:tcPr>
          <w:p w14:paraId="724EE15A">
            <w:pPr>
              <w:pStyle w:val="31"/>
              <w:pBdr>
                <w:bottom w:val="none" w:color="auto" w:sz="0" w:space="0"/>
              </w:pBdr>
              <w:tabs>
                <w:tab w:val="clear" w:pos="4153"/>
                <w:tab w:val="clear" w:pos="8306"/>
              </w:tabs>
              <w:adjustRightInd/>
              <w:spacing w:line="440" w:lineRule="exact"/>
              <w:jc w:val="lef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响应文件必须在响应截止时间前现场递交。</w:t>
            </w:r>
          </w:p>
        </w:tc>
      </w:tr>
      <w:tr w14:paraId="7697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54" w:hRule="atLeast"/>
          <w:jc w:val="center"/>
        </w:trPr>
        <w:tc>
          <w:tcPr>
            <w:tcW w:w="804" w:type="dxa"/>
            <w:vAlign w:val="center"/>
          </w:tcPr>
          <w:p w14:paraId="73FBAADD">
            <w:pPr>
              <w:pStyle w:val="31"/>
              <w:pBdr>
                <w:bottom w:val="none" w:color="auto" w:sz="0" w:space="0"/>
              </w:pBdr>
              <w:tabs>
                <w:tab w:val="clear" w:pos="4153"/>
                <w:tab w:val="clear" w:pos="8306"/>
              </w:tabs>
              <w:adjustRightInd/>
              <w:spacing w:line="440" w:lineRule="exact"/>
              <w:textAlignment w:val="auto"/>
              <w:rPr>
                <w:rFonts w:hint="eastAsia" w:ascii="宋体" w:hAnsi="宋体" w:cs="宋体"/>
                <w:b/>
                <w:color w:val="auto"/>
                <w:kern w:val="2"/>
                <w:szCs w:val="24"/>
                <w:highlight w:val="none"/>
              </w:rPr>
            </w:pPr>
            <w:r>
              <w:rPr>
                <w:rFonts w:hint="eastAsia" w:ascii="宋体" w:hAnsi="宋体" w:cs="宋体"/>
                <w:b/>
                <w:color w:val="auto"/>
                <w:kern w:val="2"/>
                <w:szCs w:val="24"/>
                <w:highlight w:val="none"/>
              </w:rPr>
              <w:t>15</w:t>
            </w:r>
          </w:p>
        </w:tc>
        <w:tc>
          <w:tcPr>
            <w:tcW w:w="1502" w:type="dxa"/>
            <w:vAlign w:val="center"/>
          </w:tcPr>
          <w:p w14:paraId="73F53F74">
            <w:pPr>
              <w:pStyle w:val="31"/>
              <w:pBdr>
                <w:bottom w:val="none" w:color="auto" w:sz="0" w:space="0"/>
              </w:pBdr>
              <w:tabs>
                <w:tab w:val="clear" w:pos="4153"/>
                <w:tab w:val="clear" w:pos="8306"/>
              </w:tabs>
              <w:adjustRightInd/>
              <w:spacing w:line="440" w:lineRule="exac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备注一</w:t>
            </w:r>
          </w:p>
        </w:tc>
        <w:tc>
          <w:tcPr>
            <w:tcW w:w="7308" w:type="dxa"/>
            <w:vAlign w:val="center"/>
          </w:tcPr>
          <w:p w14:paraId="53465C94">
            <w:pPr>
              <w:pStyle w:val="31"/>
              <w:pBdr>
                <w:bottom w:val="none" w:color="auto" w:sz="0" w:space="0"/>
              </w:pBdr>
              <w:tabs>
                <w:tab w:val="clear" w:pos="4153"/>
                <w:tab w:val="clear" w:pos="8306"/>
              </w:tabs>
              <w:adjustRightInd/>
              <w:spacing w:line="420" w:lineRule="exact"/>
              <w:jc w:val="lef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1、存在以下不良信用记录情形之一的，不得推荐为成交候选供应商,评审时磋商小组应当按照下列第3条不良信用记录查询渠道对供应商是否存在不良信用记录进行查询：</w:t>
            </w:r>
          </w:p>
          <w:p w14:paraId="0E4EE9F0">
            <w:pPr>
              <w:pStyle w:val="31"/>
              <w:pBdr>
                <w:bottom w:val="none" w:color="auto" w:sz="0" w:space="0"/>
              </w:pBdr>
              <w:tabs>
                <w:tab w:val="clear" w:pos="4153"/>
                <w:tab w:val="clear" w:pos="8306"/>
              </w:tabs>
              <w:adjustRightInd/>
              <w:spacing w:line="420" w:lineRule="exact"/>
              <w:jc w:val="lef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（1）供应商被人民法院列入失信被执行人的；</w:t>
            </w:r>
          </w:p>
          <w:p w14:paraId="15623345">
            <w:pPr>
              <w:pStyle w:val="31"/>
              <w:pBdr>
                <w:bottom w:val="none" w:color="auto" w:sz="0" w:space="0"/>
              </w:pBdr>
              <w:tabs>
                <w:tab w:val="clear" w:pos="4153"/>
                <w:tab w:val="clear" w:pos="8306"/>
              </w:tabs>
              <w:adjustRightInd/>
              <w:spacing w:line="420" w:lineRule="exact"/>
              <w:jc w:val="lef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（2）供应商被市场监督管理部门列入企业经营异常名录的；</w:t>
            </w:r>
          </w:p>
          <w:p w14:paraId="12BA59B6">
            <w:pPr>
              <w:pStyle w:val="31"/>
              <w:pBdr>
                <w:bottom w:val="none" w:color="auto" w:sz="0" w:space="0"/>
              </w:pBdr>
              <w:tabs>
                <w:tab w:val="clear" w:pos="4153"/>
                <w:tab w:val="clear" w:pos="8306"/>
              </w:tabs>
              <w:adjustRightInd/>
              <w:spacing w:line="420" w:lineRule="exact"/>
              <w:jc w:val="lef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（3）供应商被税务部门列入重大税收违法案件当事人名单的；</w:t>
            </w:r>
          </w:p>
          <w:p w14:paraId="52259814">
            <w:pPr>
              <w:pStyle w:val="31"/>
              <w:pBdr>
                <w:bottom w:val="none" w:color="auto" w:sz="0" w:space="0"/>
              </w:pBdr>
              <w:tabs>
                <w:tab w:val="clear" w:pos="4153"/>
                <w:tab w:val="clear" w:pos="8306"/>
              </w:tabs>
              <w:adjustRightInd/>
              <w:spacing w:line="420" w:lineRule="exact"/>
              <w:jc w:val="lef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（4）供应商被监管部门列入严重违法失信行为记录名单的。</w:t>
            </w:r>
          </w:p>
          <w:p w14:paraId="774D5E05">
            <w:pPr>
              <w:pStyle w:val="31"/>
              <w:pBdr>
                <w:bottom w:val="none" w:color="auto" w:sz="0" w:space="0"/>
              </w:pBdr>
              <w:tabs>
                <w:tab w:val="clear" w:pos="4153"/>
                <w:tab w:val="clear" w:pos="8306"/>
              </w:tabs>
              <w:adjustRightInd/>
              <w:spacing w:line="420" w:lineRule="exact"/>
              <w:jc w:val="lef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2、联合体供应商，联合体任何一方存在上述不良信用记录的，视同联合体存在不良信用记录。</w:t>
            </w:r>
          </w:p>
          <w:p w14:paraId="79EB0F06">
            <w:pPr>
              <w:pStyle w:val="31"/>
              <w:pBdr>
                <w:bottom w:val="none" w:color="auto" w:sz="0" w:space="0"/>
              </w:pBdr>
              <w:tabs>
                <w:tab w:val="clear" w:pos="4153"/>
                <w:tab w:val="clear" w:pos="8306"/>
              </w:tabs>
              <w:adjustRightInd/>
              <w:spacing w:line="420" w:lineRule="exact"/>
              <w:jc w:val="lef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3、不良信用记录查询渠道如下：</w:t>
            </w:r>
          </w:p>
          <w:p w14:paraId="4FB6B07C">
            <w:pPr>
              <w:pStyle w:val="31"/>
              <w:pBdr>
                <w:bottom w:val="none" w:color="auto" w:sz="0" w:space="0"/>
              </w:pBdr>
              <w:tabs>
                <w:tab w:val="clear" w:pos="4153"/>
                <w:tab w:val="clear" w:pos="8306"/>
              </w:tabs>
              <w:adjustRightInd/>
              <w:spacing w:line="420" w:lineRule="exact"/>
              <w:jc w:val="lef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（1）失信被执行人：信用中国官网（www.creditchina.gov.cn）</w:t>
            </w:r>
          </w:p>
          <w:p w14:paraId="62B2A62F">
            <w:pPr>
              <w:pStyle w:val="31"/>
              <w:pBdr>
                <w:bottom w:val="none" w:color="auto" w:sz="0" w:space="0"/>
              </w:pBdr>
              <w:tabs>
                <w:tab w:val="clear" w:pos="4153"/>
                <w:tab w:val="clear" w:pos="8306"/>
              </w:tabs>
              <w:adjustRightInd/>
              <w:spacing w:line="420" w:lineRule="exact"/>
              <w:jc w:val="lef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（2）企业经营异常名录：信用中国官网（www.creditchina.gov.cn）</w:t>
            </w:r>
          </w:p>
          <w:p w14:paraId="79F634C6">
            <w:pPr>
              <w:pStyle w:val="31"/>
              <w:pBdr>
                <w:bottom w:val="none" w:color="auto" w:sz="0" w:space="0"/>
              </w:pBdr>
              <w:tabs>
                <w:tab w:val="clear" w:pos="4153"/>
                <w:tab w:val="clear" w:pos="8306"/>
              </w:tabs>
              <w:adjustRightInd/>
              <w:spacing w:line="420" w:lineRule="exact"/>
              <w:jc w:val="lef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（3）重大税收违法案件当事人名单：信用中国官网（www.creditchina.gov.cn）</w:t>
            </w:r>
          </w:p>
          <w:p w14:paraId="3A3802A5">
            <w:pPr>
              <w:pStyle w:val="31"/>
              <w:pBdr>
                <w:bottom w:val="none" w:color="auto" w:sz="0" w:space="0"/>
              </w:pBdr>
              <w:tabs>
                <w:tab w:val="clear" w:pos="4153"/>
                <w:tab w:val="clear" w:pos="8306"/>
              </w:tabs>
              <w:adjustRightInd/>
              <w:spacing w:line="440" w:lineRule="exact"/>
              <w:jc w:val="lef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（4）严重违法失信行为记录名单：中国政府采购官网（www.ccgp.gov.cn）</w:t>
            </w:r>
          </w:p>
        </w:tc>
      </w:tr>
      <w:tr w14:paraId="1F87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70537FC5">
            <w:pPr>
              <w:pStyle w:val="31"/>
              <w:pBdr>
                <w:bottom w:val="none" w:color="auto" w:sz="0" w:space="0"/>
              </w:pBdr>
              <w:tabs>
                <w:tab w:val="clear" w:pos="4153"/>
                <w:tab w:val="clear" w:pos="8306"/>
              </w:tabs>
              <w:adjustRightInd/>
              <w:spacing w:line="440" w:lineRule="exact"/>
              <w:textAlignment w:val="auto"/>
              <w:rPr>
                <w:rFonts w:hint="eastAsia" w:ascii="宋体" w:hAnsi="宋体" w:cs="宋体"/>
                <w:b/>
                <w:color w:val="auto"/>
                <w:kern w:val="2"/>
                <w:szCs w:val="24"/>
                <w:highlight w:val="none"/>
              </w:rPr>
            </w:pPr>
            <w:r>
              <w:rPr>
                <w:rFonts w:hint="eastAsia" w:ascii="宋体" w:hAnsi="宋体" w:cs="宋体"/>
                <w:b/>
                <w:color w:val="auto"/>
                <w:kern w:val="2"/>
                <w:szCs w:val="24"/>
                <w:highlight w:val="none"/>
              </w:rPr>
              <w:t>16</w:t>
            </w:r>
          </w:p>
        </w:tc>
        <w:tc>
          <w:tcPr>
            <w:tcW w:w="1502" w:type="dxa"/>
            <w:vAlign w:val="center"/>
          </w:tcPr>
          <w:p w14:paraId="58FA9004">
            <w:pPr>
              <w:pStyle w:val="31"/>
              <w:pBdr>
                <w:bottom w:val="none" w:color="auto" w:sz="0" w:space="0"/>
              </w:pBdr>
              <w:tabs>
                <w:tab w:val="clear" w:pos="4153"/>
                <w:tab w:val="clear" w:pos="8306"/>
              </w:tabs>
              <w:adjustRightInd/>
              <w:spacing w:line="440" w:lineRule="exac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备注二</w:t>
            </w:r>
          </w:p>
        </w:tc>
        <w:tc>
          <w:tcPr>
            <w:tcW w:w="7308" w:type="dxa"/>
            <w:vAlign w:val="center"/>
          </w:tcPr>
          <w:p w14:paraId="44021F54">
            <w:pPr>
              <w:pStyle w:val="31"/>
              <w:pBdr>
                <w:bottom w:val="none" w:color="auto" w:sz="0" w:space="0"/>
              </w:pBdr>
              <w:tabs>
                <w:tab w:val="clear" w:pos="4153"/>
                <w:tab w:val="clear" w:pos="8306"/>
              </w:tabs>
              <w:adjustRightInd/>
              <w:spacing w:line="440" w:lineRule="exact"/>
              <w:jc w:val="left"/>
              <w:textAlignment w:val="auto"/>
              <w:rPr>
                <w:rFonts w:hint="eastAsia" w:ascii="宋体" w:hAnsi="宋体" w:cs="宋体"/>
                <w:bCs/>
                <w:color w:val="auto"/>
                <w:kern w:val="2"/>
                <w:szCs w:val="24"/>
                <w:highlight w:val="none"/>
              </w:rPr>
            </w:pPr>
            <w:r>
              <w:rPr>
                <w:rFonts w:hint="eastAsia" w:ascii="宋体" w:hAnsi="宋体" w:cs="宋体"/>
                <w:bCs/>
                <w:color w:val="auto"/>
                <w:kern w:val="2"/>
                <w:szCs w:val="24"/>
                <w:highlight w:val="none"/>
              </w:rPr>
              <w:t>特别提醒：供应商参与</w:t>
            </w:r>
            <w:r>
              <w:rPr>
                <w:rFonts w:hint="eastAsia" w:ascii="宋体" w:hAnsi="宋体" w:cs="宋体"/>
                <w:bCs/>
                <w:color w:val="auto"/>
                <w:kern w:val="2"/>
                <w:szCs w:val="24"/>
                <w:highlight w:val="none"/>
                <w:lang w:val="en-US"/>
              </w:rPr>
              <w:t>采购活动</w:t>
            </w:r>
            <w:r>
              <w:rPr>
                <w:rFonts w:hint="eastAsia" w:ascii="宋体" w:hAnsi="宋体" w:cs="宋体"/>
                <w:bCs/>
                <w:color w:val="auto"/>
                <w:kern w:val="2"/>
                <w:szCs w:val="24"/>
                <w:highlight w:val="none"/>
              </w:rPr>
              <w:t>，应当诚信守法、公平竞争。如有以提供虚假材料（包括但不限于虚假技术参数响应、虚假业绩、虚假证书、虚假检测报告等）、串通投标、隐瞒失信信息等谋取中标的行为，一经发现，将报监管部门严肃查处。</w:t>
            </w:r>
          </w:p>
        </w:tc>
      </w:tr>
    </w:tbl>
    <w:p w14:paraId="5DB66264">
      <w:pPr>
        <w:rPr>
          <w:rFonts w:hint="eastAsia" w:ascii="宋体" w:hAnsi="宋体" w:cs="宋体"/>
          <w:color w:val="auto"/>
          <w:szCs w:val="24"/>
          <w:highlight w:val="none"/>
        </w:rPr>
      </w:pPr>
    </w:p>
    <w:p w14:paraId="0AFC29F6">
      <w:pPr>
        <w:pStyle w:val="5"/>
        <w:spacing w:before="20" w:after="20"/>
        <w:ind w:firstLine="241" w:firstLineChars="100"/>
        <w:jc w:val="center"/>
        <w:rPr>
          <w:rFonts w:hint="eastAsia" w:ascii="宋体" w:hAnsi="宋体" w:eastAsia="宋体" w:cs="宋体"/>
          <w:color w:val="auto"/>
          <w:sz w:val="24"/>
          <w:szCs w:val="24"/>
          <w:highlight w:val="none"/>
        </w:rPr>
      </w:pPr>
    </w:p>
    <w:p w14:paraId="7923E1D0">
      <w:pPr>
        <w:jc w:val="center"/>
        <w:rPr>
          <w:rFonts w:hint="eastAsia" w:ascii="宋体" w:hAnsi="宋体" w:cs="宋体"/>
          <w:b/>
          <w:bCs/>
          <w:color w:val="auto"/>
          <w:sz w:val="24"/>
          <w:szCs w:val="24"/>
          <w:highlight w:val="none"/>
        </w:rPr>
      </w:pPr>
      <w:bookmarkStart w:id="59" w:name="_Toc14333"/>
    </w:p>
    <w:p w14:paraId="3A0DD9F0">
      <w:pPr>
        <w:jc w:val="center"/>
        <w:rPr>
          <w:rFonts w:hint="eastAsia" w:ascii="宋体" w:hAnsi="宋体" w:cs="宋体"/>
          <w:b/>
          <w:bCs/>
          <w:color w:val="auto"/>
          <w:sz w:val="24"/>
          <w:szCs w:val="24"/>
          <w:highlight w:val="none"/>
        </w:rPr>
      </w:pPr>
    </w:p>
    <w:p w14:paraId="1A5B0738">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39CA0313">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（二）供应商资格</w:t>
      </w:r>
      <w:bookmarkEnd w:id="59"/>
    </w:p>
    <w:bookmarkEnd w:id="56"/>
    <w:p w14:paraId="6E83054F">
      <w:pPr>
        <w:pStyle w:val="2"/>
        <w:spacing w:line="520" w:lineRule="exact"/>
        <w:ind w:firstLine="480" w:firstLineChars="200"/>
        <w:rPr>
          <w:rFonts w:hint="eastAsia" w:ascii="宋体" w:hAnsi="宋体" w:cs="宋体"/>
          <w:color w:val="auto"/>
          <w:highlight w:val="none"/>
        </w:rPr>
      </w:pPr>
      <w:bookmarkStart w:id="60" w:name="_Toc438648662"/>
      <w:bookmarkStart w:id="61" w:name="_Toc216158625"/>
      <w:bookmarkStart w:id="62" w:name="_Toc363199266"/>
      <w:r>
        <w:rPr>
          <w:rFonts w:hint="eastAsia" w:ascii="宋体" w:hAnsi="宋体" w:cs="宋体"/>
          <w:color w:val="auto"/>
          <w:highlight w:val="none"/>
        </w:rPr>
        <w:t>见本项目采购公告</w:t>
      </w:r>
    </w:p>
    <w:p w14:paraId="4CA5ECA7">
      <w:pPr>
        <w:pStyle w:val="5"/>
        <w:spacing w:before="120" w:beforeLines="50" w:after="120" w:afterLines="50" w:line="520" w:lineRule="exact"/>
        <w:jc w:val="center"/>
        <w:rPr>
          <w:rFonts w:hint="eastAsia" w:ascii="宋体" w:hAnsi="宋体" w:eastAsia="宋体" w:cs="宋体"/>
          <w:color w:val="auto"/>
          <w:sz w:val="24"/>
          <w:szCs w:val="24"/>
          <w:highlight w:val="none"/>
        </w:rPr>
      </w:pPr>
      <w:bookmarkStart w:id="63" w:name="_Toc9435"/>
      <w:r>
        <w:rPr>
          <w:rFonts w:hint="eastAsia" w:ascii="宋体" w:hAnsi="宋体" w:eastAsia="宋体" w:cs="宋体"/>
          <w:color w:val="auto"/>
          <w:sz w:val="24"/>
          <w:szCs w:val="24"/>
          <w:highlight w:val="none"/>
        </w:rPr>
        <w:t>（三）供应商必须提交的响应文件内容</w:t>
      </w:r>
      <w:bookmarkEnd w:id="60"/>
      <w:bookmarkEnd w:id="61"/>
      <w:bookmarkEnd w:id="62"/>
      <w:bookmarkEnd w:id="63"/>
    </w:p>
    <w:p w14:paraId="5ED07553">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1、报价单；</w:t>
      </w:r>
    </w:p>
    <w:p w14:paraId="720882DA">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2、供应商基本信息；</w:t>
      </w:r>
    </w:p>
    <w:p w14:paraId="03D3D288">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3、磋商授权书；</w:t>
      </w:r>
    </w:p>
    <w:p w14:paraId="13C6D991">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4、磋商响应函；</w:t>
      </w:r>
    </w:p>
    <w:p w14:paraId="512D6EC2">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5、无重大违法记录声明函、无不良信用记录承诺函；</w:t>
      </w:r>
    </w:p>
    <w:p w14:paraId="04C68C69">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6、响应情况表；</w:t>
      </w:r>
    </w:p>
    <w:p w14:paraId="24D31CFA">
      <w:pPr>
        <w:spacing w:line="520" w:lineRule="exact"/>
        <w:ind w:firstLine="480" w:firstLineChars="200"/>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7、磋商文件要求和供应商认为需要提供的其它说明和资料。</w:t>
      </w:r>
    </w:p>
    <w:p w14:paraId="6F9F9485">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AAC80F8">
      <w:pPr>
        <w:pStyle w:val="5"/>
        <w:spacing w:before="120" w:beforeLines="50" w:after="120" w:afterLines="50" w:line="520" w:lineRule="exact"/>
        <w:jc w:val="center"/>
        <w:rPr>
          <w:rFonts w:hint="eastAsia" w:ascii="宋体" w:hAnsi="宋体" w:eastAsia="宋体" w:cs="宋体"/>
          <w:color w:val="auto"/>
          <w:sz w:val="24"/>
          <w:szCs w:val="24"/>
          <w:highlight w:val="none"/>
        </w:rPr>
      </w:pPr>
      <w:bookmarkStart w:id="64" w:name="_Toc9883"/>
      <w:r>
        <w:rPr>
          <w:rFonts w:hint="eastAsia" w:ascii="宋体" w:hAnsi="宋体" w:eastAsia="宋体" w:cs="宋体"/>
          <w:color w:val="auto"/>
          <w:sz w:val="24"/>
          <w:szCs w:val="24"/>
          <w:highlight w:val="none"/>
        </w:rPr>
        <w:t>（四）响应文件的提交</w:t>
      </w:r>
      <w:bookmarkEnd w:id="64"/>
    </w:p>
    <w:bookmarkEnd w:id="57"/>
    <w:bookmarkEnd w:id="58"/>
    <w:p w14:paraId="646024E3">
      <w:pPr>
        <w:spacing w:line="500" w:lineRule="exact"/>
        <w:ind w:firstLine="482" w:firstLineChars="200"/>
        <w:rPr>
          <w:rFonts w:hint="eastAsia" w:ascii="宋体" w:hAnsi="宋体" w:cs="宋体"/>
          <w:b/>
          <w:color w:val="auto"/>
          <w:sz w:val="24"/>
          <w:szCs w:val="24"/>
          <w:highlight w:val="none"/>
        </w:rPr>
      </w:pPr>
      <w:bookmarkStart w:id="65" w:name="_Toc32682"/>
      <w:bookmarkStart w:id="66" w:name="_Toc15950"/>
      <w:r>
        <w:rPr>
          <w:rFonts w:hint="eastAsia" w:ascii="宋体" w:hAnsi="宋体" w:cs="宋体"/>
          <w:b/>
          <w:color w:val="auto"/>
          <w:sz w:val="24"/>
          <w:szCs w:val="24"/>
          <w:highlight w:val="none"/>
        </w:rPr>
        <w:t>1、响应文件的装订</w:t>
      </w:r>
    </w:p>
    <w:p w14:paraId="199D66F4">
      <w:pPr>
        <w:spacing w:line="5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详见须知前附表</w:t>
      </w:r>
    </w:p>
    <w:p w14:paraId="5DAAE69F">
      <w:pPr>
        <w:spacing w:line="5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2、响应文件的提交</w:t>
      </w:r>
    </w:p>
    <w:p w14:paraId="4C148229">
      <w:pPr>
        <w:spacing w:line="5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详见须知前附表</w:t>
      </w:r>
    </w:p>
    <w:p w14:paraId="4978C0D7">
      <w:pPr>
        <w:pStyle w:val="5"/>
        <w:spacing w:before="120" w:beforeLines="50" w:after="120" w:afterLines="50"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（五）磋商程序</w:t>
      </w:r>
      <w:bookmarkEnd w:id="65"/>
      <w:bookmarkEnd w:id="66"/>
    </w:p>
    <w:p w14:paraId="7BFBE02A">
      <w:pPr>
        <w:tabs>
          <w:tab w:val="left" w:pos="900"/>
        </w:tabs>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1、磋商人员是按规定组成的三人或三人以上的磋商小组。</w:t>
      </w:r>
    </w:p>
    <w:p w14:paraId="6AD858E5">
      <w:pPr>
        <w:tabs>
          <w:tab w:val="left" w:pos="900"/>
        </w:tabs>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2、在掌握了供应商的基本情况后，磋商小组与供应商分别进行磋商。</w:t>
      </w:r>
    </w:p>
    <w:p w14:paraId="3B6CF179">
      <w:pPr>
        <w:tabs>
          <w:tab w:val="left" w:pos="900"/>
        </w:tabs>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3、磋商是分别单独进行的。供应商不得与其他参与磋商的供应商相互串通；磋商小组也不得将与某一供应商的磋商情况向其他供应商及其关系人透露。</w:t>
      </w:r>
    </w:p>
    <w:p w14:paraId="7BE72AC5">
      <w:pPr>
        <w:tabs>
          <w:tab w:val="left" w:pos="900"/>
        </w:tabs>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4、磋商采用一轮磋商、两轮报价的方式进行。但最终采取多少轮磋商，由磋商小组视情况而定。</w:t>
      </w:r>
    </w:p>
    <w:p w14:paraId="6522E7D9">
      <w:pPr>
        <w:pStyle w:val="5"/>
        <w:spacing w:before="0" w:after="0" w:line="520" w:lineRule="exact"/>
        <w:ind w:firstLine="480" w:firstLineChars="200"/>
        <w:jc w:val="both"/>
        <w:rPr>
          <w:rFonts w:hint="eastAsia" w:ascii="宋体" w:hAnsi="宋体" w:eastAsia="宋体" w:cs="宋体"/>
          <w:b w:val="0"/>
          <w:bCs/>
          <w:color w:val="auto"/>
          <w:sz w:val="24"/>
          <w:szCs w:val="24"/>
          <w:highlight w:val="none"/>
        </w:rPr>
      </w:pPr>
      <w:bookmarkStart w:id="67" w:name="_Toc8817"/>
      <w:bookmarkStart w:id="68" w:name="_Toc6912"/>
      <w:r>
        <w:rPr>
          <w:rFonts w:hint="eastAsia" w:ascii="宋体" w:hAnsi="宋体" w:eastAsia="宋体" w:cs="宋体"/>
          <w:b w:val="0"/>
          <w:bCs/>
          <w:color w:val="auto"/>
          <w:sz w:val="24"/>
          <w:szCs w:val="24"/>
          <w:highlight w:val="none"/>
        </w:rPr>
        <w:t>5、磋商结束后，磋商小组将要求所有符合条件的供应商在规定的时间内进行最后的报价。</w:t>
      </w:r>
      <w:bookmarkEnd w:id="67"/>
      <w:bookmarkEnd w:id="68"/>
    </w:p>
    <w:p w14:paraId="2DF2BD15">
      <w:pPr>
        <w:tabs>
          <w:tab w:val="left" w:pos="900"/>
        </w:tabs>
        <w:spacing w:line="520" w:lineRule="exact"/>
        <w:ind w:firstLine="480" w:firstLineChars="200"/>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6、供应商必须在规定的时间内将自己在磋商中作出的澄清、变动以及最终的报价，经法定代表人或被授权代表签字后，以书面的方式提交给磋商小组。</w:t>
      </w:r>
    </w:p>
    <w:p w14:paraId="5E3BD307">
      <w:pPr>
        <w:pStyle w:val="5"/>
        <w:spacing w:before="120" w:beforeLines="50" w:after="120" w:afterLines="50" w:line="520" w:lineRule="exact"/>
        <w:jc w:val="center"/>
        <w:rPr>
          <w:rFonts w:hint="eastAsia" w:ascii="宋体" w:hAnsi="宋体" w:eastAsia="宋体" w:cs="宋体"/>
          <w:color w:val="auto"/>
          <w:sz w:val="24"/>
          <w:szCs w:val="24"/>
          <w:highlight w:val="none"/>
        </w:rPr>
      </w:pPr>
      <w:bookmarkStart w:id="69" w:name="_Toc11542"/>
      <w:bookmarkStart w:id="70" w:name="_Toc7501"/>
      <w:r>
        <w:rPr>
          <w:rFonts w:hint="eastAsia" w:ascii="宋体" w:hAnsi="宋体" w:eastAsia="宋体" w:cs="宋体"/>
          <w:color w:val="auto"/>
          <w:sz w:val="24"/>
          <w:szCs w:val="24"/>
          <w:highlight w:val="none"/>
        </w:rPr>
        <w:t>（六）评审及异常情况处理</w:t>
      </w:r>
      <w:bookmarkEnd w:id="69"/>
      <w:bookmarkEnd w:id="70"/>
    </w:p>
    <w:p w14:paraId="444CEF4D">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1、磋商小组将遵循公平、公正的原则，对供应商最终提交的确认价进行综合评审，根据得分由高到低顺序推荐不少于2名成交候选供应商。</w:t>
      </w:r>
    </w:p>
    <w:p w14:paraId="674A8772">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2、磋商时出现以下情况之一的，将予以废标：</w:t>
      </w:r>
    </w:p>
    <w:p w14:paraId="08C4EEDC">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（1）符合专业条件的供应商或者对采购文件作实质性响应的供应商不足三家的（若采购项目是政府购买服务项目只有2家的，竞争性磋商活动可以继续进行）；</w:t>
      </w:r>
    </w:p>
    <w:p w14:paraId="117781B0">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（2）供应商的报价均超过了采购预算，经过多轮磋商仍不能降到预算内且采购人不能支付的；</w:t>
      </w:r>
    </w:p>
    <w:p w14:paraId="19C4C8A7">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（3）经过磋商，供应商所提供的服务仍无法满足磋商文件实质性要求、影响工作的；</w:t>
      </w:r>
    </w:p>
    <w:p w14:paraId="20CC8500">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（4）出现影响采购公正的违法、违规行为的；</w:t>
      </w:r>
    </w:p>
    <w:p w14:paraId="5573EADF">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（5）因重大变故，采购任务取消的。</w:t>
      </w:r>
    </w:p>
    <w:p w14:paraId="423B3931">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3、重新组织磋商，采购单位将另行通知。</w:t>
      </w:r>
    </w:p>
    <w:p w14:paraId="36392C12">
      <w:pPr>
        <w:pStyle w:val="5"/>
        <w:spacing w:before="120" w:beforeLines="50" w:after="120" w:afterLines="50" w:line="520" w:lineRule="exact"/>
        <w:jc w:val="center"/>
        <w:rPr>
          <w:rFonts w:hint="eastAsia" w:ascii="宋体" w:hAnsi="宋体" w:eastAsia="宋体" w:cs="宋体"/>
          <w:color w:val="auto"/>
          <w:sz w:val="24"/>
          <w:szCs w:val="24"/>
          <w:highlight w:val="none"/>
        </w:rPr>
      </w:pPr>
      <w:bookmarkStart w:id="71" w:name="_Toc30632"/>
      <w:r>
        <w:rPr>
          <w:rFonts w:hint="eastAsia" w:ascii="宋体" w:hAnsi="宋体" w:eastAsia="宋体" w:cs="宋体"/>
          <w:color w:val="auto"/>
          <w:sz w:val="24"/>
          <w:szCs w:val="24"/>
          <w:highlight w:val="none"/>
        </w:rPr>
        <w:t>（七）报价响应及答疑</w:t>
      </w:r>
      <w:bookmarkEnd w:id="71"/>
    </w:p>
    <w:p w14:paraId="09B804EF">
      <w:pPr>
        <w:spacing w:line="500" w:lineRule="exact"/>
        <w:ind w:firstLine="480" w:firstLineChars="200"/>
        <w:rPr>
          <w:rFonts w:hint="eastAsia" w:ascii="宋体" w:hAnsi="宋体" w:cs="宋体"/>
          <w:color w:val="auto"/>
          <w:sz w:val="24"/>
          <w:szCs w:val="24"/>
          <w:highlight w:val="none"/>
        </w:rPr>
      </w:pPr>
      <w:bookmarkStart w:id="72" w:name="_Toc19999"/>
      <w:r>
        <w:rPr>
          <w:rFonts w:hint="eastAsia" w:ascii="宋体" w:hAnsi="宋体" w:cs="宋体"/>
          <w:color w:val="auto"/>
          <w:sz w:val="24"/>
          <w:szCs w:val="24"/>
          <w:highlight w:val="none"/>
        </w:rPr>
        <w:t>1、响应报价应含有所投服务各环节所发生的一切费用。</w:t>
      </w:r>
    </w:p>
    <w:p w14:paraId="333777DC">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如有需要，供应商应自行对服务现场和周围环境进行勘察，以获取编制响应文件和签署合同所需的资料。勘察现场所发生的费用由供应商自行承担。采购人向供应商提供的有关服务现场的资料和数据，是采购人现有的能使供应商利用的资料。采购人对供应商由此而做出的推论、理解和结论概不负责。供应商因自身原因未到服务现场实地踏勘的，成交后签订合同时和履约过程中，不得以不完全了解现场情况为由，提出任何形式的增加合同外服务费用或索赔的要求。</w:t>
      </w:r>
    </w:p>
    <w:p w14:paraId="79AD5B99">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3、供应商如果对磋商文件的其他任何内容有相关疑问，可</w:t>
      </w:r>
      <w:r>
        <w:rPr>
          <w:rFonts w:hint="eastAsia" w:ascii="宋体" w:hAnsi="宋体" w:cs="宋体"/>
          <w:color w:val="auto"/>
          <w:sz w:val="24"/>
          <w:highlight w:val="none"/>
        </w:rPr>
        <w:t>以书面形式提出。</w:t>
      </w:r>
    </w:p>
    <w:p w14:paraId="3983051C">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请供应商及时通过网站相关公告栏目查看答疑文件。</w:t>
      </w:r>
    </w:p>
    <w:p w14:paraId="46B50A26">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4、供应商应确保其所提供的响应资料的真实性、有效性及合法性，否则，由此引起的任何责任由其自行承担。</w:t>
      </w:r>
    </w:p>
    <w:p w14:paraId="70EEFC81">
      <w:pPr>
        <w:pStyle w:val="5"/>
        <w:spacing w:before="120" w:beforeLines="50" w:after="120" w:afterLines="50"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（八）合同的签订</w:t>
      </w:r>
      <w:bookmarkEnd w:id="72"/>
    </w:p>
    <w:p w14:paraId="4545FCD9">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5BC90536">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3、成交供应商因不可抗力或者自身原因不能在规定的时间内与采购人签订采购合同，采购人可以与排在成交供应商后第一位的候选供应商签订采购合同，以此类推或重新组织采购。</w:t>
      </w:r>
    </w:p>
    <w:p w14:paraId="5B7D4E85">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4、因政策变化等原因不能签订合同，造成企业合法利益受损的情形，采购人可以与供应商充分协商，给予合理补偿。</w:t>
      </w:r>
    </w:p>
    <w:p w14:paraId="56137E0C">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5、成交供应商无正当理由不与采购人订立合同的处罚依据：</w:t>
      </w:r>
    </w:p>
    <w:p w14:paraId="764A746C">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（1）《中华人民共和国政府采购法实施条例》</w:t>
      </w:r>
    </w:p>
    <w:p w14:paraId="2E7ABBAB">
      <w:pPr>
        <w:pStyle w:val="2"/>
        <w:spacing w:after="0" w:line="520" w:lineRule="exact"/>
        <w:ind w:firstLine="480" w:firstLineChars="200"/>
        <w:rPr>
          <w:rFonts w:hint="eastAsia" w:ascii="宋体" w:hAnsi="宋体" w:cs="宋体"/>
          <w:color w:val="auto"/>
          <w:highlight w:val="none"/>
        </w:rPr>
      </w:pPr>
      <w:r>
        <w:rPr>
          <w:rFonts w:hint="eastAsia" w:ascii="宋体" w:hAnsi="宋体" w:cs="宋体"/>
          <w:color w:val="auto"/>
          <w:highlight w:val="none"/>
        </w:rPr>
        <w:t>第七十二条 供应商有下列情形之一的，依照政府采购法第七十七条第一款的规定追究法律责任：……</w:t>
      </w:r>
    </w:p>
    <w:p w14:paraId="070C9645">
      <w:pPr>
        <w:pStyle w:val="2"/>
        <w:spacing w:after="0" w:line="520" w:lineRule="exact"/>
        <w:ind w:firstLine="480" w:firstLineChars="200"/>
        <w:rPr>
          <w:rFonts w:hint="eastAsia" w:ascii="宋体" w:hAnsi="宋体" w:cs="宋体"/>
          <w:color w:val="auto"/>
          <w:highlight w:val="none"/>
        </w:rPr>
      </w:pPr>
      <w:r>
        <w:rPr>
          <w:rFonts w:hint="eastAsia" w:ascii="宋体" w:hAnsi="宋体" w:cs="宋体"/>
          <w:color w:val="auto"/>
          <w:highlight w:val="none"/>
        </w:rPr>
        <w:t>（二）中标或者成交后无正当理由拒不与采购人签订政府采购合同；……</w:t>
      </w:r>
    </w:p>
    <w:p w14:paraId="74042B9F">
      <w:pPr>
        <w:pStyle w:val="2"/>
        <w:spacing w:after="0" w:line="520" w:lineRule="exact"/>
        <w:ind w:firstLine="480" w:firstLineChars="200"/>
        <w:rPr>
          <w:rFonts w:hint="eastAsia" w:ascii="宋体" w:hAnsi="宋体" w:cs="宋体"/>
          <w:color w:val="auto"/>
          <w:highlight w:val="none"/>
        </w:rPr>
      </w:pPr>
      <w:r>
        <w:rPr>
          <w:rFonts w:hint="eastAsia" w:ascii="宋体" w:hAnsi="宋体" w:cs="宋体"/>
          <w:color w:val="auto"/>
          <w:highlight w:val="none"/>
        </w:rPr>
        <w:t>（2）《中华人民共和国政府采购法》</w:t>
      </w:r>
    </w:p>
    <w:p w14:paraId="1EC38F3A">
      <w:pPr>
        <w:pStyle w:val="2"/>
        <w:spacing w:after="0" w:line="520" w:lineRule="exact"/>
        <w:ind w:firstLine="480" w:firstLineChars="200"/>
        <w:rPr>
          <w:rFonts w:hint="eastAsia" w:ascii="宋体" w:hAnsi="宋体" w:cs="宋体"/>
          <w:color w:val="auto"/>
          <w:highlight w:val="none"/>
        </w:rPr>
      </w:pPr>
      <w:r>
        <w:rPr>
          <w:rFonts w:hint="eastAsia" w:ascii="宋体" w:hAnsi="宋体" w:cs="宋体"/>
          <w:color w:val="auto"/>
          <w:highlight w:val="none"/>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6CC2E60">
      <w:pPr>
        <w:pStyle w:val="2"/>
        <w:spacing w:after="0" w:line="520" w:lineRule="exact"/>
        <w:ind w:firstLine="480" w:firstLineChars="200"/>
        <w:rPr>
          <w:rFonts w:hint="eastAsia" w:ascii="宋体" w:hAnsi="宋体" w:cs="宋体"/>
          <w:color w:val="auto"/>
          <w:highlight w:val="none"/>
        </w:rPr>
      </w:pPr>
      <w:r>
        <w:rPr>
          <w:rFonts w:hint="eastAsia" w:ascii="宋体" w:hAnsi="宋体" w:cs="宋体"/>
          <w:color w:val="auto"/>
          <w:highlight w:val="none"/>
        </w:rPr>
        <w:t>（3）《政府采购非招标采购方式管理办法》（财政部令第74号）</w:t>
      </w:r>
    </w:p>
    <w:p w14:paraId="22830E33">
      <w:pPr>
        <w:pStyle w:val="2"/>
        <w:spacing w:after="0" w:line="520" w:lineRule="exact"/>
        <w:ind w:firstLine="480" w:firstLineChars="200"/>
        <w:rPr>
          <w:rFonts w:hint="eastAsia" w:ascii="宋体" w:hAnsi="宋体" w:cs="宋体"/>
          <w:color w:val="auto"/>
          <w:highlight w:val="none"/>
        </w:rPr>
      </w:pPr>
      <w:r>
        <w:rPr>
          <w:rFonts w:hint="eastAsia" w:ascii="宋体" w:hAnsi="宋体" w:cs="宋体"/>
          <w:color w:val="auto"/>
          <w:highlight w:val="none"/>
        </w:rPr>
        <w:t>第五十四条 成交供应商有下列情形之一的，责令限期整改，情节严重的，列入不良行为记录名单，在1至3年内禁止参加政府采购活动，并予以通报：……</w:t>
      </w:r>
    </w:p>
    <w:p w14:paraId="6C088E44">
      <w:pPr>
        <w:pStyle w:val="2"/>
        <w:spacing w:after="0" w:line="520" w:lineRule="exact"/>
        <w:ind w:firstLine="480" w:firstLineChars="200"/>
        <w:rPr>
          <w:rFonts w:hint="eastAsia" w:ascii="宋体" w:hAnsi="宋体" w:cs="宋体"/>
          <w:color w:val="auto"/>
          <w:szCs w:val="24"/>
          <w:highlight w:val="none"/>
        </w:rPr>
      </w:pPr>
      <w:r>
        <w:rPr>
          <w:rFonts w:hint="eastAsia" w:ascii="宋体" w:hAnsi="宋体" w:cs="宋体"/>
          <w:color w:val="auto"/>
          <w:highlight w:val="none"/>
        </w:rPr>
        <w:t>（二）成交后无正当理由不与采购人签订合同的；……</w:t>
      </w:r>
    </w:p>
    <w:p w14:paraId="1BE3C802">
      <w:pPr>
        <w:pStyle w:val="5"/>
        <w:spacing w:before="120" w:beforeLines="50" w:after="120" w:afterLines="50" w:line="520" w:lineRule="exact"/>
        <w:jc w:val="center"/>
        <w:rPr>
          <w:rFonts w:hint="eastAsia" w:ascii="宋体" w:hAnsi="宋体" w:eastAsia="宋体" w:cs="宋体"/>
          <w:color w:val="auto"/>
          <w:sz w:val="24"/>
          <w:szCs w:val="24"/>
          <w:highlight w:val="none"/>
        </w:rPr>
      </w:pPr>
      <w:bookmarkStart w:id="73" w:name="_Toc1832"/>
      <w:r>
        <w:rPr>
          <w:rFonts w:hint="eastAsia" w:ascii="宋体" w:hAnsi="宋体" w:eastAsia="宋体" w:cs="宋体"/>
          <w:color w:val="auto"/>
          <w:sz w:val="24"/>
          <w:szCs w:val="24"/>
          <w:highlight w:val="none"/>
        </w:rPr>
        <w:t>（九）澄清及变更</w:t>
      </w:r>
      <w:bookmarkEnd w:id="73"/>
    </w:p>
    <w:p w14:paraId="1F7E7111">
      <w:pPr>
        <w:spacing w:line="520" w:lineRule="exact"/>
        <w:ind w:firstLine="480" w:firstLineChars="200"/>
        <w:rPr>
          <w:rFonts w:hint="eastAsia" w:ascii="宋体" w:hAnsi="宋体" w:cs="宋体"/>
          <w:color w:val="auto"/>
          <w:highlight w:val="none"/>
        </w:rPr>
      </w:pPr>
      <w:r>
        <w:rPr>
          <w:rFonts w:hint="eastAsia" w:ascii="宋体" w:hAnsi="宋体" w:cs="宋体"/>
          <w:color w:val="auto"/>
          <w:sz w:val="24"/>
          <w:szCs w:val="24"/>
          <w:highlight w:val="none"/>
        </w:rPr>
        <w:t>磋商文件如有澄清及变更，将以网上公告形式发布，请供应商及时关注。</w:t>
      </w:r>
    </w:p>
    <w:p w14:paraId="5B37A32E">
      <w:pPr>
        <w:pStyle w:val="5"/>
        <w:spacing w:before="120" w:beforeLines="50" w:after="120" w:afterLines="50" w:line="520" w:lineRule="exact"/>
        <w:jc w:val="center"/>
        <w:rPr>
          <w:rFonts w:hint="eastAsia" w:ascii="宋体" w:hAnsi="宋体" w:eastAsia="宋体" w:cs="宋体"/>
          <w:color w:val="auto"/>
          <w:sz w:val="24"/>
          <w:szCs w:val="24"/>
          <w:highlight w:val="none"/>
        </w:rPr>
      </w:pPr>
      <w:bookmarkStart w:id="74" w:name="_Toc18928"/>
      <w:r>
        <w:rPr>
          <w:rFonts w:hint="eastAsia" w:ascii="宋体" w:hAnsi="宋体" w:eastAsia="宋体" w:cs="宋体"/>
          <w:color w:val="auto"/>
          <w:sz w:val="24"/>
          <w:szCs w:val="24"/>
          <w:highlight w:val="none"/>
        </w:rPr>
        <w:t>（十）验收</w:t>
      </w:r>
      <w:bookmarkEnd w:id="74"/>
      <w:r>
        <w:rPr>
          <w:rFonts w:hint="eastAsia" w:ascii="宋体" w:hAnsi="宋体" w:eastAsia="宋体" w:cs="宋体"/>
          <w:color w:val="auto"/>
          <w:sz w:val="24"/>
          <w:szCs w:val="24"/>
          <w:highlight w:val="none"/>
        </w:rPr>
        <w:t>（如有）</w:t>
      </w:r>
    </w:p>
    <w:p w14:paraId="19218644">
      <w:pPr>
        <w:pStyle w:val="5"/>
        <w:spacing w:before="120" w:beforeLines="50" w:after="120" w:afterLines="50" w:line="520" w:lineRule="exact"/>
        <w:rPr>
          <w:rFonts w:hint="eastAsia" w:ascii="宋体" w:hAnsi="宋体" w:eastAsia="宋体" w:cs="宋体"/>
          <w:b w:val="0"/>
          <w:bCs/>
          <w:color w:val="auto"/>
          <w:kern w:val="2"/>
          <w:sz w:val="24"/>
          <w:highlight w:val="none"/>
        </w:rPr>
      </w:pPr>
      <w:bookmarkStart w:id="75" w:name="_Toc3680"/>
      <w:r>
        <w:rPr>
          <w:rFonts w:hint="eastAsia" w:ascii="宋体" w:hAnsi="宋体" w:eastAsia="宋体" w:cs="宋体"/>
          <w:b w:val="0"/>
          <w:bCs/>
          <w:color w:val="auto"/>
          <w:kern w:val="2"/>
          <w:sz w:val="24"/>
          <w:highlight w:val="none"/>
        </w:rPr>
        <w:t xml:space="preserve">    1、采购人应当在项目完成且收到供应商验收申请后 5 个工作日内组织开展履约验收。</w:t>
      </w:r>
    </w:p>
    <w:p w14:paraId="75552B8F">
      <w:pPr>
        <w:pStyle w:val="5"/>
        <w:spacing w:before="120" w:beforeLines="50" w:after="120" w:afterLines="50" w:line="520" w:lineRule="exact"/>
        <w:rPr>
          <w:rFonts w:hint="eastAsia" w:ascii="宋体" w:hAnsi="宋体" w:eastAsia="宋体" w:cs="宋体"/>
          <w:b w:val="0"/>
          <w:bCs/>
          <w:color w:val="auto"/>
          <w:kern w:val="2"/>
          <w:sz w:val="24"/>
          <w:highlight w:val="none"/>
        </w:rPr>
      </w:pPr>
      <w:r>
        <w:rPr>
          <w:rFonts w:hint="eastAsia" w:ascii="宋体" w:hAnsi="宋体" w:eastAsia="宋体" w:cs="宋体"/>
          <w:b w:val="0"/>
          <w:bCs/>
          <w:color w:val="auto"/>
          <w:kern w:val="2"/>
          <w:sz w:val="24"/>
          <w:highlight w:val="none"/>
        </w:rPr>
        <w:t xml:space="preserve">    2、采购人验收时，应成立三人以上（由合同双方、项目法人、纪检等相关人员组成）验收小组，明确责任，严格依照采购文件、成交通知书、政府采购合同及相关验收规范进行核对、验收，形成验收结论，并出具书面验收报告。</w:t>
      </w:r>
    </w:p>
    <w:p w14:paraId="7ADB0161">
      <w:pPr>
        <w:pStyle w:val="5"/>
        <w:spacing w:before="120" w:beforeLines="50" w:after="120" w:afterLines="50" w:line="520" w:lineRule="exact"/>
        <w:rPr>
          <w:rFonts w:hint="eastAsia" w:ascii="宋体" w:hAnsi="宋体" w:eastAsia="宋体" w:cs="宋体"/>
          <w:b w:val="0"/>
          <w:bCs/>
          <w:color w:val="auto"/>
          <w:kern w:val="2"/>
          <w:sz w:val="24"/>
          <w:highlight w:val="none"/>
        </w:rPr>
      </w:pPr>
      <w:r>
        <w:rPr>
          <w:rFonts w:hint="eastAsia" w:ascii="宋体" w:hAnsi="宋体" w:eastAsia="宋体" w:cs="宋体"/>
          <w:b w:val="0"/>
          <w:bCs/>
          <w:color w:val="auto"/>
          <w:kern w:val="2"/>
          <w:sz w:val="24"/>
          <w:highlight w:val="none"/>
        </w:rPr>
        <w:t xml:space="preserve">    3、涉及安全、消防、环保等其他需要由质检或行业主管部门进行验收的项目，必须邀请相关部门或相关专家参与验收。</w:t>
      </w:r>
    </w:p>
    <w:p w14:paraId="6D0C5FCF">
      <w:pPr>
        <w:pStyle w:val="5"/>
        <w:spacing w:before="120" w:beforeLines="50" w:after="120" w:afterLines="50" w:line="520" w:lineRule="exact"/>
        <w:rPr>
          <w:rFonts w:hint="eastAsia" w:ascii="宋体" w:hAnsi="宋体" w:eastAsia="宋体" w:cs="宋体"/>
          <w:b w:val="0"/>
          <w:bCs/>
          <w:color w:val="auto"/>
          <w:kern w:val="2"/>
          <w:sz w:val="24"/>
          <w:highlight w:val="none"/>
        </w:rPr>
      </w:pPr>
      <w:r>
        <w:rPr>
          <w:rFonts w:hint="eastAsia" w:ascii="宋体" w:hAnsi="宋体" w:eastAsia="宋体" w:cs="宋体"/>
          <w:b w:val="0"/>
          <w:bCs/>
          <w:color w:val="auto"/>
          <w:kern w:val="2"/>
          <w:sz w:val="24"/>
          <w:highlight w:val="none"/>
        </w:rPr>
        <w:t xml:space="preserve">    4、对于符合支付条件的项目，应在收到发票后7个工作日内将资金支付到合同约定的供应商账户，不得以进行审计作为支付供应商款项的条件。采购人不得以机构变动、人员更替、政策调整、履行内部付款流程等为由延迟付款。</w:t>
      </w:r>
    </w:p>
    <w:p w14:paraId="63E749F0">
      <w:pPr>
        <w:pStyle w:val="5"/>
        <w:spacing w:before="120" w:beforeLines="50" w:after="120" w:afterLines="50"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（十一）质疑</w:t>
      </w:r>
      <w:bookmarkEnd w:id="75"/>
    </w:p>
    <w:p w14:paraId="3A08808B">
      <w:pPr>
        <w:spacing w:line="5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1、质疑人认为磋商结果使自己的权益受到损害的，可以向采购人及采购代理机构提出质疑。质疑实行实名制，应当有具体的事项及根据，不得进行虚假、恶意质疑，扰乱采购的正常工作秩序。</w:t>
      </w:r>
    </w:p>
    <w:p w14:paraId="7FD0A6EF">
      <w:pPr>
        <w:spacing w:line="5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2、质疑应在规定时限内提出： </w:t>
      </w:r>
    </w:p>
    <w:p w14:paraId="70A172BA">
      <w:pPr>
        <w:spacing w:line="5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对政府采购中标结果的质疑，应在中标结果公布之日起七个工作日内提出。</w:t>
      </w:r>
    </w:p>
    <w:p w14:paraId="5F94E0BB">
      <w:pPr>
        <w:spacing w:line="5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3、质疑应以书面形式实名提出，书面质疑材料应当包括以下内容：</w:t>
      </w:r>
    </w:p>
    <w:p w14:paraId="34F94E20">
      <w:pPr>
        <w:widowControl/>
        <w:spacing w:line="52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3.1质疑人的名称、地址、有效联系方式；</w:t>
      </w:r>
    </w:p>
    <w:p w14:paraId="569D63B5">
      <w:pPr>
        <w:widowControl/>
        <w:spacing w:line="52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3.2项目名称、项目编号、包别号（如有）；</w:t>
      </w:r>
    </w:p>
    <w:p w14:paraId="0A0F856F">
      <w:pPr>
        <w:widowControl/>
        <w:spacing w:line="52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3.3被质疑人名称；</w:t>
      </w:r>
    </w:p>
    <w:p w14:paraId="525E5A60">
      <w:pPr>
        <w:widowControl/>
        <w:spacing w:line="52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3.4具体的质疑事项、基本事实及必要的证明材料；</w:t>
      </w:r>
    </w:p>
    <w:p w14:paraId="3336FED2">
      <w:pPr>
        <w:widowControl/>
        <w:spacing w:line="52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3.5明确的请求及主张；</w:t>
      </w:r>
    </w:p>
    <w:p w14:paraId="4B28379D">
      <w:pPr>
        <w:widowControl/>
        <w:spacing w:line="52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3.6提起质疑的日期。</w:t>
      </w:r>
    </w:p>
    <w:p w14:paraId="2FFA23E4">
      <w:pPr>
        <w:widowControl/>
        <w:spacing w:line="52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质疑人为法人或者其他组织的，应当由法定代表人或其委托代理人（需有委托授权书）签字并加盖公章。</w:t>
      </w:r>
    </w:p>
    <w:p w14:paraId="14589F57">
      <w:pPr>
        <w:widowControl/>
        <w:spacing w:line="52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质疑人需要修改、补充质疑材料的，应当在质疑期内提交修改或补充材料。</w:t>
      </w:r>
    </w:p>
    <w:p w14:paraId="5ACFF113">
      <w:pPr>
        <w:spacing w:line="52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4、有下列情形之一的，不予受理：</w:t>
      </w:r>
    </w:p>
    <w:p w14:paraId="40408C77">
      <w:pPr>
        <w:widowControl/>
        <w:spacing w:line="52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4.1提起质疑的主体不是参与该政府采购项目活动的供应商；</w:t>
      </w:r>
    </w:p>
    <w:p w14:paraId="1CA30609">
      <w:pPr>
        <w:widowControl/>
        <w:spacing w:line="52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4.2提起质疑的时间超过规定时限的；</w:t>
      </w:r>
    </w:p>
    <w:p w14:paraId="534267DA">
      <w:pPr>
        <w:widowControl/>
        <w:spacing w:line="52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4.3质疑材料不完整的；</w:t>
      </w:r>
    </w:p>
    <w:p w14:paraId="2CC55E48">
      <w:pPr>
        <w:widowControl/>
        <w:spacing w:line="52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4.4质疑事项含有主观猜测等内容且未提供有效线索、难以查证的；</w:t>
      </w:r>
    </w:p>
    <w:p w14:paraId="0D89E2E1">
      <w:pPr>
        <w:widowControl/>
        <w:spacing w:line="52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4.5对其他投标供应商的投标文件详细内容质疑，无法提供合法来源渠道的；</w:t>
      </w:r>
    </w:p>
    <w:p w14:paraId="15093B18">
      <w:pPr>
        <w:widowControl/>
        <w:spacing w:line="52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4.6质疑事项已进入投诉处理、行政复议或行政诉讼程序的。</w:t>
      </w:r>
    </w:p>
    <w:p w14:paraId="43A06619">
      <w:pPr>
        <w:spacing w:line="5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5、经审查符合质疑条件的，自收到质疑之日起即为受理。采购人及采购代理机构将在质疑受理后7个工作日内作出答复或相关处理决定，并以书面形式通知质疑人，答复的内容不得涉及商业秘密。</w:t>
      </w:r>
    </w:p>
    <w:p w14:paraId="23757162">
      <w:pPr>
        <w:spacing w:line="5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6、质疑人在答复期满前撤回质疑的，应由法定代表人或授权代表人签字确认，即终止质疑处理程序。质疑人不得以同一理由再次提出质疑。</w:t>
      </w:r>
    </w:p>
    <w:p w14:paraId="6460BDE6">
      <w:pPr>
        <w:spacing w:line="5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质疑人对质疑答复不满意或采购人及采购代理机构未在规定时间内做出答复的，可以在规定期限内向相关部门提起投诉。</w:t>
      </w:r>
    </w:p>
    <w:p w14:paraId="2A14E49B">
      <w:pPr>
        <w:spacing w:line="5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质疑人应在答复期满后十五个工作日内提起投诉。</w:t>
      </w:r>
    </w:p>
    <w:p w14:paraId="114D8D32">
      <w:pPr>
        <w:pStyle w:val="2"/>
        <w:spacing w:after="0" w:line="520" w:lineRule="exact"/>
        <w:rPr>
          <w:rFonts w:hint="eastAsia" w:ascii="宋体" w:hAnsi="宋体" w:cs="宋体"/>
          <w:bCs/>
          <w:color w:val="auto"/>
          <w:szCs w:val="24"/>
          <w:highlight w:val="none"/>
        </w:rPr>
      </w:pPr>
      <w:r>
        <w:rPr>
          <w:rFonts w:hint="eastAsia" w:ascii="宋体" w:hAnsi="宋体" w:cs="宋体"/>
          <w:bCs/>
          <w:color w:val="auto"/>
          <w:highlight w:val="none"/>
        </w:rPr>
        <w:t>7、</w:t>
      </w:r>
      <w:bookmarkStart w:id="76" w:name="_Toc216158630"/>
      <w:r>
        <w:rPr>
          <w:rFonts w:hint="eastAsia" w:ascii="宋体" w:hAnsi="宋体" w:cs="宋体"/>
          <w:bCs/>
          <w:color w:val="auto"/>
          <w:szCs w:val="24"/>
          <w:highlight w:val="none"/>
        </w:rPr>
        <w:t>投诉人在全国范围12个月内三次以上投诉查无实据的，由财政部门列入不良行为记录名单。</w:t>
      </w:r>
    </w:p>
    <w:p w14:paraId="4417E214">
      <w:pPr>
        <w:pStyle w:val="2"/>
        <w:spacing w:after="0" w:line="520" w:lineRule="exact"/>
        <w:rPr>
          <w:rFonts w:hint="eastAsia" w:ascii="宋体" w:hAnsi="宋体" w:cs="宋体"/>
          <w:bCs/>
          <w:color w:val="auto"/>
          <w:szCs w:val="24"/>
          <w:highlight w:val="none"/>
        </w:rPr>
      </w:pPr>
      <w:r>
        <w:rPr>
          <w:rFonts w:hint="eastAsia" w:ascii="宋体" w:hAnsi="宋体" w:cs="宋体"/>
          <w:bCs/>
          <w:color w:val="auto"/>
          <w:szCs w:val="24"/>
          <w:highlight w:val="none"/>
        </w:rPr>
        <w:t>投诉人有下列行为之一的，属于虚假、恶意投诉，由财政部门列入不良行为记录名单，禁止其1至3年内参加政府采购活动：</w:t>
      </w:r>
    </w:p>
    <w:p w14:paraId="4EB569EC">
      <w:pPr>
        <w:pStyle w:val="2"/>
        <w:spacing w:after="0" w:line="520" w:lineRule="exact"/>
        <w:rPr>
          <w:rFonts w:hint="eastAsia" w:ascii="宋体" w:hAnsi="宋体" w:cs="宋体"/>
          <w:bCs/>
          <w:color w:val="auto"/>
          <w:szCs w:val="24"/>
          <w:highlight w:val="none"/>
        </w:rPr>
      </w:pPr>
      <w:r>
        <w:rPr>
          <w:rFonts w:hint="eastAsia" w:ascii="宋体" w:hAnsi="宋体" w:cs="宋体"/>
          <w:bCs/>
          <w:color w:val="auto"/>
          <w:szCs w:val="24"/>
          <w:highlight w:val="none"/>
        </w:rPr>
        <w:t>（一）捏造事实;</w:t>
      </w:r>
    </w:p>
    <w:p w14:paraId="404C5957">
      <w:pPr>
        <w:spacing w:line="5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（二）提供虚假材料;</w:t>
      </w:r>
    </w:p>
    <w:p w14:paraId="2E88B1DE">
      <w:pPr>
        <w:spacing w:line="5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（三）以非法手段取得证明材料。证据来源的合法性存在明显疑问，投诉人无法证明其取得方式合法的，视为以非法手段取得证明材料。</w:t>
      </w:r>
      <w:bookmarkStart w:id="77" w:name="_Toc22378"/>
    </w:p>
    <w:p w14:paraId="31D9AF18">
      <w:pPr>
        <w:rPr>
          <w:rFonts w:hint="eastAsia" w:ascii="宋体" w:hAnsi="宋体" w:cs="宋体"/>
          <w:bCs/>
          <w:color w:val="auto"/>
          <w:sz w:val="24"/>
          <w:highlight w:val="none"/>
        </w:rPr>
      </w:pPr>
      <w:r>
        <w:rPr>
          <w:rFonts w:hint="eastAsia" w:ascii="宋体" w:hAnsi="宋体" w:cs="宋体"/>
          <w:bCs/>
          <w:color w:val="auto"/>
          <w:sz w:val="24"/>
          <w:highlight w:val="none"/>
        </w:rPr>
        <w:br w:type="page"/>
      </w:r>
    </w:p>
    <w:p w14:paraId="6C5FDB4F">
      <w:pPr>
        <w:pStyle w:val="5"/>
        <w:spacing w:before="0" w:after="0"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二、采购合同</w:t>
      </w:r>
      <w:bookmarkEnd w:id="77"/>
    </w:p>
    <w:p w14:paraId="4D03AF97">
      <w:pPr>
        <w:rPr>
          <w:rFonts w:hint="eastAsia" w:ascii="宋体" w:hAnsi="宋体" w:cs="宋体"/>
          <w:color w:val="auto"/>
          <w:highlight w:val="none"/>
        </w:rPr>
      </w:pPr>
    </w:p>
    <w:bookmarkEnd w:id="76"/>
    <w:p w14:paraId="2D675DCC">
      <w:pPr>
        <w:spacing w:line="253" w:lineRule="auto"/>
        <w:rPr>
          <w:rFonts w:hint="eastAsia" w:ascii="宋体" w:hAnsi="宋体" w:cs="宋体"/>
          <w:color w:val="auto"/>
          <w:highlight w:val="none"/>
        </w:rPr>
      </w:pPr>
      <w:bookmarkStart w:id="78" w:name="_Toc363199273"/>
    </w:p>
    <w:p w14:paraId="6E291F59">
      <w:pPr>
        <w:spacing w:line="254" w:lineRule="auto"/>
        <w:rPr>
          <w:rFonts w:hint="eastAsia" w:ascii="宋体" w:hAnsi="宋体" w:cs="宋体"/>
          <w:color w:val="auto"/>
          <w:highlight w:val="none"/>
        </w:rPr>
      </w:pPr>
    </w:p>
    <w:p w14:paraId="4999C7F2">
      <w:pPr>
        <w:autoSpaceDE w:val="0"/>
        <w:autoSpaceDN w:val="0"/>
        <w:spacing w:before="66" w:line="192" w:lineRule="auto"/>
        <w:ind w:left="172" w:right="470"/>
        <w:jc w:val="center"/>
        <w:outlineLvl w:val="0"/>
        <w:rPr>
          <w:rFonts w:hint="eastAsia" w:ascii="宋体" w:hAnsi="宋体" w:cs="宋体"/>
          <w:bCs/>
          <w:color w:val="auto"/>
          <w:spacing w:val="11"/>
          <w:kern w:val="0"/>
          <w:sz w:val="24"/>
          <w:szCs w:val="24"/>
          <w:highlight w:val="none"/>
        </w:rPr>
      </w:pPr>
    </w:p>
    <w:p w14:paraId="6E3CB0C1">
      <w:pPr>
        <w:autoSpaceDE w:val="0"/>
        <w:autoSpaceDN w:val="0"/>
        <w:spacing w:before="66" w:line="192" w:lineRule="auto"/>
        <w:ind w:left="172" w:right="470"/>
        <w:jc w:val="center"/>
        <w:outlineLvl w:val="0"/>
        <w:rPr>
          <w:rFonts w:hint="eastAsia" w:ascii="宋体" w:hAnsi="宋体" w:cs="宋体"/>
          <w:bCs/>
          <w:color w:val="auto"/>
          <w:spacing w:val="11"/>
          <w:kern w:val="0"/>
          <w:sz w:val="24"/>
          <w:szCs w:val="24"/>
          <w:highlight w:val="none"/>
        </w:rPr>
      </w:pPr>
      <w:r>
        <w:rPr>
          <w:rFonts w:hint="eastAsia" w:ascii="宋体" w:hAnsi="宋体" w:cs="宋体"/>
          <w:bCs/>
          <w:color w:val="auto"/>
          <w:spacing w:val="11"/>
          <w:kern w:val="0"/>
          <w:sz w:val="24"/>
          <w:szCs w:val="24"/>
          <w:highlight w:val="none"/>
        </w:rPr>
        <w:t>（本合同仅供参考，具体以双方签订的为准）</w:t>
      </w:r>
    </w:p>
    <w:p w14:paraId="60EF08C2">
      <w:pPr>
        <w:spacing w:line="254" w:lineRule="auto"/>
        <w:rPr>
          <w:rFonts w:hint="eastAsia" w:ascii="宋体" w:hAnsi="宋体" w:cs="宋体"/>
          <w:color w:val="auto"/>
          <w:highlight w:val="none"/>
        </w:rPr>
      </w:pPr>
    </w:p>
    <w:p w14:paraId="3B0D8AC4">
      <w:pPr>
        <w:spacing w:after="120" w:afterLines="50" w:line="600" w:lineRule="exact"/>
        <w:jc w:val="center"/>
        <w:rPr>
          <w:rFonts w:hint="eastAsia" w:ascii="宋体" w:hAnsi="宋体" w:cs="宋体"/>
          <w:b/>
          <w:bCs/>
          <w:color w:val="auto"/>
          <w:sz w:val="28"/>
          <w:szCs w:val="28"/>
          <w:highlight w:val="none"/>
        </w:rPr>
      </w:pPr>
      <w:r>
        <w:rPr>
          <w:rFonts w:hint="eastAsia" w:ascii="宋体" w:hAnsi="宋体" w:cs="宋体"/>
          <w:b/>
          <w:bCs/>
          <w:color w:val="auto"/>
          <w:sz w:val="40"/>
          <w:szCs w:val="40"/>
          <w:highlight w:val="none"/>
        </w:rPr>
        <w:t>六安市政府采购合同参考范本</w:t>
      </w:r>
    </w:p>
    <w:p w14:paraId="3ED5A968">
      <w:pPr>
        <w:spacing w:after="120" w:afterLines="50" w:line="6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（服务类）</w:t>
      </w:r>
    </w:p>
    <w:p w14:paraId="0B039F9B">
      <w:pPr>
        <w:spacing w:line="600" w:lineRule="exact"/>
        <w:rPr>
          <w:rFonts w:hint="eastAsia" w:ascii="宋体" w:hAnsi="宋体" w:cs="宋体"/>
          <w:color w:val="auto"/>
          <w:highlight w:val="none"/>
        </w:rPr>
      </w:pPr>
    </w:p>
    <w:p w14:paraId="523F1863">
      <w:pPr>
        <w:pStyle w:val="2"/>
        <w:rPr>
          <w:rFonts w:hint="eastAsia" w:ascii="宋体" w:hAnsi="宋体" w:cs="宋体"/>
          <w:color w:val="auto"/>
          <w:highlight w:val="none"/>
        </w:rPr>
      </w:pPr>
    </w:p>
    <w:p w14:paraId="1492259E">
      <w:pPr>
        <w:pStyle w:val="2"/>
        <w:ind w:firstLine="0"/>
        <w:rPr>
          <w:rFonts w:hint="eastAsia" w:ascii="宋体" w:hAnsi="宋体" w:cs="宋体"/>
          <w:color w:val="auto"/>
          <w:highlight w:val="none"/>
        </w:rPr>
      </w:pPr>
    </w:p>
    <w:p w14:paraId="28C870A0">
      <w:pPr>
        <w:spacing w:line="6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第一部分 合同书</w:t>
      </w:r>
    </w:p>
    <w:p w14:paraId="06D786EF">
      <w:pPr>
        <w:pStyle w:val="2"/>
        <w:rPr>
          <w:rFonts w:hint="eastAsia" w:ascii="宋体" w:hAnsi="宋体" w:cs="宋体"/>
          <w:color w:val="auto"/>
          <w:szCs w:val="24"/>
          <w:highlight w:val="none"/>
        </w:rPr>
      </w:pPr>
    </w:p>
    <w:p w14:paraId="494C9BCB">
      <w:pPr>
        <w:spacing w:line="700" w:lineRule="exact"/>
        <w:ind w:left="1050" w:leftChars="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14:paraId="51C6BDEE">
      <w:pPr>
        <w:spacing w:line="700" w:lineRule="exact"/>
        <w:ind w:left="1050" w:leftChars="5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项目编号：</w:t>
      </w:r>
    </w:p>
    <w:p w14:paraId="4182C754">
      <w:pPr>
        <w:spacing w:line="700" w:lineRule="exact"/>
        <w:ind w:left="1050" w:leftChars="5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甲方(采购人)：</w:t>
      </w:r>
    </w:p>
    <w:p w14:paraId="584C0678">
      <w:pPr>
        <w:spacing w:line="700" w:lineRule="exact"/>
        <w:ind w:left="1050" w:leftChars="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乙方(成交供应商)：</w:t>
      </w:r>
    </w:p>
    <w:p w14:paraId="73293A74">
      <w:pPr>
        <w:spacing w:line="700" w:lineRule="exact"/>
        <w:ind w:left="1050" w:leftChars="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签 订 地：</w:t>
      </w:r>
    </w:p>
    <w:p w14:paraId="00C0F082">
      <w:pPr>
        <w:spacing w:line="700" w:lineRule="exact"/>
        <w:ind w:left="1050" w:leftChars="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签订日期：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EF26A70">
      <w:pPr>
        <w:snapToGrid w:val="0"/>
        <w:spacing w:line="600" w:lineRule="exact"/>
        <w:rPr>
          <w:rFonts w:hint="eastAsia" w:ascii="宋体" w:hAnsi="宋体" w:cs="宋体"/>
          <w:color w:val="auto"/>
          <w:highlight w:val="none"/>
        </w:rPr>
        <w:sectPr>
          <w:footerReference r:id="rId5" w:type="default"/>
          <w:pgSz w:w="11907" w:h="16839"/>
          <w:pgMar w:top="1118" w:right="1769" w:bottom="1233" w:left="1771" w:header="877" w:footer="982" w:gutter="0"/>
          <w:pgNumType w:fmt="numberInDash"/>
          <w:cols w:space="720" w:num="1"/>
        </w:sectPr>
      </w:pPr>
    </w:p>
    <w:p w14:paraId="63130170">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(以下简称：甲方) 通过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方式采购活动，经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评定，(</w:t>
      </w:r>
      <w:r>
        <w:rPr>
          <w:rFonts w:hint="eastAsia" w:ascii="宋体" w:hAnsi="宋体" w:cs="宋体"/>
          <w:color w:val="auto"/>
          <w:sz w:val="24"/>
          <w:szCs w:val="24"/>
          <w:highlight w:val="none"/>
          <w:u w:val="single"/>
        </w:rPr>
        <w:t>成交供应商名称)</w:t>
      </w:r>
      <w:r>
        <w:rPr>
          <w:rFonts w:hint="eastAsia" w:ascii="宋体" w:hAnsi="宋体" w:cs="宋体"/>
          <w:color w:val="auto"/>
          <w:sz w:val="24"/>
          <w:szCs w:val="24"/>
          <w:highlight w:val="none"/>
        </w:rPr>
        <w:t xml:space="preserve"> (以下简称：乙方)为本项目成交供应商，现按照采购文件确定的事项签订本合同。</w:t>
      </w:r>
    </w:p>
    <w:p w14:paraId="186847CC">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7FB45854">
      <w:pPr>
        <w:snapToGrid w:val="0"/>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1.1 合同组成部分</w:t>
      </w:r>
    </w:p>
    <w:p w14:paraId="437D30B2">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下列文件为本合同的组成部分，并构成一个整体，需综合解释、相互补充。如果下列文件内容出现不一致的情形，那么在保证按照采购文件确定的事项前提下，组成本合同的多个文件的优先适用顺序如下：</w:t>
      </w:r>
    </w:p>
    <w:p w14:paraId="2CBBE02E">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 本合同及其补充合同、变更协议；</w:t>
      </w:r>
    </w:p>
    <w:p w14:paraId="157E10A7">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 成交通知书；</w:t>
      </w:r>
    </w:p>
    <w:p w14:paraId="4FB4090B">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 响应文件(含澄清或者说明文件)；</w:t>
      </w:r>
    </w:p>
    <w:p w14:paraId="4CA4DFDD">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1.1.4 采购文件(含澄清或者修改文件)；</w:t>
      </w:r>
    </w:p>
    <w:p w14:paraId="7617CBDF">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1.1.5 其他相关采购文件。</w:t>
      </w:r>
    </w:p>
    <w:p w14:paraId="7AC80666">
      <w:pPr>
        <w:snapToGrid w:val="0"/>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1.2 服务</w:t>
      </w:r>
    </w:p>
    <w:p w14:paraId="5F5479A8">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 服务名称：；</w:t>
      </w:r>
    </w:p>
    <w:p w14:paraId="449FD295">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1.2.2 服务内容：；</w:t>
      </w:r>
    </w:p>
    <w:p w14:paraId="6938798E">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1.2.3 服务质量：。</w:t>
      </w:r>
    </w:p>
    <w:p w14:paraId="104B2C96">
      <w:pPr>
        <w:snapToGrid w:val="0"/>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1.3 价款</w:t>
      </w:r>
    </w:p>
    <w:p w14:paraId="7203D34B">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本合同总价为：本合同总价为：￥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 (大写：人民币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49E521D2">
      <w:pPr>
        <w:spacing w:line="71" w:lineRule="exact"/>
        <w:rPr>
          <w:rFonts w:hint="eastAsia" w:ascii="宋体" w:hAnsi="宋体" w:cs="宋体"/>
          <w:color w:val="auto"/>
          <w:highlight w:val="none"/>
        </w:rPr>
      </w:pPr>
    </w:p>
    <w:p w14:paraId="1B340D96">
      <w:pPr>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1.4 付款方式和发票开具方式</w:t>
      </w:r>
    </w:p>
    <w:p w14:paraId="52DEB59F">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1.4.1 付款方式：    </w:t>
      </w:r>
    </w:p>
    <w:p w14:paraId="36F1EDA0">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1.4.2 发票开具方式： </w:t>
      </w:r>
    </w:p>
    <w:p w14:paraId="19BE0C8D">
      <w:pPr>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1.5 服务期限、地点和方式</w:t>
      </w:r>
    </w:p>
    <w:p w14:paraId="3E4833F6">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1.5.1 服务期限：</w:t>
      </w:r>
    </w:p>
    <w:p w14:paraId="343EAD5D">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1.5.2 服务地点：</w:t>
      </w:r>
    </w:p>
    <w:p w14:paraId="5BAA16BE">
      <w:pPr>
        <w:widowControl/>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1.5.3 服务方式：</w:t>
      </w:r>
    </w:p>
    <w:p w14:paraId="6354C322">
      <w:pPr>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1.6 违约责任</w:t>
      </w:r>
    </w:p>
    <w:p w14:paraId="4C16769E">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%计算，最高限额为本合同总价的</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rPr>
        <w:t>%；迟延履行的违约金计算数额达到前述最高限额之日起，甲方有权在要求乙方支付违约金的同时，书面通知乙方解除本合同；</w:t>
      </w:r>
    </w:p>
    <w:p w14:paraId="7518086C">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szCs w:val="24"/>
          <w:highlight w:val="none"/>
          <w:u w:val="single"/>
          <w:lang w:val="en-US" w:eastAsia="zh-CN"/>
        </w:rPr>
        <w:t>0.1</w:t>
      </w:r>
      <w:r>
        <w:rPr>
          <w:rFonts w:hint="eastAsia" w:ascii="宋体" w:hAnsi="宋体" w:cs="宋体"/>
          <w:color w:val="auto"/>
          <w:sz w:val="24"/>
          <w:szCs w:val="24"/>
          <w:highlight w:val="none"/>
        </w:rPr>
        <w:t>%计算，最高限额为本合同总价的</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%；迟延付款的违约金计算数额达到前述最高限额之日起，乙方有权在要求甲方支付违约金的同时，书面通知甲方解除本合同；</w:t>
      </w:r>
    </w:p>
    <w:p w14:paraId="075AC5A5">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70345E7">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FAE7112">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1.6.5 除前述约定外， 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5EFC2D0">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4063B340">
      <w:pPr>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1.7 合同争议的解决</w:t>
      </w:r>
    </w:p>
    <w:p w14:paraId="672B0F5E">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本合同履行过程中发生的任何争议，双方当事人均可通过和解或者调解解决； 不愿和解、调解或者和解、调解不成的，可以选择下列第</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种方式解决：</w:t>
      </w:r>
    </w:p>
    <w:p w14:paraId="2BE1DA47">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1.7.1 将争议提交六安仲裁委员会依申请仲裁；</w:t>
      </w:r>
    </w:p>
    <w:p w14:paraId="5DD5B848">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1.7.2 向 </w:t>
      </w:r>
      <w:r>
        <w:rPr>
          <w:rFonts w:hint="eastAsia" w:ascii="宋体" w:hAnsi="宋体" w:cs="宋体"/>
          <w:color w:val="auto"/>
          <w:sz w:val="24"/>
          <w:szCs w:val="24"/>
          <w:highlight w:val="none"/>
          <w:u w:val="single"/>
        </w:rPr>
        <w:t xml:space="preserve"> 项目所在地  </w:t>
      </w:r>
      <w:r>
        <w:rPr>
          <w:rFonts w:hint="eastAsia" w:ascii="宋体" w:hAnsi="宋体" w:cs="宋体"/>
          <w:color w:val="auto"/>
          <w:sz w:val="24"/>
          <w:szCs w:val="24"/>
          <w:highlight w:val="none"/>
        </w:rPr>
        <w:t>人民法院起诉。</w:t>
      </w:r>
    </w:p>
    <w:p w14:paraId="15C745F7">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 合同生效</w:t>
      </w:r>
    </w:p>
    <w:p w14:paraId="71589926">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本合同自双方当事人盖章时生效。</w:t>
      </w:r>
    </w:p>
    <w:p w14:paraId="70D8CF29">
      <w:pPr>
        <w:spacing w:line="272" w:lineRule="auto"/>
        <w:rPr>
          <w:rFonts w:hint="eastAsia" w:ascii="宋体" w:hAnsi="宋体" w:cs="宋体"/>
          <w:color w:val="auto"/>
          <w:highlight w:val="none"/>
        </w:rPr>
      </w:pPr>
    </w:p>
    <w:p w14:paraId="16D44850">
      <w:pPr>
        <w:rPr>
          <w:rFonts w:hint="eastAsia" w:ascii="宋体" w:hAnsi="宋体" w:cs="宋体"/>
          <w:color w:val="auto"/>
          <w:highlight w:val="none"/>
        </w:rPr>
      </w:pPr>
      <w:r>
        <w:rPr>
          <w:rFonts w:hint="eastAsia" w:ascii="宋体" w:hAnsi="宋体" w:cs="宋体"/>
          <w:color w:val="auto"/>
          <w:highlight w:val="none"/>
        </w:rPr>
        <w:br w:type="page"/>
      </w:r>
    </w:p>
    <w:p w14:paraId="63C70B8F">
      <w:pPr>
        <w:pStyle w:val="2"/>
        <w:ind w:firstLine="0"/>
        <w:rPr>
          <w:rFonts w:hint="eastAsia" w:ascii="宋体" w:hAnsi="宋体" w:cs="宋体"/>
          <w:color w:val="auto"/>
          <w:highlight w:val="none"/>
        </w:rPr>
      </w:pPr>
    </w:p>
    <w:p w14:paraId="35F384D3">
      <w:pPr>
        <w:pStyle w:val="2"/>
        <w:ind w:firstLine="0"/>
        <w:rPr>
          <w:rFonts w:hint="eastAsia" w:ascii="宋体" w:hAnsi="宋体" w:cs="宋体"/>
          <w:color w:val="auto"/>
          <w:highlight w:val="none"/>
        </w:rPr>
      </w:pPr>
      <w:r>
        <w:rPr>
          <w:rFonts w:hint="eastAsia" w:ascii="宋体" w:hAnsi="宋体" w:cs="宋体"/>
          <w:color w:val="auto"/>
          <w:highlight w:val="none"/>
        </w:rPr>
        <w:t>（签字盖章页）</w:t>
      </w:r>
    </w:p>
    <w:p w14:paraId="202F233D">
      <w:pPr>
        <w:pStyle w:val="2"/>
        <w:ind w:firstLine="0"/>
        <w:rPr>
          <w:rFonts w:hint="eastAsia" w:ascii="宋体" w:hAnsi="宋体" w:cs="宋体"/>
          <w:color w:val="auto"/>
          <w:highlight w:val="none"/>
        </w:rPr>
      </w:pPr>
    </w:p>
    <w:tbl>
      <w:tblPr>
        <w:tblStyle w:val="14"/>
        <w:tblW w:w="8388" w:type="dxa"/>
        <w:jc w:val="center"/>
        <w:tblLayout w:type="fixed"/>
        <w:tblCellMar>
          <w:top w:w="0" w:type="dxa"/>
          <w:left w:w="108" w:type="dxa"/>
          <w:bottom w:w="0" w:type="dxa"/>
          <w:right w:w="108" w:type="dxa"/>
        </w:tblCellMar>
      </w:tblPr>
      <w:tblGrid>
        <w:gridCol w:w="8388"/>
      </w:tblGrid>
      <w:tr w14:paraId="74ED9CCB">
        <w:tblPrEx>
          <w:tblCellMar>
            <w:top w:w="0" w:type="dxa"/>
            <w:left w:w="108" w:type="dxa"/>
            <w:bottom w:w="0" w:type="dxa"/>
            <w:right w:w="108" w:type="dxa"/>
          </w:tblCellMar>
        </w:tblPrEx>
        <w:trPr>
          <w:trHeight w:val="608" w:hRule="atLeast"/>
          <w:jc w:val="center"/>
        </w:trPr>
        <w:tc>
          <w:tcPr>
            <w:tcW w:w="8388" w:type="dxa"/>
            <w:vAlign w:val="center"/>
          </w:tcPr>
          <w:p w14:paraId="3C77769B">
            <w:pPr>
              <w:spacing w:before="156" w:after="93"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甲方（盖章）：</w:t>
            </w:r>
            <w:r>
              <w:rPr>
                <w:rFonts w:hint="eastAsia" w:ascii="宋体" w:hAnsi="宋体" w:cs="宋体"/>
                <w:color w:val="auto"/>
                <w:sz w:val="24"/>
                <w:szCs w:val="24"/>
                <w:highlight w:val="none"/>
                <w:u w:val="single"/>
              </w:rPr>
              <w:t xml:space="preserve">             </w:t>
            </w:r>
          </w:p>
        </w:tc>
      </w:tr>
      <w:tr w14:paraId="38BCBC30">
        <w:tblPrEx>
          <w:tblCellMar>
            <w:top w:w="0" w:type="dxa"/>
            <w:left w:w="108" w:type="dxa"/>
            <w:bottom w:w="0" w:type="dxa"/>
            <w:right w:w="108" w:type="dxa"/>
          </w:tblCellMar>
        </w:tblPrEx>
        <w:trPr>
          <w:jc w:val="center"/>
        </w:trPr>
        <w:tc>
          <w:tcPr>
            <w:tcW w:w="8388" w:type="dxa"/>
            <w:vAlign w:val="center"/>
          </w:tcPr>
          <w:p w14:paraId="0167AFD1">
            <w:pPr>
              <w:spacing w:before="156" w:after="93"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p>
          <w:p w14:paraId="48303833">
            <w:pPr>
              <w:spacing w:before="156" w:after="93"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或授权代表签字：</w:t>
            </w:r>
          </w:p>
        </w:tc>
      </w:tr>
      <w:tr w14:paraId="03DEB67F">
        <w:tblPrEx>
          <w:tblCellMar>
            <w:top w:w="0" w:type="dxa"/>
            <w:left w:w="108" w:type="dxa"/>
            <w:bottom w:w="0" w:type="dxa"/>
            <w:right w:w="108" w:type="dxa"/>
          </w:tblCellMar>
        </w:tblPrEx>
        <w:trPr>
          <w:trHeight w:val="636" w:hRule="atLeast"/>
          <w:jc w:val="center"/>
        </w:trPr>
        <w:tc>
          <w:tcPr>
            <w:tcW w:w="8388" w:type="dxa"/>
            <w:vAlign w:val="center"/>
          </w:tcPr>
          <w:p w14:paraId="7904F1D2">
            <w:pPr>
              <w:spacing w:before="156" w:after="93"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日   期：     年    月    日</w:t>
            </w:r>
          </w:p>
        </w:tc>
      </w:tr>
      <w:tr w14:paraId="0720F58F">
        <w:tblPrEx>
          <w:tblCellMar>
            <w:top w:w="0" w:type="dxa"/>
            <w:left w:w="108" w:type="dxa"/>
            <w:bottom w:w="0" w:type="dxa"/>
            <w:right w:w="108" w:type="dxa"/>
          </w:tblCellMar>
        </w:tblPrEx>
        <w:trPr>
          <w:trHeight w:val="636" w:hRule="atLeast"/>
          <w:jc w:val="center"/>
        </w:trPr>
        <w:tc>
          <w:tcPr>
            <w:tcW w:w="8388" w:type="dxa"/>
            <w:vAlign w:val="center"/>
          </w:tcPr>
          <w:p w14:paraId="7CD09FB0">
            <w:pPr>
              <w:spacing w:before="156" w:after="93" w:line="440" w:lineRule="exact"/>
              <w:rPr>
                <w:rFonts w:hint="eastAsia" w:ascii="宋体" w:hAnsi="宋体" w:cs="宋体"/>
                <w:color w:val="auto"/>
                <w:sz w:val="24"/>
                <w:szCs w:val="24"/>
                <w:highlight w:val="none"/>
              </w:rPr>
            </w:pPr>
          </w:p>
        </w:tc>
      </w:tr>
      <w:tr w14:paraId="4C9F886B">
        <w:tblPrEx>
          <w:tblCellMar>
            <w:top w:w="0" w:type="dxa"/>
            <w:left w:w="108" w:type="dxa"/>
            <w:bottom w:w="0" w:type="dxa"/>
            <w:right w:w="108" w:type="dxa"/>
          </w:tblCellMar>
        </w:tblPrEx>
        <w:trPr>
          <w:trHeight w:val="636" w:hRule="atLeast"/>
          <w:jc w:val="center"/>
        </w:trPr>
        <w:tc>
          <w:tcPr>
            <w:tcW w:w="8388" w:type="dxa"/>
            <w:vAlign w:val="center"/>
          </w:tcPr>
          <w:p w14:paraId="78EB0155">
            <w:pPr>
              <w:spacing w:before="156" w:after="93"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乙方（盖章）：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tc>
      </w:tr>
      <w:tr w14:paraId="55B4ED03">
        <w:tblPrEx>
          <w:tblCellMar>
            <w:top w:w="0" w:type="dxa"/>
            <w:left w:w="108" w:type="dxa"/>
            <w:bottom w:w="0" w:type="dxa"/>
            <w:right w:w="108" w:type="dxa"/>
          </w:tblCellMar>
        </w:tblPrEx>
        <w:trPr>
          <w:trHeight w:val="636" w:hRule="atLeast"/>
          <w:jc w:val="center"/>
        </w:trPr>
        <w:tc>
          <w:tcPr>
            <w:tcW w:w="8388" w:type="dxa"/>
            <w:vAlign w:val="center"/>
          </w:tcPr>
          <w:p w14:paraId="651E7AEF">
            <w:pPr>
              <w:spacing w:before="156" w:after="93"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p>
          <w:p w14:paraId="552C83A5">
            <w:pPr>
              <w:spacing w:before="156" w:after="93"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或授权代表签字：</w:t>
            </w:r>
          </w:p>
        </w:tc>
      </w:tr>
      <w:tr w14:paraId="4F15EB7D">
        <w:tblPrEx>
          <w:tblCellMar>
            <w:top w:w="0" w:type="dxa"/>
            <w:left w:w="108" w:type="dxa"/>
            <w:bottom w:w="0" w:type="dxa"/>
            <w:right w:w="108" w:type="dxa"/>
          </w:tblCellMar>
        </w:tblPrEx>
        <w:trPr>
          <w:trHeight w:val="636" w:hRule="atLeast"/>
          <w:jc w:val="center"/>
        </w:trPr>
        <w:tc>
          <w:tcPr>
            <w:tcW w:w="8388" w:type="dxa"/>
            <w:vAlign w:val="center"/>
          </w:tcPr>
          <w:p w14:paraId="39E39D84">
            <w:pPr>
              <w:spacing w:before="156" w:after="93"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日   期：     年    月    日</w:t>
            </w:r>
          </w:p>
        </w:tc>
      </w:tr>
      <w:tr w14:paraId="53CB9EA1">
        <w:tblPrEx>
          <w:tblCellMar>
            <w:top w:w="0" w:type="dxa"/>
            <w:left w:w="108" w:type="dxa"/>
            <w:bottom w:w="0" w:type="dxa"/>
            <w:right w:w="108" w:type="dxa"/>
          </w:tblCellMar>
        </w:tblPrEx>
        <w:trPr>
          <w:trHeight w:val="636" w:hRule="atLeast"/>
          <w:jc w:val="center"/>
        </w:trPr>
        <w:tc>
          <w:tcPr>
            <w:tcW w:w="8388" w:type="dxa"/>
            <w:vAlign w:val="center"/>
          </w:tcPr>
          <w:p w14:paraId="2110002A">
            <w:pPr>
              <w:spacing w:before="156" w:after="93" w:line="440" w:lineRule="exact"/>
              <w:rPr>
                <w:rFonts w:hint="eastAsia" w:ascii="宋体" w:hAnsi="宋体" w:cs="宋体"/>
                <w:color w:val="auto"/>
                <w:sz w:val="24"/>
                <w:szCs w:val="24"/>
                <w:highlight w:val="none"/>
              </w:rPr>
            </w:pPr>
          </w:p>
        </w:tc>
      </w:tr>
    </w:tbl>
    <w:p w14:paraId="398E966F">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0C283A69">
      <w:pPr>
        <w:spacing w:before="78" w:line="220" w:lineRule="auto"/>
        <w:ind w:left="2985"/>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第二部分 合同一般条款</w:t>
      </w:r>
    </w:p>
    <w:p w14:paraId="0AF680F8">
      <w:pPr>
        <w:spacing w:line="520" w:lineRule="exact"/>
        <w:ind w:firstLine="480" w:firstLineChars="200"/>
        <w:outlineLvl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 定义</w:t>
      </w:r>
    </w:p>
    <w:p w14:paraId="301D8C3D">
      <w:pPr>
        <w:spacing w:line="5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本合同中的下列词语应按以下内容进行解释：</w:t>
      </w:r>
    </w:p>
    <w:p w14:paraId="40CFACA1">
      <w:pPr>
        <w:spacing w:line="5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2.1.1 “合同”系指采购人和成交供应商签订的载明双方当事人所达成的协议，并包括所有的附件、附录和构成合同的其他文件。</w:t>
      </w:r>
    </w:p>
    <w:p w14:paraId="3CFBAB98">
      <w:pPr>
        <w:spacing w:line="5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2.1.2 “合同价”系指根据合同约定，成交供应商在完全履行合同义务后，采购人应支付给成交供应商的价格。</w:t>
      </w:r>
    </w:p>
    <w:p w14:paraId="0EAA0375">
      <w:pPr>
        <w:spacing w:line="5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2.1.3 “服务”系指成交供应商根据合同约定应向采购人履行的除货物和工程以外的其他政府采购对象， 包括采购人自身需要的服务和向社会公众提供的公共服务。</w:t>
      </w:r>
    </w:p>
    <w:p w14:paraId="5E14C714">
      <w:pPr>
        <w:spacing w:line="5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2.1.4 “甲方”系指与成交供应商签署合同的采购人；采购人委托采购代理机构代表其与乙方签订合同的，采购人的授权委托书作为合同附件。</w:t>
      </w:r>
    </w:p>
    <w:p w14:paraId="765450EC">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2.1.5 “乙方”系指根据合同约定提供服务的成交供应商；两个以上的自然人、法人或者其他组织组成一个联合体，以一个供应商的身份共同参加政府采购的，联合体各方均应为乙方或者与乙方相同地位</w:t>
      </w:r>
      <w:r>
        <w:rPr>
          <w:rFonts w:hint="eastAsia" w:ascii="宋体" w:hAnsi="宋体" w:cs="宋体"/>
          <w:color w:val="auto"/>
          <w:sz w:val="24"/>
          <w:szCs w:val="24"/>
          <w:highlight w:val="none"/>
        </w:rPr>
        <w:t>的合同当事人，并就合同约定的事项对甲方承担连带责任。</w:t>
      </w:r>
    </w:p>
    <w:p w14:paraId="315EDEAA">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2.1.6 “现场”系指合同约定提供服务的地点。</w:t>
      </w:r>
    </w:p>
    <w:p w14:paraId="405A121C">
      <w:pPr>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2.2 技术规范</w:t>
      </w:r>
    </w:p>
    <w:p w14:paraId="376E753B">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11647AC">
      <w:pPr>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2.3 知识产权</w:t>
      </w:r>
    </w:p>
    <w:p w14:paraId="13275B8F">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26BB050">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2.3.2 具有知识产权的计算机软件等货物的知识产权归属， 详见</w:t>
      </w:r>
      <w:r>
        <w:rPr>
          <w:rFonts w:hint="eastAsia" w:ascii="宋体" w:hAnsi="宋体" w:cs="宋体"/>
          <w:color w:val="auto"/>
          <w:sz w:val="24"/>
          <w:szCs w:val="24"/>
          <w:highlight w:val="none"/>
          <w:u w:val="single"/>
        </w:rPr>
        <w:t>合同专用条 款</w:t>
      </w:r>
      <w:r>
        <w:rPr>
          <w:rFonts w:hint="eastAsia" w:ascii="宋体" w:hAnsi="宋体" w:cs="宋体"/>
          <w:color w:val="auto"/>
          <w:sz w:val="24"/>
          <w:szCs w:val="24"/>
          <w:highlight w:val="none"/>
        </w:rPr>
        <w:t>。</w:t>
      </w:r>
    </w:p>
    <w:p w14:paraId="540005F9">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 履约检查和问题反馈</w:t>
      </w:r>
    </w:p>
    <w:p w14:paraId="6C140037">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2.4.1 甲方有权在其认为必要时，对乙方是否能够按照合同约定提供服务进行履约检查，以确保乙方所提供的服务能够依约满足甲方项目需求，但不得因履约检查妨碍乙方的正常工作，乙方应予积极配合；</w:t>
      </w:r>
    </w:p>
    <w:p w14:paraId="67E6E57F">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2.4.2 合同履行期间，甲方有权将履行过程中出现的问题反馈给乙方，双方当事人应以书面形式约定需要完善和改进的内容。</w:t>
      </w:r>
    </w:p>
    <w:p w14:paraId="4519078A">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 结算方式和付款条件详见</w:t>
      </w:r>
      <w:r>
        <w:rPr>
          <w:rFonts w:hint="eastAsia" w:ascii="宋体" w:hAnsi="宋体" w:cs="宋体"/>
          <w:color w:val="auto"/>
          <w:sz w:val="24"/>
          <w:szCs w:val="24"/>
          <w:highlight w:val="none"/>
          <w:u w:val="single"/>
        </w:rPr>
        <w:t>合同专用条款</w:t>
      </w:r>
      <w:r>
        <w:rPr>
          <w:rFonts w:hint="eastAsia" w:ascii="宋体" w:hAnsi="宋体" w:cs="宋体"/>
          <w:color w:val="auto"/>
          <w:sz w:val="24"/>
          <w:szCs w:val="24"/>
          <w:highlight w:val="none"/>
        </w:rPr>
        <w:t>。</w:t>
      </w:r>
    </w:p>
    <w:p w14:paraId="1D3EFEDA">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2.6 技术资料和保密义务</w:t>
      </w:r>
    </w:p>
    <w:p w14:paraId="61C166A9">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2.6.1 乙方有权依据合同约定和项目需要，向甲方了解有关情况，调阅有关资料等，甲方应予积极配合；</w:t>
      </w:r>
    </w:p>
    <w:p w14:paraId="5E9D11DE">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2.6.2 乙方有义务妥善保管和保护由甲方提供的前款信息和资料等；</w:t>
      </w:r>
    </w:p>
    <w:p w14:paraId="1F888E60">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095C646">
      <w:pPr>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2.7 质量保证</w:t>
      </w:r>
    </w:p>
    <w:p w14:paraId="285C7894">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2.7.1 乙方应建立和完善履行合同的内部质量保证体系，并提供相关内部规章制度给甲方，以便甲方进行监督检查；</w:t>
      </w:r>
    </w:p>
    <w:p w14:paraId="1303ED8B">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2.7.2 乙方应保证履行合同的人员数量和素质、软件和硬件设备的配置、场地、环境和设施等满足全面履行合同的要求，并应接受甲方的监督检查。</w:t>
      </w:r>
    </w:p>
    <w:p w14:paraId="3D47F308">
      <w:pPr>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2.8 延迟履行</w:t>
      </w:r>
    </w:p>
    <w:p w14:paraId="754BE55C">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456258E">
      <w:pPr>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2.9 合同变更</w:t>
      </w:r>
    </w:p>
    <w:p w14:paraId="0DDCCC9E">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2.9.1 双方当事人协商一致，可以签订书面补充合同的形式变更合同，但不 得违背采购文件确定的事项；</w:t>
      </w:r>
    </w:p>
    <w:p w14:paraId="3B2C5B69">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2.9.2 合同继续履行将损害国家利益和社会公共利益的，双方当事人应当以书面形式变更合同。有过错的一方应当承担赔偿责任，双方当事人都有过错的， 各自承担相应的责任。</w:t>
      </w:r>
    </w:p>
    <w:p w14:paraId="2D0B6440">
      <w:pPr>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2.10 合同转让和分包</w:t>
      </w:r>
    </w:p>
    <w:p w14:paraId="4DCB47A0">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EB66FB3">
      <w:pPr>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2.11 不可抗力</w:t>
      </w:r>
    </w:p>
    <w:p w14:paraId="2A625C5B">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2.11.1 如果任何一方遭遇法律规定的不可抗力，致使合同履行受阻时，履行合同的期限应予延长，延长的期限应相当于不可抗力所影响的时间；</w:t>
      </w:r>
    </w:p>
    <w:p w14:paraId="3B50F47E">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2.11.2 因不可抗力致使不能实现合同目的的，当事人可以解除合同；</w:t>
      </w:r>
    </w:p>
    <w:p w14:paraId="2DF8CA5C">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2.11.3 因不可抗力致使合同有变更必要的，双方当事人应在</w:t>
      </w:r>
      <w:r>
        <w:rPr>
          <w:rFonts w:hint="eastAsia" w:ascii="宋体" w:hAnsi="宋体" w:cs="宋体"/>
          <w:color w:val="auto"/>
          <w:sz w:val="24"/>
          <w:szCs w:val="24"/>
          <w:highlight w:val="none"/>
          <w:u w:val="single"/>
        </w:rPr>
        <w:t>合同专用条款</w:t>
      </w:r>
      <w:r>
        <w:rPr>
          <w:rFonts w:hint="eastAsia" w:ascii="宋体" w:hAnsi="宋体" w:cs="宋体"/>
          <w:color w:val="auto"/>
          <w:sz w:val="24"/>
          <w:szCs w:val="24"/>
          <w:highlight w:val="none"/>
        </w:rPr>
        <w:t>约定时间内以书面形式变更合同；</w:t>
      </w:r>
    </w:p>
    <w:p w14:paraId="3A83839C">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2.11.4 受不可抗力影响的一方在不可抗力发生后，应在</w:t>
      </w:r>
      <w:r>
        <w:rPr>
          <w:rFonts w:hint="eastAsia" w:ascii="宋体" w:hAnsi="宋体" w:cs="宋体"/>
          <w:color w:val="auto"/>
          <w:sz w:val="24"/>
          <w:szCs w:val="24"/>
          <w:highlight w:val="none"/>
          <w:u w:val="single"/>
        </w:rPr>
        <w:t>合同专用条款</w:t>
      </w:r>
      <w:r>
        <w:rPr>
          <w:rFonts w:hint="eastAsia" w:ascii="宋体" w:hAnsi="宋体" w:cs="宋体"/>
          <w:color w:val="auto"/>
          <w:sz w:val="24"/>
          <w:szCs w:val="24"/>
          <w:highlight w:val="none"/>
        </w:rPr>
        <w:t>约定时间内以书面形式通知对方当事人，并在</w:t>
      </w:r>
      <w:r>
        <w:rPr>
          <w:rFonts w:hint="eastAsia" w:ascii="宋体" w:hAnsi="宋体" w:cs="宋体"/>
          <w:color w:val="auto"/>
          <w:sz w:val="24"/>
          <w:szCs w:val="24"/>
          <w:highlight w:val="none"/>
          <w:u w:val="single"/>
        </w:rPr>
        <w:t>合同专用条款</w:t>
      </w:r>
      <w:r>
        <w:rPr>
          <w:rFonts w:hint="eastAsia" w:ascii="宋体" w:hAnsi="宋体" w:cs="宋体"/>
          <w:color w:val="auto"/>
          <w:sz w:val="24"/>
          <w:szCs w:val="24"/>
          <w:highlight w:val="none"/>
        </w:rPr>
        <w:t>约定时间内，将有关部门出具的证明文件送达对方当事人。</w:t>
      </w:r>
    </w:p>
    <w:p w14:paraId="2255EBF6">
      <w:pPr>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2.12 税费</w:t>
      </w:r>
    </w:p>
    <w:p w14:paraId="06642E98">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与合同有关的一切税费，均按照中华人民共和国法律的相关规定缴纳。</w:t>
      </w:r>
    </w:p>
    <w:p w14:paraId="7425E9AC">
      <w:pPr>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2.13 乙方破产</w:t>
      </w:r>
    </w:p>
    <w:p w14:paraId="67EE0EFC">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6074C6C">
      <w:pPr>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2.14 合同中止、终止</w:t>
      </w:r>
    </w:p>
    <w:p w14:paraId="0CC78E86">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2.14.1 双方当事人不得擅自中止或者终止合同；</w:t>
      </w:r>
    </w:p>
    <w:p w14:paraId="6C05A1ED">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2.14.2 合同继续履行将损害国家利益和社会公共利益的，双方当事人应当中止或者终止合同。有过错的一方应当承担赔偿责任，双方当事人都有过错的，各自承担相应的责任。</w:t>
      </w:r>
    </w:p>
    <w:p w14:paraId="3B49FAA2">
      <w:pPr>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2.15 检验和验收</w:t>
      </w:r>
    </w:p>
    <w:p w14:paraId="593391C3">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2.15.1 乙方按照</w:t>
      </w:r>
      <w:r>
        <w:rPr>
          <w:rFonts w:hint="eastAsia" w:ascii="宋体" w:hAnsi="宋体" w:cs="宋体"/>
          <w:color w:val="auto"/>
          <w:sz w:val="24"/>
          <w:szCs w:val="24"/>
          <w:highlight w:val="none"/>
          <w:u w:val="single"/>
        </w:rPr>
        <w:t>合同专用条款</w:t>
      </w:r>
      <w:r>
        <w:rPr>
          <w:rFonts w:hint="eastAsia" w:ascii="宋体" w:hAnsi="宋体" w:cs="宋体"/>
          <w:color w:val="auto"/>
          <w:sz w:val="24"/>
          <w:szCs w:val="24"/>
          <w:highlight w:val="none"/>
        </w:rPr>
        <w:t>的约定，定期提交服务报告，甲方按照</w:t>
      </w:r>
      <w:r>
        <w:rPr>
          <w:rFonts w:hint="eastAsia" w:ascii="宋体" w:hAnsi="宋体" w:cs="宋体"/>
          <w:color w:val="auto"/>
          <w:sz w:val="24"/>
          <w:szCs w:val="24"/>
          <w:highlight w:val="none"/>
          <w:u w:val="single"/>
        </w:rPr>
        <w:t>合同专用条款</w:t>
      </w:r>
      <w:r>
        <w:rPr>
          <w:rFonts w:hint="eastAsia" w:ascii="宋体" w:hAnsi="宋体" w:cs="宋体"/>
          <w:color w:val="auto"/>
          <w:sz w:val="24"/>
          <w:szCs w:val="24"/>
          <w:highlight w:val="none"/>
        </w:rPr>
        <w:t>的约定进行定期验收；</w:t>
      </w:r>
    </w:p>
    <w:p w14:paraId="51835310">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2.15.2 合同期满或者履行完毕后，甲方有权组织(包括依法邀请国家认可的质量检测机构参加) 对乙方履约的验收，即：按照合同约定的标准，组织对乙方履约情况的验收，并出具验收书；向社会公众提供的公共服务项目，验收时应当邀请服务对象参与并出具意见，验收结果应当向社会公告；</w:t>
      </w:r>
    </w:p>
    <w:p w14:paraId="38A0FB7F">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2.15.3 检验和验收标准、程序等具体内容以及前述验收书的效力详见</w:t>
      </w:r>
      <w:r>
        <w:rPr>
          <w:rFonts w:hint="eastAsia" w:ascii="宋体" w:hAnsi="宋体" w:cs="宋体"/>
          <w:color w:val="auto"/>
          <w:sz w:val="24"/>
          <w:szCs w:val="24"/>
          <w:highlight w:val="none"/>
          <w:u w:val="single"/>
        </w:rPr>
        <w:t>合同专用条款。</w:t>
      </w:r>
    </w:p>
    <w:p w14:paraId="0FE57A7B">
      <w:pPr>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2.16 合同使用的文字和适用的法律</w:t>
      </w:r>
    </w:p>
    <w:p w14:paraId="188FA8EC">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2.16.1 合同使用汉语书就、变更和解释；</w:t>
      </w:r>
    </w:p>
    <w:p w14:paraId="6D4F944A">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2.16.2 合同适用中华人民共和国法律。</w:t>
      </w:r>
    </w:p>
    <w:p w14:paraId="7183A14B">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2.17 履约保证金</w:t>
      </w:r>
    </w:p>
    <w:p w14:paraId="6F4964E4">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2.17.1 采购文件要求乙方提交履约保证金的，乙方应按</w:t>
      </w:r>
      <w:r>
        <w:rPr>
          <w:rFonts w:hint="eastAsia" w:ascii="宋体" w:hAnsi="宋体" w:cs="宋体"/>
          <w:color w:val="auto"/>
          <w:sz w:val="24"/>
          <w:szCs w:val="24"/>
          <w:highlight w:val="none"/>
          <w:u w:val="single"/>
        </w:rPr>
        <w:t>供应商须知前附表的</w:t>
      </w:r>
      <w:r>
        <w:rPr>
          <w:rFonts w:hint="eastAsia" w:ascii="宋体" w:hAnsi="宋体" w:cs="宋体"/>
          <w:color w:val="auto"/>
          <w:sz w:val="24"/>
          <w:szCs w:val="24"/>
          <w:highlight w:val="none"/>
        </w:rPr>
        <w:t>约定提交不超过合同价2.5%的履约保证金（本项目不要求）；</w:t>
      </w:r>
    </w:p>
    <w:p w14:paraId="18053304">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2.17.2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68EAD1A">
      <w:pPr>
        <w:spacing w:line="520" w:lineRule="exact"/>
        <w:ind w:firstLine="480" w:firstLineChars="20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2.18 合同份数</w:t>
      </w:r>
    </w:p>
    <w:p w14:paraId="37C9D864">
      <w:pPr>
        <w:spacing w:line="520" w:lineRule="exact"/>
        <w:ind w:firstLine="480" w:firstLineChars="200"/>
        <w:rPr>
          <w:rFonts w:hint="eastAsia" w:ascii="宋体" w:hAnsi="宋体" w:cs="宋体"/>
          <w:color w:val="auto"/>
          <w:highlight w:val="none"/>
        </w:rPr>
        <w:sectPr>
          <w:headerReference r:id="rId6" w:type="default"/>
          <w:footerReference r:id="rId7" w:type="default"/>
          <w:pgSz w:w="11907" w:h="16839"/>
          <w:pgMar w:top="1118" w:right="1731" w:bottom="1233" w:left="1771" w:header="877" w:footer="982" w:gutter="0"/>
          <w:pgNumType w:fmt="numberInDash"/>
          <w:cols w:space="720" w:num="1"/>
        </w:sectPr>
      </w:pPr>
      <w:r>
        <w:rPr>
          <w:rFonts w:hint="eastAsia" w:ascii="宋体" w:hAnsi="宋体" w:cs="宋体"/>
          <w:color w:val="auto"/>
          <w:sz w:val="24"/>
          <w:szCs w:val="24"/>
          <w:highlight w:val="none"/>
        </w:rPr>
        <w:t>合同份数按</w:t>
      </w:r>
      <w:r>
        <w:rPr>
          <w:rFonts w:hint="eastAsia" w:ascii="宋体" w:hAnsi="宋体" w:cs="宋体"/>
          <w:color w:val="auto"/>
          <w:sz w:val="24"/>
          <w:szCs w:val="24"/>
          <w:highlight w:val="none"/>
          <w:u w:val="single"/>
        </w:rPr>
        <w:t>合同专用条款</w:t>
      </w:r>
      <w:r>
        <w:rPr>
          <w:rFonts w:hint="eastAsia" w:ascii="宋体" w:hAnsi="宋体" w:cs="宋体"/>
          <w:color w:val="auto"/>
          <w:sz w:val="24"/>
          <w:szCs w:val="24"/>
          <w:highlight w:val="none"/>
        </w:rPr>
        <w:t>规定，每份均具有同等法律效力。</w:t>
      </w:r>
    </w:p>
    <w:p w14:paraId="379DE8A0">
      <w:pPr>
        <w:adjustRightInd w:val="0"/>
        <w:snapToGrid w:val="0"/>
        <w:spacing w:line="7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第三部分 合同专用条款</w:t>
      </w:r>
    </w:p>
    <w:p w14:paraId="01F8A8D7">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5E2B759">
      <w:pPr>
        <w:spacing w:line="69" w:lineRule="exact"/>
        <w:rPr>
          <w:rFonts w:hint="eastAsia" w:ascii="宋体" w:hAnsi="宋体" w:cs="宋体"/>
          <w:color w:val="auto"/>
          <w:sz w:val="24"/>
          <w:szCs w:val="24"/>
          <w:highlight w:val="none"/>
        </w:rPr>
      </w:pPr>
    </w:p>
    <w:tbl>
      <w:tblPr>
        <w:tblStyle w:val="14"/>
        <w:tblW w:w="83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57" w:type="dxa"/>
          <w:bottom w:w="28" w:type="dxa"/>
          <w:right w:w="57" w:type="dxa"/>
        </w:tblCellMar>
      </w:tblPr>
      <w:tblGrid>
        <w:gridCol w:w="1356"/>
        <w:gridCol w:w="7014"/>
      </w:tblGrid>
      <w:tr w14:paraId="59552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95" w:hRule="atLeast"/>
          <w:jc w:val="center"/>
        </w:trPr>
        <w:tc>
          <w:tcPr>
            <w:tcW w:w="1356" w:type="dxa"/>
            <w:tcBorders>
              <w:right w:val="single" w:color="000000" w:sz="4" w:space="0"/>
            </w:tcBorders>
            <w:vAlign w:val="center"/>
          </w:tcPr>
          <w:p w14:paraId="4C5A215E">
            <w:pPr>
              <w:spacing w:before="83" w:line="220" w:lineRule="auto"/>
              <w:ind w:left="47"/>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条款号</w:t>
            </w:r>
          </w:p>
        </w:tc>
        <w:tc>
          <w:tcPr>
            <w:tcW w:w="7014" w:type="dxa"/>
            <w:tcBorders>
              <w:left w:val="single" w:color="000000" w:sz="4" w:space="0"/>
              <w:right w:val="single" w:color="000000" w:sz="4" w:space="0"/>
            </w:tcBorders>
            <w:vAlign w:val="center"/>
          </w:tcPr>
          <w:p w14:paraId="04514DE2">
            <w:pPr>
              <w:spacing w:before="83" w:line="22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约定内容</w:t>
            </w:r>
          </w:p>
        </w:tc>
      </w:tr>
      <w:tr w14:paraId="42BAD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vAlign w:val="center"/>
          </w:tcPr>
          <w:p w14:paraId="5C31BA85">
            <w:pPr>
              <w:rPr>
                <w:rFonts w:hint="eastAsia" w:ascii="宋体" w:hAnsi="宋体" w:cs="宋体"/>
                <w:color w:val="auto"/>
                <w:sz w:val="24"/>
                <w:szCs w:val="24"/>
                <w:highlight w:val="none"/>
              </w:rPr>
            </w:pPr>
          </w:p>
        </w:tc>
        <w:tc>
          <w:tcPr>
            <w:tcW w:w="7014" w:type="dxa"/>
            <w:tcBorders>
              <w:left w:val="single" w:color="000000" w:sz="4" w:space="0"/>
              <w:right w:val="single" w:color="000000" w:sz="4" w:space="0"/>
            </w:tcBorders>
            <w:vAlign w:val="center"/>
          </w:tcPr>
          <w:p w14:paraId="12C4E03E">
            <w:pPr>
              <w:rPr>
                <w:rFonts w:hint="eastAsia" w:ascii="宋体" w:hAnsi="宋体" w:cs="宋体"/>
                <w:color w:val="auto"/>
                <w:sz w:val="24"/>
                <w:szCs w:val="24"/>
                <w:highlight w:val="none"/>
              </w:rPr>
            </w:pPr>
          </w:p>
        </w:tc>
      </w:tr>
      <w:tr w14:paraId="6CDF9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vAlign w:val="center"/>
          </w:tcPr>
          <w:p w14:paraId="38C2DF87">
            <w:pPr>
              <w:rPr>
                <w:rFonts w:hint="eastAsia" w:ascii="宋体" w:hAnsi="宋体" w:cs="宋体"/>
                <w:color w:val="auto"/>
                <w:sz w:val="24"/>
                <w:szCs w:val="24"/>
                <w:highlight w:val="none"/>
              </w:rPr>
            </w:pPr>
          </w:p>
        </w:tc>
        <w:tc>
          <w:tcPr>
            <w:tcW w:w="7014" w:type="dxa"/>
            <w:tcBorders>
              <w:left w:val="single" w:color="000000" w:sz="4" w:space="0"/>
              <w:right w:val="single" w:color="000000" w:sz="4" w:space="0"/>
            </w:tcBorders>
            <w:vAlign w:val="center"/>
          </w:tcPr>
          <w:p w14:paraId="3E78DD68">
            <w:pPr>
              <w:rPr>
                <w:rFonts w:hint="eastAsia" w:ascii="宋体" w:hAnsi="宋体" w:cs="宋体"/>
                <w:color w:val="auto"/>
                <w:sz w:val="24"/>
                <w:szCs w:val="24"/>
                <w:highlight w:val="none"/>
              </w:rPr>
            </w:pPr>
          </w:p>
        </w:tc>
      </w:tr>
      <w:tr w14:paraId="2F585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vAlign w:val="center"/>
          </w:tcPr>
          <w:p w14:paraId="21626101">
            <w:pPr>
              <w:rPr>
                <w:rFonts w:hint="eastAsia" w:ascii="宋体" w:hAnsi="宋体" w:cs="宋体"/>
                <w:color w:val="auto"/>
                <w:sz w:val="24"/>
                <w:szCs w:val="24"/>
                <w:highlight w:val="none"/>
              </w:rPr>
            </w:pPr>
          </w:p>
        </w:tc>
        <w:tc>
          <w:tcPr>
            <w:tcW w:w="7014" w:type="dxa"/>
            <w:tcBorders>
              <w:left w:val="single" w:color="000000" w:sz="4" w:space="0"/>
              <w:right w:val="single" w:color="000000" w:sz="4" w:space="0"/>
            </w:tcBorders>
            <w:vAlign w:val="center"/>
          </w:tcPr>
          <w:p w14:paraId="28E96C21">
            <w:pPr>
              <w:rPr>
                <w:rFonts w:hint="eastAsia" w:ascii="宋体" w:hAnsi="宋体" w:cs="宋体"/>
                <w:color w:val="auto"/>
                <w:sz w:val="24"/>
                <w:szCs w:val="24"/>
                <w:highlight w:val="none"/>
              </w:rPr>
            </w:pPr>
          </w:p>
        </w:tc>
      </w:tr>
      <w:tr w14:paraId="05B1E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vAlign w:val="center"/>
          </w:tcPr>
          <w:p w14:paraId="06DC75E7">
            <w:pPr>
              <w:rPr>
                <w:rFonts w:hint="eastAsia" w:ascii="宋体" w:hAnsi="宋体" w:cs="宋体"/>
                <w:color w:val="auto"/>
                <w:sz w:val="24"/>
                <w:szCs w:val="24"/>
                <w:highlight w:val="none"/>
              </w:rPr>
            </w:pPr>
          </w:p>
        </w:tc>
        <w:tc>
          <w:tcPr>
            <w:tcW w:w="7014" w:type="dxa"/>
            <w:tcBorders>
              <w:left w:val="single" w:color="000000" w:sz="4" w:space="0"/>
              <w:right w:val="single" w:color="000000" w:sz="4" w:space="0"/>
            </w:tcBorders>
            <w:vAlign w:val="center"/>
          </w:tcPr>
          <w:p w14:paraId="4309F387">
            <w:pPr>
              <w:rPr>
                <w:rFonts w:hint="eastAsia" w:ascii="宋体" w:hAnsi="宋体" w:cs="宋体"/>
                <w:color w:val="auto"/>
                <w:sz w:val="24"/>
                <w:szCs w:val="24"/>
                <w:highlight w:val="none"/>
              </w:rPr>
            </w:pPr>
          </w:p>
        </w:tc>
      </w:tr>
      <w:tr w14:paraId="550D0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vAlign w:val="center"/>
          </w:tcPr>
          <w:p w14:paraId="30DFB0EA">
            <w:pPr>
              <w:rPr>
                <w:rFonts w:hint="eastAsia" w:ascii="宋体" w:hAnsi="宋体" w:cs="宋体"/>
                <w:color w:val="auto"/>
                <w:sz w:val="24"/>
                <w:szCs w:val="24"/>
                <w:highlight w:val="none"/>
              </w:rPr>
            </w:pPr>
          </w:p>
        </w:tc>
        <w:tc>
          <w:tcPr>
            <w:tcW w:w="7014" w:type="dxa"/>
            <w:tcBorders>
              <w:left w:val="single" w:color="000000" w:sz="4" w:space="0"/>
              <w:right w:val="single" w:color="000000" w:sz="4" w:space="0"/>
            </w:tcBorders>
            <w:vAlign w:val="center"/>
          </w:tcPr>
          <w:p w14:paraId="3FA65010">
            <w:pPr>
              <w:rPr>
                <w:rFonts w:hint="eastAsia" w:ascii="宋体" w:hAnsi="宋体" w:cs="宋体"/>
                <w:color w:val="auto"/>
                <w:sz w:val="24"/>
                <w:szCs w:val="24"/>
                <w:highlight w:val="none"/>
              </w:rPr>
            </w:pPr>
          </w:p>
        </w:tc>
      </w:tr>
      <w:tr w14:paraId="3D4CB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vAlign w:val="center"/>
          </w:tcPr>
          <w:p w14:paraId="5EE59224">
            <w:pPr>
              <w:rPr>
                <w:rFonts w:hint="eastAsia" w:ascii="宋体" w:hAnsi="宋体" w:cs="宋体"/>
                <w:color w:val="auto"/>
                <w:sz w:val="24"/>
                <w:szCs w:val="24"/>
                <w:highlight w:val="none"/>
              </w:rPr>
            </w:pPr>
          </w:p>
        </w:tc>
        <w:tc>
          <w:tcPr>
            <w:tcW w:w="7014" w:type="dxa"/>
            <w:tcBorders>
              <w:left w:val="single" w:color="000000" w:sz="4" w:space="0"/>
              <w:right w:val="single" w:color="000000" w:sz="4" w:space="0"/>
            </w:tcBorders>
            <w:vAlign w:val="center"/>
          </w:tcPr>
          <w:p w14:paraId="2220BB26">
            <w:pPr>
              <w:rPr>
                <w:rFonts w:hint="eastAsia" w:ascii="宋体" w:hAnsi="宋体" w:cs="宋体"/>
                <w:color w:val="auto"/>
                <w:sz w:val="24"/>
                <w:szCs w:val="24"/>
                <w:highlight w:val="none"/>
              </w:rPr>
            </w:pPr>
          </w:p>
        </w:tc>
      </w:tr>
      <w:tr w14:paraId="59DD9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vAlign w:val="center"/>
          </w:tcPr>
          <w:p w14:paraId="5B4BC5EC">
            <w:pPr>
              <w:rPr>
                <w:rFonts w:hint="eastAsia" w:ascii="宋体" w:hAnsi="宋体" w:cs="宋体"/>
                <w:color w:val="auto"/>
                <w:sz w:val="24"/>
                <w:szCs w:val="24"/>
                <w:highlight w:val="none"/>
              </w:rPr>
            </w:pPr>
          </w:p>
        </w:tc>
        <w:tc>
          <w:tcPr>
            <w:tcW w:w="7014" w:type="dxa"/>
            <w:tcBorders>
              <w:left w:val="single" w:color="000000" w:sz="4" w:space="0"/>
              <w:right w:val="single" w:color="000000" w:sz="4" w:space="0"/>
            </w:tcBorders>
            <w:vAlign w:val="center"/>
          </w:tcPr>
          <w:p w14:paraId="75793129">
            <w:pPr>
              <w:rPr>
                <w:rFonts w:hint="eastAsia" w:ascii="宋体" w:hAnsi="宋体" w:cs="宋体"/>
                <w:color w:val="auto"/>
                <w:sz w:val="24"/>
                <w:szCs w:val="24"/>
                <w:highlight w:val="none"/>
              </w:rPr>
            </w:pPr>
          </w:p>
        </w:tc>
      </w:tr>
      <w:tr w14:paraId="720D9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vAlign w:val="center"/>
          </w:tcPr>
          <w:p w14:paraId="7A9A16C4">
            <w:pPr>
              <w:rPr>
                <w:rFonts w:hint="eastAsia" w:ascii="宋体" w:hAnsi="宋体" w:cs="宋体"/>
                <w:color w:val="auto"/>
                <w:sz w:val="24"/>
                <w:szCs w:val="24"/>
                <w:highlight w:val="none"/>
              </w:rPr>
            </w:pPr>
          </w:p>
        </w:tc>
        <w:tc>
          <w:tcPr>
            <w:tcW w:w="7014" w:type="dxa"/>
            <w:tcBorders>
              <w:left w:val="single" w:color="000000" w:sz="4" w:space="0"/>
              <w:right w:val="single" w:color="000000" w:sz="4" w:space="0"/>
            </w:tcBorders>
            <w:vAlign w:val="center"/>
          </w:tcPr>
          <w:p w14:paraId="1A7F5DA3">
            <w:pPr>
              <w:rPr>
                <w:rFonts w:hint="eastAsia" w:ascii="宋体" w:hAnsi="宋体" w:cs="宋体"/>
                <w:color w:val="auto"/>
                <w:sz w:val="24"/>
                <w:szCs w:val="24"/>
                <w:highlight w:val="none"/>
              </w:rPr>
            </w:pPr>
          </w:p>
        </w:tc>
      </w:tr>
      <w:tr w14:paraId="17C8C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9" w:hRule="atLeast"/>
          <w:jc w:val="center"/>
        </w:trPr>
        <w:tc>
          <w:tcPr>
            <w:tcW w:w="1356" w:type="dxa"/>
            <w:tcBorders>
              <w:right w:val="single" w:color="000000" w:sz="4" w:space="0"/>
            </w:tcBorders>
            <w:vAlign w:val="center"/>
          </w:tcPr>
          <w:p w14:paraId="04FA1868">
            <w:pPr>
              <w:rPr>
                <w:rFonts w:hint="eastAsia" w:ascii="宋体" w:hAnsi="宋体" w:cs="宋体"/>
                <w:color w:val="auto"/>
                <w:sz w:val="24"/>
                <w:szCs w:val="24"/>
                <w:highlight w:val="none"/>
              </w:rPr>
            </w:pPr>
          </w:p>
        </w:tc>
        <w:tc>
          <w:tcPr>
            <w:tcW w:w="7014" w:type="dxa"/>
            <w:tcBorders>
              <w:left w:val="single" w:color="000000" w:sz="4" w:space="0"/>
              <w:right w:val="single" w:color="000000" w:sz="4" w:space="0"/>
            </w:tcBorders>
            <w:vAlign w:val="center"/>
          </w:tcPr>
          <w:p w14:paraId="73B77734">
            <w:pPr>
              <w:rPr>
                <w:rFonts w:hint="eastAsia" w:ascii="宋体" w:hAnsi="宋体" w:cs="宋体"/>
                <w:color w:val="auto"/>
                <w:sz w:val="24"/>
                <w:szCs w:val="24"/>
                <w:highlight w:val="none"/>
              </w:rPr>
            </w:pPr>
          </w:p>
        </w:tc>
      </w:tr>
    </w:tbl>
    <w:p w14:paraId="1470C08E">
      <w:pPr>
        <w:pStyle w:val="2"/>
        <w:ind w:firstLine="0"/>
        <w:rPr>
          <w:rFonts w:hint="eastAsia" w:ascii="宋体" w:hAnsi="宋体" w:cs="宋体"/>
          <w:color w:val="auto"/>
          <w:highlight w:val="none"/>
        </w:rPr>
      </w:pPr>
    </w:p>
    <w:p w14:paraId="457DE831">
      <w:pPr>
        <w:pStyle w:val="2"/>
        <w:ind w:firstLine="0"/>
        <w:rPr>
          <w:rFonts w:hint="eastAsia" w:ascii="宋体" w:hAnsi="宋体" w:cs="宋体"/>
          <w:color w:val="auto"/>
          <w:highlight w:val="none"/>
        </w:rPr>
      </w:pPr>
    </w:p>
    <w:p w14:paraId="09E4FBB3">
      <w:pPr>
        <w:pStyle w:val="2"/>
        <w:ind w:firstLine="0"/>
        <w:rPr>
          <w:rFonts w:hint="eastAsia" w:ascii="宋体" w:hAnsi="宋体" w:cs="宋体"/>
          <w:color w:val="auto"/>
          <w:highlight w:val="none"/>
        </w:rPr>
      </w:pPr>
    </w:p>
    <w:p w14:paraId="4B84A7A0">
      <w:pPr>
        <w:pStyle w:val="2"/>
        <w:ind w:firstLine="0"/>
        <w:rPr>
          <w:rFonts w:hint="eastAsia" w:ascii="宋体" w:hAnsi="宋体" w:cs="宋体"/>
          <w:color w:val="auto"/>
          <w:highlight w:val="none"/>
        </w:rPr>
      </w:pPr>
    </w:p>
    <w:p w14:paraId="5E561683">
      <w:pPr>
        <w:pStyle w:val="2"/>
        <w:ind w:firstLine="0"/>
        <w:rPr>
          <w:rFonts w:hint="eastAsia" w:ascii="宋体" w:hAnsi="宋体" w:cs="宋体"/>
          <w:color w:val="auto"/>
          <w:highlight w:val="none"/>
        </w:rPr>
      </w:pPr>
    </w:p>
    <w:p w14:paraId="266653F9">
      <w:pPr>
        <w:pStyle w:val="2"/>
        <w:ind w:firstLine="0"/>
        <w:rPr>
          <w:rFonts w:hint="eastAsia" w:ascii="宋体" w:hAnsi="宋体" w:cs="宋体"/>
          <w:color w:val="auto"/>
          <w:highlight w:val="none"/>
        </w:rPr>
      </w:pPr>
    </w:p>
    <w:p w14:paraId="23E59E67">
      <w:pPr>
        <w:pStyle w:val="2"/>
        <w:ind w:firstLine="0"/>
        <w:rPr>
          <w:rFonts w:hint="eastAsia" w:ascii="宋体" w:hAnsi="宋体" w:cs="宋体"/>
          <w:color w:val="auto"/>
          <w:highlight w:val="none"/>
        </w:rPr>
      </w:pPr>
    </w:p>
    <w:p w14:paraId="46FE2F24">
      <w:pPr>
        <w:pStyle w:val="2"/>
        <w:ind w:firstLine="0"/>
        <w:rPr>
          <w:rFonts w:hint="eastAsia" w:ascii="宋体" w:hAnsi="宋体" w:cs="宋体"/>
          <w:color w:val="auto"/>
          <w:highlight w:val="none"/>
        </w:rPr>
      </w:pPr>
    </w:p>
    <w:p w14:paraId="64B04760">
      <w:pPr>
        <w:pStyle w:val="2"/>
        <w:ind w:firstLine="0"/>
        <w:rPr>
          <w:rFonts w:hint="eastAsia" w:ascii="宋体" w:hAnsi="宋体" w:cs="宋体"/>
          <w:color w:val="auto"/>
          <w:highlight w:val="none"/>
        </w:rPr>
      </w:pPr>
    </w:p>
    <w:p w14:paraId="531AB0E1">
      <w:pPr>
        <w:pStyle w:val="5"/>
        <w:numPr>
          <w:ilvl w:val="0"/>
          <w:numId w:val="2"/>
        </w:numPr>
        <w:spacing w:before="0" w:after="0" w:line="560" w:lineRule="exact"/>
        <w:jc w:val="center"/>
        <w:rPr>
          <w:rFonts w:hint="eastAsia" w:ascii="宋体" w:hAnsi="宋体" w:eastAsia="宋体" w:cs="宋体"/>
          <w:bCs/>
          <w:color w:val="auto"/>
          <w:sz w:val="24"/>
          <w:szCs w:val="24"/>
          <w:highlight w:val="none"/>
        </w:rPr>
      </w:pPr>
      <w:bookmarkStart w:id="79" w:name="_Toc17199"/>
      <w:r>
        <w:rPr>
          <w:rFonts w:hint="eastAsia" w:ascii="宋体" w:hAnsi="宋体" w:eastAsia="宋体" w:cs="宋体"/>
          <w:color w:val="auto"/>
          <w:sz w:val="28"/>
          <w:szCs w:val="28"/>
          <w:highlight w:val="none"/>
        </w:rPr>
        <w:t>采购需求</w:t>
      </w:r>
      <w:bookmarkEnd w:id="79"/>
    </w:p>
    <w:p w14:paraId="7F136A7D">
      <w:pPr>
        <w:numPr>
          <w:ilvl w:val="0"/>
          <w:numId w:val="3"/>
        </w:numPr>
        <w:spacing w:line="60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项目背景</w:t>
      </w:r>
    </w:p>
    <w:p w14:paraId="0256509E">
      <w:pPr>
        <w:pStyle w:val="2"/>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为提高取用水户档案管理的质量，对建设项目水资源论证报告书质量、取水许可审批程序等取用水管理档案的完整性、规范性进行整编梳理。</w:t>
      </w:r>
    </w:p>
    <w:p w14:paraId="25DFE554">
      <w:pPr>
        <w:pStyle w:val="2"/>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根据水利部、省水利厅工作要求，水利部全国取用水管理平台取水许可信息、取水口基本信息、计量设施档案，用水调查统计系统取水户信息、水量数据，要与安徽省水资源节水调水平台相关档案资料协调一致。</w:t>
      </w:r>
    </w:p>
    <w:p w14:paraId="36D77DBB">
      <w:pPr>
        <w:pStyle w:val="2"/>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《安徽省2025年水资源管理工作要点》要求加强建设项目水资源论证报告书审查和质量管理，定期组织开展建设项目水资源论证和取水许可审批情况抽查，完善审查单位、编制单位、审查专家奖惩机制。</w:t>
      </w:r>
    </w:p>
    <w:p w14:paraId="5F1C664A">
      <w:pPr>
        <w:spacing w:line="60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二、项目主要内容</w:t>
      </w:r>
    </w:p>
    <w:p w14:paraId="520CE03E">
      <w:pPr>
        <w:spacing w:line="24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1.对全市716个取水户取水许可、计划用水管理等10类30项“一户一档”资料进行全面排查梳理，制定问题清单并指导完成整改；</w:t>
      </w:r>
    </w:p>
    <w:p w14:paraId="571522B3">
      <w:pPr>
        <w:spacing w:line="24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2.对水利部、省水利厅各个取用水管理平台各模块档案资料进行对比分析，确保各平台取用水档案资料的逻辑性、准确性、一致性；</w:t>
      </w:r>
    </w:p>
    <w:p w14:paraId="4093C2ED">
      <w:pPr>
        <w:spacing w:line="24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3.对全市39个水资源论证报告书（名录由甲方提供），按照《建设项目水资源论证导则》（GB35580-2017）要求开展技术复审，逐个出具复审意见并指导整改到位。</w:t>
      </w:r>
    </w:p>
    <w:p w14:paraId="22643C9F">
      <w:pPr>
        <w:pStyle w:val="3"/>
        <w:spacing w:after="0" w:line="600" w:lineRule="exact"/>
        <w:ind w:firstLine="438" w:firstLineChars="200"/>
        <w:rPr>
          <w:rFonts w:hint="eastAsia" w:ascii="宋体" w:hAnsi="宋体" w:cs="宋体"/>
          <w:color w:val="auto"/>
          <w:sz w:val="24"/>
          <w:highlight w:val="none"/>
        </w:rPr>
      </w:pPr>
      <w:r>
        <w:rPr>
          <w:rFonts w:hint="eastAsia" w:ascii="宋体" w:hAnsi="宋体" w:cs="宋体"/>
          <w:b/>
          <w:bCs/>
          <w:color w:val="auto"/>
          <w:spacing w:val="-11"/>
          <w:sz w:val="24"/>
          <w:highlight w:val="none"/>
        </w:rPr>
        <w:t>三、</w:t>
      </w:r>
      <w:r>
        <w:rPr>
          <w:rFonts w:hint="eastAsia" w:ascii="宋体" w:hAnsi="宋体" w:cs="宋体"/>
          <w:b/>
          <w:bCs/>
          <w:color w:val="auto"/>
          <w:spacing w:val="-35"/>
          <w:sz w:val="24"/>
          <w:highlight w:val="none"/>
        </w:rPr>
        <w:t xml:space="preserve"> </w:t>
      </w:r>
      <w:r>
        <w:rPr>
          <w:rFonts w:hint="eastAsia" w:ascii="宋体" w:hAnsi="宋体" w:cs="宋体"/>
          <w:b/>
          <w:bCs/>
          <w:color w:val="auto"/>
          <w:spacing w:val="-11"/>
          <w:sz w:val="24"/>
          <w:highlight w:val="none"/>
        </w:rPr>
        <w:t>付款方式</w:t>
      </w:r>
    </w:p>
    <w:p w14:paraId="04073B9A">
      <w:pPr>
        <w:pStyle w:val="3"/>
        <w:spacing w:after="0"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合同签订后支付40%预付款（供应商需提交等额的预付款保函），</w:t>
      </w:r>
      <w:r>
        <w:rPr>
          <w:rFonts w:ascii="宋体" w:hAnsi="宋体" w:cs="宋体"/>
          <w:color w:val="auto"/>
          <w:sz w:val="24"/>
          <w:highlight w:val="none"/>
        </w:rPr>
        <w:t>完成合同全部内容</w:t>
      </w:r>
      <w:r>
        <w:rPr>
          <w:rFonts w:hint="eastAsia" w:ascii="宋体" w:hAnsi="宋体" w:cs="宋体"/>
          <w:color w:val="auto"/>
          <w:sz w:val="24"/>
          <w:highlight w:val="none"/>
        </w:rPr>
        <w:t>并验收合格</w:t>
      </w:r>
      <w:r>
        <w:rPr>
          <w:rFonts w:ascii="宋体" w:hAnsi="宋体" w:cs="宋体"/>
          <w:color w:val="auto"/>
          <w:sz w:val="24"/>
          <w:highlight w:val="none"/>
        </w:rPr>
        <w:t>后一次性付清尾款</w:t>
      </w:r>
      <w:r>
        <w:rPr>
          <w:rFonts w:hint="eastAsia" w:ascii="宋体" w:hAnsi="宋体" w:cs="宋体"/>
          <w:color w:val="auto"/>
          <w:sz w:val="24"/>
          <w:highlight w:val="none"/>
        </w:rPr>
        <w:t>。</w:t>
      </w:r>
    </w:p>
    <w:p w14:paraId="6D0698A8">
      <w:pPr>
        <w:pStyle w:val="3"/>
        <w:spacing w:after="0"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本项目无投标保证金、履约保证金。</w:t>
      </w:r>
    </w:p>
    <w:p w14:paraId="10D58DF5">
      <w:pPr>
        <w:pStyle w:val="3"/>
        <w:spacing w:after="0" w:line="600" w:lineRule="exact"/>
        <w:ind w:firstLine="438" w:firstLineChars="200"/>
        <w:rPr>
          <w:rFonts w:hint="eastAsia" w:ascii="宋体" w:hAnsi="宋体" w:cs="宋体"/>
          <w:b/>
          <w:bCs/>
          <w:color w:val="auto"/>
          <w:spacing w:val="-11"/>
          <w:sz w:val="24"/>
          <w:highlight w:val="none"/>
        </w:rPr>
      </w:pPr>
      <w:r>
        <w:rPr>
          <w:rFonts w:hint="eastAsia" w:ascii="宋体" w:hAnsi="宋体" w:cs="宋体"/>
          <w:b/>
          <w:bCs/>
          <w:color w:val="auto"/>
          <w:spacing w:val="-11"/>
          <w:sz w:val="24"/>
          <w:highlight w:val="none"/>
        </w:rPr>
        <w:t>四、其他要求</w:t>
      </w:r>
    </w:p>
    <w:bookmarkEnd w:id="78"/>
    <w:p w14:paraId="53AC4753">
      <w:pPr>
        <w:pStyle w:val="3"/>
        <w:autoSpaceDE w:val="0"/>
        <w:autoSpaceDN w:val="0"/>
        <w:adjustRightInd w:val="0"/>
        <w:snapToGrid w:val="0"/>
        <w:spacing w:line="360" w:lineRule="auto"/>
        <w:ind w:firstLine="488" w:firstLineChars="200"/>
        <w:textAlignment w:val="baseline"/>
        <w:rPr>
          <w:rFonts w:hint="eastAsia" w:ascii="宋体" w:hAnsi="宋体" w:cs="宋体"/>
          <w:color w:val="auto"/>
          <w:spacing w:val="2"/>
          <w:sz w:val="24"/>
          <w:highlight w:val="none"/>
        </w:rPr>
      </w:pPr>
      <w:bookmarkStart w:id="80" w:name="_Toc21831"/>
      <w:bookmarkStart w:id="81" w:name="_Toc19815"/>
      <w:bookmarkStart w:id="82" w:name="_Toc25911"/>
      <w:r>
        <w:rPr>
          <w:rFonts w:hint="eastAsia" w:ascii="宋体" w:hAnsi="宋体" w:cs="宋体"/>
          <w:color w:val="auto"/>
          <w:spacing w:val="2"/>
          <w:sz w:val="24"/>
          <w:highlight w:val="none"/>
        </w:rPr>
        <w:t>1、成交供应商须根据工作需要提供现场培训和指导；</w:t>
      </w:r>
    </w:p>
    <w:p w14:paraId="5D7A2C27">
      <w:pPr>
        <w:pStyle w:val="3"/>
        <w:autoSpaceDE w:val="0"/>
        <w:autoSpaceDN w:val="0"/>
        <w:adjustRightInd w:val="0"/>
        <w:snapToGrid w:val="0"/>
        <w:spacing w:line="360" w:lineRule="auto"/>
        <w:ind w:firstLine="488" w:firstLineChars="200"/>
        <w:textAlignment w:val="baseline"/>
        <w:rPr>
          <w:rFonts w:hint="eastAsia" w:ascii="宋体" w:hAnsi="宋体" w:cs="宋体"/>
          <w:color w:val="auto"/>
          <w:spacing w:val="2"/>
          <w:sz w:val="24"/>
          <w:highlight w:val="none"/>
        </w:rPr>
      </w:pPr>
      <w:r>
        <w:rPr>
          <w:rFonts w:hint="eastAsia" w:ascii="宋体" w:hAnsi="宋体" w:cs="宋体"/>
          <w:color w:val="auto"/>
          <w:spacing w:val="2"/>
          <w:sz w:val="24"/>
          <w:highlight w:val="none"/>
        </w:rPr>
        <w:t>2、成交供应商须按照相关法律、法规开展相关工作，不得泄露相关信息。</w:t>
      </w:r>
    </w:p>
    <w:p w14:paraId="0F65DEDB">
      <w:pPr>
        <w:pStyle w:val="3"/>
        <w:autoSpaceDE w:val="0"/>
        <w:autoSpaceDN w:val="0"/>
        <w:adjustRightInd w:val="0"/>
        <w:snapToGrid w:val="0"/>
        <w:spacing w:line="360" w:lineRule="auto"/>
        <w:ind w:firstLine="488" w:firstLineChars="200"/>
        <w:textAlignment w:val="baseline"/>
        <w:rPr>
          <w:rFonts w:hint="eastAsia" w:ascii="宋体" w:hAnsi="宋体" w:cs="宋体"/>
          <w:color w:val="auto"/>
          <w:spacing w:val="2"/>
          <w:sz w:val="24"/>
          <w:highlight w:val="none"/>
        </w:rPr>
      </w:pPr>
      <w:r>
        <w:rPr>
          <w:rFonts w:hint="eastAsia" w:ascii="宋体" w:hAnsi="宋体" w:cs="宋体"/>
          <w:color w:val="auto"/>
          <w:spacing w:val="2"/>
          <w:sz w:val="24"/>
          <w:highlight w:val="none"/>
        </w:rPr>
        <w:br w:type="page"/>
      </w:r>
    </w:p>
    <w:p w14:paraId="110C1115">
      <w:pPr>
        <w:pStyle w:val="5"/>
        <w:spacing w:before="0" w:after="156" w:afterLines="50" w:line="580" w:lineRule="exact"/>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四、评分标准</w:t>
      </w:r>
      <w:bookmarkEnd w:id="80"/>
      <w:bookmarkEnd w:id="81"/>
      <w:bookmarkEnd w:id="82"/>
    </w:p>
    <w:p w14:paraId="704BACFC">
      <w:pPr>
        <w:pStyle w:val="3"/>
        <w:autoSpaceDE w:val="0"/>
        <w:autoSpaceDN w:val="0"/>
        <w:adjustRightInd w:val="0"/>
        <w:snapToGrid w:val="0"/>
        <w:spacing w:line="360" w:lineRule="auto"/>
        <w:ind w:firstLine="488" w:firstLineChars="200"/>
        <w:textAlignment w:val="baseline"/>
        <w:rPr>
          <w:rFonts w:hint="eastAsia" w:ascii="宋体" w:hAnsi="宋体" w:cs="宋体"/>
          <w:color w:val="auto"/>
          <w:spacing w:val="2"/>
          <w:sz w:val="24"/>
          <w:highlight w:val="none"/>
        </w:rPr>
      </w:pPr>
      <w:bookmarkStart w:id="83" w:name="_Toc5553"/>
      <w:bookmarkStart w:id="84" w:name="_Toc14458"/>
      <w:bookmarkStart w:id="85" w:name="_Toc8088"/>
      <w:r>
        <w:rPr>
          <w:rFonts w:hint="eastAsia" w:ascii="宋体" w:hAnsi="宋体" w:cs="宋体"/>
          <w:color w:val="auto"/>
          <w:spacing w:val="2"/>
          <w:sz w:val="24"/>
          <w:highlight w:val="none"/>
        </w:rPr>
        <w:t>1、本次磋商采用百分制评分法，商务（报价）权重10%，经评审满足磋商文件要求且最后报价最低的供应商的价格为磋商基准价，其价格为满分，得10分。其他供应商的价格分统一按照下列公式计算：</w:t>
      </w:r>
    </w:p>
    <w:p w14:paraId="32882499">
      <w:pPr>
        <w:pStyle w:val="3"/>
        <w:autoSpaceDE w:val="0"/>
        <w:autoSpaceDN w:val="0"/>
        <w:adjustRightInd w:val="0"/>
        <w:snapToGrid w:val="0"/>
        <w:spacing w:line="360" w:lineRule="auto"/>
        <w:ind w:firstLine="488" w:firstLineChars="200"/>
        <w:textAlignment w:val="baseline"/>
        <w:rPr>
          <w:rFonts w:hint="eastAsia" w:ascii="宋体" w:hAnsi="宋体" w:cs="宋体"/>
          <w:color w:val="auto"/>
          <w:spacing w:val="2"/>
          <w:sz w:val="24"/>
          <w:highlight w:val="none"/>
        </w:rPr>
      </w:pPr>
      <w:r>
        <w:rPr>
          <w:rFonts w:hint="eastAsia" w:ascii="宋体" w:hAnsi="宋体" w:cs="宋体"/>
          <w:color w:val="auto"/>
          <w:spacing w:val="2"/>
          <w:sz w:val="24"/>
          <w:highlight w:val="none"/>
        </w:rPr>
        <w:t>磋商报价得分=（磋商基准价/最后磋商报价）×10%×100。</w:t>
      </w:r>
    </w:p>
    <w:p w14:paraId="5439348B">
      <w:pPr>
        <w:pStyle w:val="3"/>
        <w:autoSpaceDE w:val="0"/>
        <w:autoSpaceDN w:val="0"/>
        <w:adjustRightInd w:val="0"/>
        <w:snapToGrid w:val="0"/>
        <w:spacing w:line="360" w:lineRule="auto"/>
        <w:ind w:firstLine="488" w:firstLineChars="200"/>
        <w:textAlignment w:val="baseline"/>
        <w:rPr>
          <w:rFonts w:hint="eastAsia" w:ascii="宋体" w:hAnsi="宋体" w:cs="宋体"/>
          <w:color w:val="auto"/>
          <w:spacing w:val="2"/>
          <w:sz w:val="24"/>
          <w:highlight w:val="none"/>
        </w:rPr>
      </w:pPr>
      <w:r>
        <w:rPr>
          <w:rFonts w:hint="eastAsia" w:ascii="宋体" w:hAnsi="宋体" w:cs="宋体"/>
          <w:color w:val="auto"/>
          <w:spacing w:val="2"/>
          <w:sz w:val="24"/>
          <w:highlight w:val="none"/>
        </w:rPr>
        <w:t>注：超过最高限价的最后磋商报价为无效报价，按废标处理。</w:t>
      </w:r>
    </w:p>
    <w:p w14:paraId="6F84EFFF">
      <w:pPr>
        <w:pStyle w:val="3"/>
        <w:autoSpaceDE w:val="0"/>
        <w:autoSpaceDN w:val="0"/>
        <w:adjustRightInd w:val="0"/>
        <w:snapToGrid w:val="0"/>
        <w:spacing w:line="360" w:lineRule="auto"/>
        <w:ind w:firstLine="488" w:firstLineChars="200"/>
        <w:jc w:val="left"/>
        <w:textAlignment w:val="baseline"/>
        <w:rPr>
          <w:rFonts w:hint="eastAsia" w:ascii="宋体" w:hAnsi="宋体" w:cs="宋体"/>
          <w:color w:val="auto"/>
          <w:spacing w:val="2"/>
          <w:sz w:val="24"/>
          <w:highlight w:val="none"/>
        </w:rPr>
      </w:pPr>
      <w:r>
        <w:rPr>
          <w:rFonts w:hint="eastAsia" w:ascii="宋体" w:hAnsi="宋体" w:cs="宋体"/>
          <w:color w:val="auto"/>
          <w:spacing w:val="2"/>
          <w:sz w:val="24"/>
          <w:highlight w:val="none"/>
        </w:rPr>
        <w:t>具体评分细则如下：</w:t>
      </w:r>
    </w:p>
    <w:tbl>
      <w:tblPr>
        <w:tblStyle w:val="14"/>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685"/>
        <w:gridCol w:w="2789"/>
        <w:gridCol w:w="716"/>
        <w:gridCol w:w="5089"/>
      </w:tblGrid>
      <w:tr w14:paraId="570D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89"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327C6DD2">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789" w:type="dxa"/>
            <w:tcBorders>
              <w:top w:val="single" w:color="auto" w:sz="4" w:space="0"/>
              <w:left w:val="single" w:color="auto" w:sz="4" w:space="0"/>
              <w:bottom w:val="single" w:color="auto" w:sz="4" w:space="0"/>
              <w:right w:val="single" w:color="auto" w:sz="4" w:space="0"/>
            </w:tcBorders>
            <w:vAlign w:val="center"/>
          </w:tcPr>
          <w:p w14:paraId="6F1D182D">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评分要素</w:t>
            </w:r>
          </w:p>
        </w:tc>
        <w:tc>
          <w:tcPr>
            <w:tcW w:w="716" w:type="dxa"/>
            <w:tcBorders>
              <w:top w:val="single" w:color="auto" w:sz="4" w:space="0"/>
              <w:left w:val="single" w:color="auto" w:sz="4" w:space="0"/>
              <w:bottom w:val="single" w:color="auto" w:sz="4" w:space="0"/>
              <w:right w:val="single" w:color="auto" w:sz="4" w:space="0"/>
            </w:tcBorders>
            <w:vAlign w:val="center"/>
          </w:tcPr>
          <w:p w14:paraId="7D5757C6">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分值</w:t>
            </w:r>
          </w:p>
        </w:tc>
        <w:tc>
          <w:tcPr>
            <w:tcW w:w="5089" w:type="dxa"/>
            <w:tcBorders>
              <w:top w:val="single" w:color="auto" w:sz="4" w:space="0"/>
              <w:left w:val="single" w:color="auto" w:sz="4" w:space="0"/>
              <w:bottom w:val="single" w:color="auto" w:sz="4" w:space="0"/>
              <w:right w:val="single" w:color="auto" w:sz="4" w:space="0"/>
            </w:tcBorders>
            <w:vAlign w:val="center"/>
          </w:tcPr>
          <w:p w14:paraId="6FAA0988">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评分标准</w:t>
            </w:r>
          </w:p>
        </w:tc>
      </w:tr>
      <w:tr w14:paraId="1E63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0A982DB3">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2789" w:type="dxa"/>
            <w:tcBorders>
              <w:top w:val="single" w:color="auto" w:sz="4" w:space="0"/>
              <w:left w:val="single" w:color="auto" w:sz="4" w:space="0"/>
              <w:right w:val="single" w:color="auto" w:sz="4" w:space="0"/>
            </w:tcBorders>
            <w:vAlign w:val="center"/>
          </w:tcPr>
          <w:p w14:paraId="26883B26">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投标报价</w:t>
            </w:r>
          </w:p>
        </w:tc>
        <w:tc>
          <w:tcPr>
            <w:tcW w:w="716" w:type="dxa"/>
            <w:tcBorders>
              <w:top w:val="single" w:color="auto" w:sz="4" w:space="0"/>
              <w:left w:val="single" w:color="auto" w:sz="4" w:space="0"/>
              <w:right w:val="single" w:color="auto" w:sz="4" w:space="0"/>
            </w:tcBorders>
            <w:vAlign w:val="center"/>
          </w:tcPr>
          <w:p w14:paraId="1A24DBF1">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10</w:t>
            </w:r>
          </w:p>
        </w:tc>
        <w:tc>
          <w:tcPr>
            <w:tcW w:w="5089" w:type="dxa"/>
            <w:tcBorders>
              <w:top w:val="single" w:color="auto" w:sz="4" w:space="0"/>
              <w:left w:val="single" w:color="auto" w:sz="4" w:space="0"/>
              <w:right w:val="single" w:color="auto" w:sz="4" w:space="0"/>
            </w:tcBorders>
            <w:vAlign w:val="center"/>
          </w:tcPr>
          <w:p w14:paraId="5C5946D8">
            <w:pPr>
              <w:widowControl/>
              <w:spacing w:line="4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价格分统一采用低价优先法，即满足磋商文件要求且最终报价最低的价格作为评标基准价，其价格分为满分10分。其他磋商供应商的价格分统一按照下列公式计算（四舍五入保留至小数点后两位数）：</w:t>
            </w:r>
          </w:p>
          <w:p w14:paraId="212739DE">
            <w:pPr>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磋商报价得分＝（评标基准价/磋商报价）×</w:t>
            </w:r>
            <w:r>
              <w:rPr>
                <w:rFonts w:hint="eastAsia" w:ascii="宋体" w:hAnsi="宋体" w:cs="宋体"/>
                <w:bCs/>
                <w:color w:val="auto"/>
                <w:sz w:val="24"/>
                <w:szCs w:val="24"/>
                <w:highlight w:val="none"/>
                <w:u w:val="single"/>
              </w:rPr>
              <w:t>10</w:t>
            </w:r>
            <w:r>
              <w:rPr>
                <w:rFonts w:hint="eastAsia" w:ascii="宋体" w:hAnsi="宋体" w:cs="宋体"/>
                <w:bCs/>
                <w:color w:val="auto"/>
                <w:sz w:val="24"/>
                <w:szCs w:val="24"/>
                <w:highlight w:val="none"/>
              </w:rPr>
              <w:t>％×100</w:t>
            </w:r>
          </w:p>
        </w:tc>
      </w:tr>
      <w:tr w14:paraId="5E82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1540F9F7">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2789" w:type="dxa"/>
            <w:tcBorders>
              <w:top w:val="single" w:color="auto" w:sz="4" w:space="0"/>
              <w:left w:val="single" w:color="auto" w:sz="4" w:space="0"/>
              <w:right w:val="single" w:color="auto" w:sz="4" w:space="0"/>
            </w:tcBorders>
            <w:vAlign w:val="center"/>
          </w:tcPr>
          <w:p w14:paraId="7FA47102">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投标单位主要业绩</w:t>
            </w:r>
          </w:p>
        </w:tc>
        <w:tc>
          <w:tcPr>
            <w:tcW w:w="716" w:type="dxa"/>
            <w:tcBorders>
              <w:top w:val="single" w:color="auto" w:sz="4" w:space="0"/>
              <w:left w:val="single" w:color="auto" w:sz="4" w:space="0"/>
              <w:right w:val="single" w:color="auto" w:sz="4" w:space="0"/>
            </w:tcBorders>
            <w:vAlign w:val="center"/>
          </w:tcPr>
          <w:p w14:paraId="32DB1B8F">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30</w:t>
            </w:r>
          </w:p>
        </w:tc>
        <w:tc>
          <w:tcPr>
            <w:tcW w:w="5089" w:type="dxa"/>
            <w:tcBorders>
              <w:top w:val="single" w:color="auto" w:sz="4" w:space="0"/>
              <w:left w:val="single" w:color="auto" w:sz="4" w:space="0"/>
              <w:right w:val="single" w:color="auto" w:sz="4" w:space="0"/>
            </w:tcBorders>
            <w:vAlign w:val="center"/>
          </w:tcPr>
          <w:p w14:paraId="28F863AB">
            <w:pPr>
              <w:rPr>
                <w:rFonts w:hint="eastAsia" w:ascii="宋体" w:hAnsi="宋体" w:cs="宋体"/>
                <w:bCs/>
                <w:color w:val="auto"/>
                <w:sz w:val="24"/>
                <w:szCs w:val="24"/>
                <w:highlight w:val="none"/>
              </w:rPr>
            </w:pPr>
          </w:p>
        </w:tc>
      </w:tr>
      <w:tr w14:paraId="1D35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695" w:hRule="atLeast"/>
          <w:jc w:val="center"/>
        </w:trPr>
        <w:tc>
          <w:tcPr>
            <w:tcW w:w="685" w:type="dxa"/>
            <w:tcBorders>
              <w:top w:val="single" w:color="auto" w:sz="4" w:space="0"/>
              <w:left w:val="single" w:color="auto" w:sz="4" w:space="0"/>
              <w:right w:val="single" w:color="auto" w:sz="4" w:space="0"/>
            </w:tcBorders>
            <w:vAlign w:val="center"/>
          </w:tcPr>
          <w:p w14:paraId="5B9E1481">
            <w:pPr>
              <w:spacing w:line="300" w:lineRule="exact"/>
              <w:rPr>
                <w:rFonts w:hint="eastAsia" w:ascii="宋体" w:hAnsi="宋体" w:cs="宋体"/>
                <w:bCs/>
                <w:color w:val="auto"/>
                <w:sz w:val="24"/>
                <w:szCs w:val="24"/>
                <w:highlight w:val="none"/>
              </w:rPr>
            </w:pPr>
          </w:p>
        </w:tc>
        <w:tc>
          <w:tcPr>
            <w:tcW w:w="2789" w:type="dxa"/>
            <w:tcBorders>
              <w:top w:val="single" w:color="auto" w:sz="4" w:space="0"/>
              <w:left w:val="single" w:color="auto" w:sz="4" w:space="0"/>
              <w:right w:val="single" w:color="auto" w:sz="4" w:space="0"/>
            </w:tcBorders>
            <w:vAlign w:val="center"/>
          </w:tcPr>
          <w:p w14:paraId="650D226C">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类似业绩</w:t>
            </w:r>
          </w:p>
        </w:tc>
        <w:tc>
          <w:tcPr>
            <w:tcW w:w="716" w:type="dxa"/>
            <w:tcBorders>
              <w:top w:val="single" w:color="auto" w:sz="4" w:space="0"/>
              <w:left w:val="single" w:color="auto" w:sz="4" w:space="0"/>
              <w:right w:val="single" w:color="auto" w:sz="4" w:space="0"/>
            </w:tcBorders>
            <w:vAlign w:val="center"/>
          </w:tcPr>
          <w:p w14:paraId="4D4F70F2">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30</w:t>
            </w:r>
          </w:p>
        </w:tc>
        <w:tc>
          <w:tcPr>
            <w:tcW w:w="5089" w:type="dxa"/>
            <w:tcBorders>
              <w:top w:val="single" w:color="auto" w:sz="4" w:space="0"/>
              <w:left w:val="single" w:color="auto" w:sz="4" w:space="0"/>
              <w:right w:val="single" w:color="auto" w:sz="4" w:space="0"/>
            </w:tcBorders>
            <w:vAlign w:val="center"/>
          </w:tcPr>
          <w:p w14:paraId="379F54D2">
            <w:pPr>
              <w:rPr>
                <w:color w:val="auto"/>
                <w:sz w:val="24"/>
                <w:highlight w:val="none"/>
              </w:rPr>
            </w:pPr>
            <w:r>
              <w:rPr>
                <w:rFonts w:hint="eastAsia"/>
                <w:color w:val="auto"/>
                <w:sz w:val="24"/>
                <w:highlight w:val="none"/>
              </w:rPr>
              <w:t>每有1项水资源“一户一档”类似业绩得10分，最高得20分。</w:t>
            </w:r>
          </w:p>
          <w:p w14:paraId="11B89971">
            <w:pPr>
              <w:rPr>
                <w:color w:val="auto"/>
                <w:sz w:val="24"/>
                <w:highlight w:val="none"/>
              </w:rPr>
            </w:pPr>
            <w:r>
              <w:rPr>
                <w:rFonts w:hint="eastAsia"/>
                <w:color w:val="auto"/>
                <w:sz w:val="24"/>
                <w:highlight w:val="none"/>
              </w:rPr>
              <w:t>每有1项水资源论证报告书编制业绩得5分，最高得10分。</w:t>
            </w:r>
          </w:p>
          <w:p w14:paraId="364EE3F0">
            <w:pPr>
              <w:pStyle w:val="2"/>
              <w:rPr>
                <w:color w:val="auto"/>
                <w:highlight w:val="none"/>
              </w:rPr>
            </w:pPr>
            <w:r>
              <w:rPr>
                <w:rFonts w:hint="eastAsia"/>
                <w:color w:val="auto"/>
                <w:highlight w:val="none"/>
              </w:rPr>
              <w:t>注：1.水资源“一户一档”类似业绩是指合同内容中包含水资源“一户一档”信息</w:t>
            </w:r>
            <w:r>
              <w:rPr>
                <w:color w:val="auto"/>
                <w:highlight w:val="none"/>
              </w:rPr>
              <w:t>业绩</w:t>
            </w:r>
            <w:r>
              <w:rPr>
                <w:rFonts w:hint="eastAsia"/>
                <w:color w:val="auto"/>
                <w:highlight w:val="none"/>
              </w:rPr>
              <w:t>，证明材料需提供合同、</w:t>
            </w:r>
            <w:r>
              <w:rPr>
                <w:color w:val="auto"/>
                <w:highlight w:val="none"/>
              </w:rPr>
              <w:t>委托方出具的项目已完成证明</w:t>
            </w:r>
            <w:r>
              <w:rPr>
                <w:rFonts w:hint="eastAsia"/>
                <w:color w:val="auto"/>
                <w:highlight w:val="none"/>
              </w:rPr>
              <w:t>或合同验收意见；2.水资源论证报告书业绩证明材料需提供项目取水许可批复文件、</w:t>
            </w:r>
            <w:r>
              <w:rPr>
                <w:color w:val="auto"/>
                <w:highlight w:val="none"/>
              </w:rPr>
              <w:t>合同</w:t>
            </w:r>
            <w:r>
              <w:rPr>
                <w:rFonts w:hint="eastAsia"/>
                <w:color w:val="auto"/>
                <w:highlight w:val="none"/>
              </w:rPr>
              <w:t>且需要有主要内容及关键盖章页；</w:t>
            </w:r>
            <w:r>
              <w:rPr>
                <w:color w:val="auto"/>
                <w:highlight w:val="none"/>
              </w:rPr>
              <w:t>3.同一合同不重复计分。</w:t>
            </w:r>
          </w:p>
        </w:tc>
      </w:tr>
      <w:tr w14:paraId="6992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606A3465">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2789" w:type="dxa"/>
            <w:tcBorders>
              <w:top w:val="single" w:color="auto" w:sz="4" w:space="0"/>
              <w:left w:val="single" w:color="auto" w:sz="4" w:space="0"/>
              <w:right w:val="single" w:color="auto" w:sz="4" w:space="0"/>
            </w:tcBorders>
            <w:vAlign w:val="center"/>
          </w:tcPr>
          <w:p w14:paraId="062E6475">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人员配备</w:t>
            </w:r>
          </w:p>
        </w:tc>
        <w:tc>
          <w:tcPr>
            <w:tcW w:w="716" w:type="dxa"/>
            <w:tcBorders>
              <w:top w:val="single" w:color="auto" w:sz="4" w:space="0"/>
              <w:left w:val="single" w:color="auto" w:sz="4" w:space="0"/>
              <w:right w:val="single" w:color="auto" w:sz="4" w:space="0"/>
            </w:tcBorders>
            <w:vAlign w:val="center"/>
          </w:tcPr>
          <w:p w14:paraId="569452FD">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25</w:t>
            </w:r>
          </w:p>
        </w:tc>
        <w:tc>
          <w:tcPr>
            <w:tcW w:w="5089" w:type="dxa"/>
            <w:tcBorders>
              <w:top w:val="single" w:color="auto" w:sz="4" w:space="0"/>
              <w:left w:val="single" w:color="auto" w:sz="4" w:space="0"/>
              <w:right w:val="single" w:color="auto" w:sz="4" w:space="0"/>
            </w:tcBorders>
            <w:vAlign w:val="center"/>
          </w:tcPr>
          <w:p w14:paraId="1103CC5B">
            <w:pPr>
              <w:rPr>
                <w:rFonts w:hint="eastAsia" w:ascii="宋体" w:hAnsi="宋体" w:cs="宋体"/>
                <w:bCs/>
                <w:color w:val="auto"/>
                <w:sz w:val="24"/>
                <w:szCs w:val="24"/>
                <w:highlight w:val="none"/>
              </w:rPr>
            </w:pPr>
          </w:p>
        </w:tc>
      </w:tr>
      <w:tr w14:paraId="7AD7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4C0BC17B">
            <w:pPr>
              <w:spacing w:line="300" w:lineRule="exact"/>
              <w:jc w:val="center"/>
              <w:rPr>
                <w:rFonts w:hint="eastAsia" w:ascii="宋体" w:hAnsi="宋体" w:cs="宋体"/>
                <w:bCs/>
                <w:color w:val="auto"/>
                <w:sz w:val="24"/>
                <w:szCs w:val="24"/>
                <w:highlight w:val="none"/>
              </w:rPr>
            </w:pPr>
          </w:p>
        </w:tc>
        <w:tc>
          <w:tcPr>
            <w:tcW w:w="2789" w:type="dxa"/>
            <w:tcBorders>
              <w:top w:val="single" w:color="auto" w:sz="4" w:space="0"/>
              <w:left w:val="single" w:color="auto" w:sz="4" w:space="0"/>
              <w:right w:val="single" w:color="auto" w:sz="4" w:space="0"/>
            </w:tcBorders>
            <w:vAlign w:val="center"/>
          </w:tcPr>
          <w:p w14:paraId="683895B9">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项目负责人资历、能力</w:t>
            </w:r>
          </w:p>
        </w:tc>
        <w:tc>
          <w:tcPr>
            <w:tcW w:w="716" w:type="dxa"/>
            <w:tcBorders>
              <w:top w:val="single" w:color="auto" w:sz="4" w:space="0"/>
              <w:left w:val="single" w:color="auto" w:sz="4" w:space="0"/>
              <w:right w:val="single" w:color="auto" w:sz="4" w:space="0"/>
            </w:tcBorders>
            <w:vAlign w:val="center"/>
          </w:tcPr>
          <w:p w14:paraId="4E8D1971">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10</w:t>
            </w:r>
          </w:p>
        </w:tc>
        <w:tc>
          <w:tcPr>
            <w:tcW w:w="5089" w:type="dxa"/>
            <w:tcBorders>
              <w:top w:val="single" w:color="auto" w:sz="4" w:space="0"/>
              <w:left w:val="single" w:color="auto" w:sz="4" w:space="0"/>
              <w:right w:val="single" w:color="auto" w:sz="4" w:space="0"/>
            </w:tcBorders>
            <w:vAlign w:val="center"/>
          </w:tcPr>
          <w:p w14:paraId="18E97CCD">
            <w:pPr>
              <w:numPr>
                <w:ilvl w:val="0"/>
                <w:numId w:val="4"/>
              </w:numPr>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项目负责人具有水利类高级及以上职称的得10分；</w:t>
            </w:r>
          </w:p>
          <w:p w14:paraId="5F13DE6A">
            <w:pPr>
              <w:rPr>
                <w:color w:val="auto"/>
                <w:highlight w:val="none"/>
              </w:rPr>
            </w:pPr>
            <w:r>
              <w:rPr>
                <w:rFonts w:hint="eastAsia" w:ascii="宋体" w:hAnsi="宋体" w:cs="宋体"/>
                <w:bCs/>
                <w:color w:val="auto"/>
                <w:sz w:val="24"/>
                <w:szCs w:val="24"/>
                <w:highlight w:val="none"/>
              </w:rPr>
              <w:t>（2）项目负责人具有水利类中级职称的得5分；</w:t>
            </w:r>
          </w:p>
          <w:p w14:paraId="0EB119B2">
            <w:pPr>
              <w:rPr>
                <w:color w:val="auto"/>
                <w:highlight w:val="none"/>
              </w:rPr>
            </w:pPr>
            <w:r>
              <w:rPr>
                <w:rFonts w:hint="eastAsia" w:ascii="宋体" w:hAnsi="宋体" w:cs="宋体"/>
                <w:bCs/>
                <w:color w:val="auto"/>
                <w:sz w:val="24"/>
                <w:szCs w:val="24"/>
                <w:highlight w:val="none"/>
              </w:rPr>
              <w:t>（3）其余不得分。</w:t>
            </w:r>
          </w:p>
        </w:tc>
      </w:tr>
      <w:tr w14:paraId="7598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20BCA304">
            <w:pPr>
              <w:jc w:val="center"/>
              <w:rPr>
                <w:rFonts w:hint="eastAsia" w:ascii="宋体" w:hAnsi="宋体" w:cs="宋体"/>
                <w:bCs/>
                <w:color w:val="auto"/>
                <w:sz w:val="24"/>
                <w:szCs w:val="24"/>
                <w:highlight w:val="none"/>
              </w:rPr>
            </w:pPr>
          </w:p>
        </w:tc>
        <w:tc>
          <w:tcPr>
            <w:tcW w:w="2789" w:type="dxa"/>
            <w:tcBorders>
              <w:top w:val="single" w:color="auto" w:sz="4" w:space="0"/>
              <w:left w:val="single" w:color="auto" w:sz="4" w:space="0"/>
              <w:right w:val="single" w:color="auto" w:sz="4" w:space="0"/>
            </w:tcBorders>
            <w:vAlign w:val="center"/>
          </w:tcPr>
          <w:p w14:paraId="0633FCB5">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专业负责人技术水平及工程经验</w:t>
            </w:r>
          </w:p>
        </w:tc>
        <w:tc>
          <w:tcPr>
            <w:tcW w:w="716" w:type="dxa"/>
            <w:tcBorders>
              <w:top w:val="single" w:color="auto" w:sz="4" w:space="0"/>
              <w:left w:val="single" w:color="auto" w:sz="4" w:space="0"/>
              <w:right w:val="single" w:color="auto" w:sz="4" w:space="0"/>
            </w:tcBorders>
            <w:vAlign w:val="center"/>
          </w:tcPr>
          <w:p w14:paraId="7EAA584E">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15</w:t>
            </w:r>
          </w:p>
        </w:tc>
        <w:tc>
          <w:tcPr>
            <w:tcW w:w="5089" w:type="dxa"/>
            <w:tcBorders>
              <w:top w:val="single" w:color="auto" w:sz="4" w:space="0"/>
              <w:left w:val="single" w:color="auto" w:sz="4" w:space="0"/>
              <w:right w:val="single" w:color="auto" w:sz="4" w:space="0"/>
            </w:tcBorders>
            <w:vAlign w:val="center"/>
          </w:tcPr>
          <w:p w14:paraId="0A9D03BA">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除项目负责人外，拟派项目其他人员不得少于3人，其中每有1名具有水利类高级及以上职称的得10分，每有1名具有水利类中级职称得5分，本项目满分15分，少于3人不得分。</w:t>
            </w:r>
          </w:p>
        </w:tc>
      </w:tr>
      <w:tr w14:paraId="7A05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4BC1E9C5">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4</w:t>
            </w:r>
          </w:p>
        </w:tc>
        <w:tc>
          <w:tcPr>
            <w:tcW w:w="2789" w:type="dxa"/>
            <w:tcBorders>
              <w:top w:val="single" w:color="auto" w:sz="4" w:space="0"/>
              <w:left w:val="single" w:color="auto" w:sz="4" w:space="0"/>
              <w:right w:val="single" w:color="auto" w:sz="4" w:space="0"/>
            </w:tcBorders>
            <w:vAlign w:val="center"/>
          </w:tcPr>
          <w:p w14:paraId="5C9E6E11">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方案的合理性</w:t>
            </w:r>
          </w:p>
        </w:tc>
        <w:tc>
          <w:tcPr>
            <w:tcW w:w="716" w:type="dxa"/>
            <w:tcBorders>
              <w:top w:val="single" w:color="auto" w:sz="4" w:space="0"/>
              <w:left w:val="single" w:color="auto" w:sz="4" w:space="0"/>
              <w:right w:val="single" w:color="auto" w:sz="4" w:space="0"/>
            </w:tcBorders>
            <w:vAlign w:val="center"/>
          </w:tcPr>
          <w:p w14:paraId="25601C90">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35</w:t>
            </w:r>
          </w:p>
        </w:tc>
        <w:tc>
          <w:tcPr>
            <w:tcW w:w="5089" w:type="dxa"/>
            <w:tcBorders>
              <w:top w:val="single" w:color="auto" w:sz="4" w:space="0"/>
              <w:left w:val="single" w:color="auto" w:sz="4" w:space="0"/>
              <w:right w:val="single" w:color="auto" w:sz="4" w:space="0"/>
            </w:tcBorders>
            <w:vAlign w:val="center"/>
          </w:tcPr>
          <w:p w14:paraId="651E47DC">
            <w:pPr>
              <w:rPr>
                <w:rFonts w:hint="eastAsia" w:ascii="宋体" w:hAnsi="宋体" w:cs="宋体"/>
                <w:bCs/>
                <w:color w:val="auto"/>
                <w:sz w:val="24"/>
                <w:szCs w:val="24"/>
                <w:highlight w:val="none"/>
              </w:rPr>
            </w:pPr>
          </w:p>
        </w:tc>
      </w:tr>
      <w:tr w14:paraId="2D9D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5576958E">
            <w:pPr>
              <w:jc w:val="center"/>
              <w:rPr>
                <w:rFonts w:hint="eastAsia" w:ascii="宋体" w:hAnsi="宋体" w:cs="宋体"/>
                <w:bCs/>
                <w:color w:val="auto"/>
                <w:sz w:val="24"/>
                <w:szCs w:val="24"/>
                <w:highlight w:val="none"/>
              </w:rPr>
            </w:pPr>
          </w:p>
        </w:tc>
        <w:tc>
          <w:tcPr>
            <w:tcW w:w="2789" w:type="dxa"/>
            <w:tcBorders>
              <w:top w:val="single" w:color="auto" w:sz="4" w:space="0"/>
              <w:left w:val="single" w:color="auto" w:sz="4" w:space="0"/>
              <w:right w:val="single" w:color="auto" w:sz="4" w:space="0"/>
            </w:tcBorders>
            <w:vAlign w:val="center"/>
          </w:tcPr>
          <w:p w14:paraId="706AE558">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对项目整体把握的程度</w:t>
            </w:r>
          </w:p>
        </w:tc>
        <w:tc>
          <w:tcPr>
            <w:tcW w:w="716" w:type="dxa"/>
            <w:tcBorders>
              <w:top w:val="single" w:color="auto" w:sz="4" w:space="0"/>
              <w:left w:val="single" w:color="auto" w:sz="4" w:space="0"/>
              <w:right w:val="single" w:color="auto" w:sz="4" w:space="0"/>
            </w:tcBorders>
            <w:vAlign w:val="center"/>
          </w:tcPr>
          <w:p w14:paraId="7749815D">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7</w:t>
            </w:r>
          </w:p>
        </w:tc>
        <w:tc>
          <w:tcPr>
            <w:tcW w:w="5089" w:type="dxa"/>
            <w:tcBorders>
              <w:top w:val="single" w:color="auto" w:sz="4" w:space="0"/>
              <w:left w:val="single" w:color="auto" w:sz="4" w:space="0"/>
              <w:right w:val="single" w:color="auto" w:sz="4" w:space="0"/>
            </w:tcBorders>
            <w:vAlign w:val="center"/>
          </w:tcPr>
          <w:p w14:paraId="1CCF7CA8">
            <w:pPr>
              <w:pStyle w:val="32"/>
              <w:spacing w:before="78" w:line="308" w:lineRule="auto"/>
              <w:ind w:left="113" w:right="44"/>
              <w:jc w:val="both"/>
              <w:rPr>
                <w:rFonts w:hint="eastAsia"/>
                <w:color w:val="auto"/>
                <w:highlight w:val="none"/>
                <w:lang w:eastAsia="zh-CN"/>
              </w:rPr>
            </w:pPr>
            <w:r>
              <w:rPr>
                <w:color w:val="auto"/>
                <w:spacing w:val="-1"/>
                <w:highlight w:val="none"/>
                <w:lang w:eastAsia="zh-CN"/>
              </w:rPr>
              <w:t>磋商小组根据采购文件要求及供应商对项目任务</w:t>
            </w:r>
            <w:r>
              <w:rPr>
                <w:color w:val="auto"/>
                <w:spacing w:val="-5"/>
                <w:highlight w:val="none"/>
                <w:lang w:eastAsia="zh-CN"/>
              </w:rPr>
              <w:t>和内容等的理解程度，对项目整体把握的情况等，</w:t>
            </w:r>
            <w:r>
              <w:rPr>
                <w:color w:val="auto"/>
                <w:highlight w:val="none"/>
                <w:lang w:eastAsia="zh-CN"/>
              </w:rPr>
              <w:t xml:space="preserve"> </w:t>
            </w:r>
            <w:r>
              <w:rPr>
                <w:color w:val="auto"/>
                <w:spacing w:val="-2"/>
                <w:highlight w:val="none"/>
                <w:lang w:eastAsia="zh-CN"/>
              </w:rPr>
              <w:t>进行综合评分：</w:t>
            </w:r>
          </w:p>
          <w:p w14:paraId="7304C109">
            <w:pPr>
              <w:pStyle w:val="32"/>
              <w:spacing w:before="2" w:line="263" w:lineRule="auto"/>
              <w:ind w:left="119" w:right="106" w:firstLine="7"/>
              <w:rPr>
                <w:rFonts w:hint="eastAsia"/>
                <w:color w:val="auto"/>
                <w:highlight w:val="none"/>
                <w:lang w:eastAsia="zh-CN"/>
              </w:rPr>
            </w:pPr>
            <w:r>
              <w:rPr>
                <w:color w:val="auto"/>
                <w:spacing w:val="-3"/>
                <w:highlight w:val="none"/>
                <w:lang w:eastAsia="zh-CN"/>
              </w:rPr>
              <w:t>（1）对项目工作整体熟悉，能够熟练处理项目相</w:t>
            </w:r>
            <w:r>
              <w:rPr>
                <w:color w:val="auto"/>
                <w:highlight w:val="none"/>
                <w:lang w:eastAsia="zh-CN"/>
              </w:rPr>
              <w:t xml:space="preserve"> </w:t>
            </w:r>
            <w:r>
              <w:rPr>
                <w:color w:val="auto"/>
                <w:spacing w:val="-5"/>
                <w:highlight w:val="none"/>
                <w:lang w:eastAsia="zh-CN"/>
              </w:rPr>
              <w:t>关事宜的，得</w:t>
            </w:r>
            <w:r>
              <w:rPr>
                <w:rFonts w:hint="eastAsia"/>
                <w:color w:val="auto"/>
                <w:spacing w:val="-5"/>
                <w:highlight w:val="none"/>
                <w:lang w:eastAsia="zh-CN"/>
              </w:rPr>
              <w:t>7</w:t>
            </w:r>
            <w:r>
              <w:rPr>
                <w:color w:val="auto"/>
                <w:spacing w:val="-5"/>
                <w:highlight w:val="none"/>
                <w:lang w:eastAsia="zh-CN"/>
              </w:rPr>
              <w:t>分；</w:t>
            </w:r>
          </w:p>
          <w:p w14:paraId="70BB52C8">
            <w:pPr>
              <w:pStyle w:val="32"/>
              <w:spacing w:before="112" w:line="264" w:lineRule="auto"/>
              <w:ind w:left="114" w:right="106" w:firstLine="12"/>
              <w:rPr>
                <w:rFonts w:hint="eastAsia"/>
                <w:color w:val="auto"/>
                <w:highlight w:val="none"/>
                <w:lang w:eastAsia="zh-CN"/>
              </w:rPr>
            </w:pPr>
            <w:r>
              <w:rPr>
                <w:color w:val="auto"/>
                <w:spacing w:val="-3"/>
                <w:highlight w:val="none"/>
                <w:lang w:eastAsia="zh-CN"/>
              </w:rPr>
              <w:t>（2）对项目工作整体熟悉程度较好的，能够基本</w:t>
            </w:r>
            <w:r>
              <w:rPr>
                <w:color w:val="auto"/>
                <w:highlight w:val="none"/>
                <w:lang w:eastAsia="zh-CN"/>
              </w:rPr>
              <w:t xml:space="preserve"> </w:t>
            </w:r>
            <w:r>
              <w:rPr>
                <w:color w:val="auto"/>
                <w:spacing w:val="-3"/>
                <w:highlight w:val="none"/>
                <w:lang w:eastAsia="zh-CN"/>
              </w:rPr>
              <w:t>解决项目事宜的，得</w:t>
            </w:r>
            <w:r>
              <w:rPr>
                <w:color w:val="auto"/>
                <w:spacing w:val="-46"/>
                <w:highlight w:val="none"/>
                <w:lang w:eastAsia="zh-CN"/>
              </w:rPr>
              <w:t xml:space="preserve"> </w:t>
            </w:r>
            <w:r>
              <w:rPr>
                <w:rFonts w:hint="eastAsia"/>
                <w:color w:val="auto"/>
                <w:spacing w:val="-46"/>
                <w:highlight w:val="none"/>
                <w:lang w:eastAsia="zh-CN"/>
              </w:rPr>
              <w:t>5</w:t>
            </w:r>
            <w:r>
              <w:rPr>
                <w:color w:val="auto"/>
                <w:spacing w:val="-3"/>
                <w:highlight w:val="none"/>
                <w:lang w:eastAsia="zh-CN"/>
              </w:rPr>
              <w:t>分；</w:t>
            </w:r>
          </w:p>
          <w:p w14:paraId="30B844CC">
            <w:pPr>
              <w:pStyle w:val="32"/>
              <w:spacing w:before="2" w:line="263" w:lineRule="auto"/>
              <w:ind w:left="119" w:right="106" w:firstLine="7"/>
              <w:rPr>
                <w:rFonts w:hint="eastAsia"/>
                <w:color w:val="auto"/>
                <w:spacing w:val="-3"/>
                <w:highlight w:val="none"/>
                <w:lang w:eastAsia="zh-CN"/>
              </w:rPr>
            </w:pPr>
            <w:r>
              <w:rPr>
                <w:color w:val="auto"/>
                <w:spacing w:val="-3"/>
                <w:highlight w:val="none"/>
                <w:lang w:eastAsia="zh-CN"/>
              </w:rPr>
              <w:t>（3）对项目工作熟悉程度有待加强的，得</w:t>
            </w:r>
            <w:r>
              <w:rPr>
                <w:color w:val="auto"/>
                <w:spacing w:val="-29"/>
                <w:highlight w:val="none"/>
                <w:lang w:eastAsia="zh-CN"/>
              </w:rPr>
              <w:t xml:space="preserve"> </w:t>
            </w:r>
            <w:r>
              <w:rPr>
                <w:rFonts w:hint="eastAsia"/>
                <w:color w:val="auto"/>
                <w:spacing w:val="-3"/>
                <w:highlight w:val="none"/>
                <w:lang w:eastAsia="zh-CN"/>
              </w:rPr>
              <w:t>3</w:t>
            </w:r>
            <w:r>
              <w:rPr>
                <w:color w:val="auto"/>
                <w:spacing w:val="-3"/>
                <w:highlight w:val="none"/>
                <w:lang w:eastAsia="zh-CN"/>
              </w:rPr>
              <w:t>分；</w:t>
            </w:r>
          </w:p>
          <w:p w14:paraId="6D0D4BE0">
            <w:pPr>
              <w:pStyle w:val="32"/>
              <w:spacing w:before="2" w:line="263" w:lineRule="auto"/>
              <w:ind w:left="119" w:right="106" w:firstLine="7"/>
              <w:rPr>
                <w:rFonts w:hint="eastAsia"/>
                <w:bCs/>
                <w:color w:val="auto"/>
                <w:highlight w:val="none"/>
                <w:lang w:eastAsia="zh-CN"/>
              </w:rPr>
            </w:pPr>
            <w:r>
              <w:rPr>
                <w:color w:val="auto"/>
                <w:spacing w:val="-3"/>
                <w:highlight w:val="none"/>
                <w:lang w:eastAsia="zh-CN"/>
              </w:rPr>
              <w:t>（4）差的或未提供的不得分。</w:t>
            </w:r>
          </w:p>
        </w:tc>
      </w:tr>
      <w:tr w14:paraId="6EB5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14:paraId="29961E8F">
            <w:pPr>
              <w:jc w:val="center"/>
              <w:rPr>
                <w:rFonts w:hint="eastAsia" w:ascii="宋体" w:hAnsi="宋体" w:cs="宋体"/>
                <w:bCs/>
                <w:color w:val="auto"/>
                <w:sz w:val="24"/>
                <w:szCs w:val="24"/>
                <w:highlight w:val="none"/>
              </w:rPr>
            </w:pPr>
          </w:p>
        </w:tc>
        <w:tc>
          <w:tcPr>
            <w:tcW w:w="2789" w:type="dxa"/>
            <w:tcBorders>
              <w:top w:val="single" w:color="auto" w:sz="4" w:space="0"/>
              <w:left w:val="single" w:color="auto" w:sz="4" w:space="0"/>
              <w:bottom w:val="single" w:color="auto" w:sz="4" w:space="0"/>
              <w:right w:val="single" w:color="auto" w:sz="4" w:space="0"/>
            </w:tcBorders>
            <w:vAlign w:val="center"/>
          </w:tcPr>
          <w:p w14:paraId="155A86A2">
            <w:pPr>
              <w:pStyle w:val="32"/>
              <w:spacing w:before="78" w:line="308" w:lineRule="auto"/>
              <w:ind w:left="113" w:right="44"/>
              <w:jc w:val="both"/>
              <w:rPr>
                <w:rFonts w:hint="eastAsia"/>
                <w:color w:val="auto"/>
                <w:spacing w:val="-2"/>
                <w:highlight w:val="none"/>
                <w:lang w:eastAsia="zh-CN"/>
              </w:rPr>
            </w:pPr>
            <w:r>
              <w:rPr>
                <w:color w:val="auto"/>
                <w:spacing w:val="-2"/>
                <w:highlight w:val="none"/>
                <w:lang w:eastAsia="zh-CN"/>
              </w:rPr>
              <w:t>技术路线和方法</w:t>
            </w:r>
          </w:p>
        </w:tc>
        <w:tc>
          <w:tcPr>
            <w:tcW w:w="716" w:type="dxa"/>
            <w:tcBorders>
              <w:top w:val="single" w:color="auto" w:sz="4" w:space="0"/>
              <w:left w:val="single" w:color="auto" w:sz="4" w:space="0"/>
              <w:bottom w:val="single" w:color="auto" w:sz="4" w:space="0"/>
              <w:right w:val="single" w:color="auto" w:sz="4" w:space="0"/>
            </w:tcBorders>
            <w:vAlign w:val="center"/>
          </w:tcPr>
          <w:p w14:paraId="5D93BAB1">
            <w:pPr>
              <w:pStyle w:val="32"/>
              <w:spacing w:before="78" w:line="308" w:lineRule="auto"/>
              <w:ind w:right="44"/>
              <w:jc w:val="center"/>
              <w:rPr>
                <w:rFonts w:hint="eastAsia"/>
                <w:color w:val="auto"/>
                <w:spacing w:val="-2"/>
                <w:highlight w:val="none"/>
                <w:lang w:eastAsia="zh-CN"/>
              </w:rPr>
            </w:pPr>
            <w:r>
              <w:rPr>
                <w:rFonts w:hint="eastAsia"/>
                <w:color w:val="auto"/>
                <w:spacing w:val="-2"/>
                <w:highlight w:val="none"/>
                <w:lang w:eastAsia="zh-CN"/>
              </w:rPr>
              <w:t>7</w:t>
            </w:r>
          </w:p>
        </w:tc>
        <w:tc>
          <w:tcPr>
            <w:tcW w:w="5089" w:type="dxa"/>
            <w:tcBorders>
              <w:top w:val="single" w:color="auto" w:sz="4" w:space="0"/>
              <w:left w:val="single" w:color="auto" w:sz="4" w:space="0"/>
              <w:bottom w:val="single" w:color="auto" w:sz="4" w:space="0"/>
              <w:right w:val="single" w:color="auto" w:sz="4" w:space="0"/>
            </w:tcBorders>
            <w:vAlign w:val="center"/>
          </w:tcPr>
          <w:p w14:paraId="375D7DA4">
            <w:pPr>
              <w:pStyle w:val="32"/>
              <w:spacing w:before="78" w:line="308" w:lineRule="auto"/>
              <w:ind w:left="113" w:right="44"/>
              <w:jc w:val="both"/>
              <w:rPr>
                <w:rFonts w:hint="eastAsia"/>
                <w:color w:val="auto"/>
                <w:spacing w:val="-2"/>
                <w:highlight w:val="none"/>
                <w:lang w:eastAsia="zh-CN"/>
              </w:rPr>
            </w:pPr>
            <w:r>
              <w:rPr>
                <w:color w:val="auto"/>
                <w:spacing w:val="-2"/>
                <w:highlight w:val="none"/>
                <w:lang w:eastAsia="zh-CN"/>
              </w:rPr>
              <w:t>磋商小组根据采购文件内容及供应商提供对</w:t>
            </w:r>
            <w:r>
              <w:rPr>
                <w:rFonts w:hint="eastAsia"/>
                <w:color w:val="auto"/>
                <w:spacing w:val="-2"/>
                <w:highlight w:val="none"/>
                <w:lang w:eastAsia="zh-CN"/>
              </w:rPr>
              <w:t>项目</w:t>
            </w:r>
            <w:r>
              <w:rPr>
                <w:color w:val="auto"/>
                <w:spacing w:val="-2"/>
                <w:highlight w:val="none"/>
                <w:lang w:eastAsia="zh-CN"/>
              </w:rPr>
              <w:t>技术路线和方法的制定情况，进行综合评审。</w:t>
            </w:r>
          </w:p>
          <w:p w14:paraId="1A1F7E1F">
            <w:pPr>
              <w:pStyle w:val="32"/>
              <w:spacing w:before="78" w:line="308" w:lineRule="auto"/>
              <w:ind w:left="113" w:right="44"/>
              <w:jc w:val="both"/>
              <w:rPr>
                <w:rFonts w:hint="eastAsia"/>
                <w:color w:val="auto"/>
                <w:spacing w:val="-2"/>
                <w:highlight w:val="none"/>
                <w:lang w:eastAsia="zh-CN"/>
              </w:rPr>
            </w:pPr>
            <w:r>
              <w:rPr>
                <w:color w:val="auto"/>
                <w:spacing w:val="-2"/>
                <w:highlight w:val="none"/>
                <w:lang w:eastAsia="zh-CN"/>
              </w:rPr>
              <w:t>（1）技术路线准确，全面满足本项目采购需求，完整详实，可行性、实用性、针对性强，得</w:t>
            </w:r>
            <w:r>
              <w:rPr>
                <w:rFonts w:hint="eastAsia"/>
                <w:color w:val="auto"/>
                <w:spacing w:val="-2"/>
                <w:highlight w:val="none"/>
                <w:lang w:eastAsia="zh-CN"/>
              </w:rPr>
              <w:t>7</w:t>
            </w:r>
            <w:r>
              <w:rPr>
                <w:color w:val="auto"/>
                <w:spacing w:val="-2"/>
                <w:highlight w:val="none"/>
                <w:lang w:eastAsia="zh-CN"/>
              </w:rPr>
              <w:t>分；</w:t>
            </w:r>
          </w:p>
          <w:p w14:paraId="58789922">
            <w:pPr>
              <w:pStyle w:val="32"/>
              <w:spacing w:before="78" w:line="308" w:lineRule="auto"/>
              <w:ind w:left="113" w:right="44"/>
              <w:jc w:val="both"/>
              <w:rPr>
                <w:rFonts w:hint="eastAsia"/>
                <w:color w:val="auto"/>
                <w:spacing w:val="-2"/>
                <w:highlight w:val="none"/>
                <w:lang w:eastAsia="zh-CN"/>
              </w:rPr>
            </w:pPr>
            <w:r>
              <w:rPr>
                <w:color w:val="auto"/>
                <w:spacing w:val="-2"/>
                <w:highlight w:val="none"/>
                <w:lang w:eastAsia="zh-CN"/>
              </w:rPr>
              <w:t>（2）技术路线基本准确，适合本项目采购需求，完整详实，具有可行性、实用性和针对性，得</w:t>
            </w:r>
            <w:r>
              <w:rPr>
                <w:rFonts w:hint="eastAsia"/>
                <w:color w:val="auto"/>
                <w:spacing w:val="-2"/>
                <w:highlight w:val="none"/>
                <w:lang w:eastAsia="zh-CN"/>
              </w:rPr>
              <w:t>5</w:t>
            </w:r>
            <w:r>
              <w:rPr>
                <w:color w:val="auto"/>
                <w:spacing w:val="-2"/>
                <w:highlight w:val="none"/>
                <w:lang w:eastAsia="zh-CN"/>
              </w:rPr>
              <w:t>分；</w:t>
            </w:r>
          </w:p>
          <w:p w14:paraId="631E7548">
            <w:pPr>
              <w:pStyle w:val="32"/>
              <w:spacing w:before="78" w:line="308" w:lineRule="auto"/>
              <w:ind w:left="113" w:right="44"/>
              <w:jc w:val="both"/>
              <w:rPr>
                <w:rFonts w:hint="eastAsia"/>
                <w:color w:val="auto"/>
                <w:spacing w:val="-2"/>
                <w:highlight w:val="none"/>
                <w:lang w:eastAsia="zh-CN"/>
              </w:rPr>
            </w:pPr>
            <w:r>
              <w:rPr>
                <w:color w:val="auto"/>
                <w:spacing w:val="-2"/>
                <w:highlight w:val="none"/>
                <w:lang w:eastAsia="zh-CN"/>
              </w:rPr>
              <w:t xml:space="preserve">（3）技术路线有待提升，基本适合本项目采购需求，可行性、实用性和针对性有待改善，得 </w:t>
            </w:r>
            <w:r>
              <w:rPr>
                <w:rFonts w:hint="eastAsia"/>
                <w:color w:val="auto"/>
                <w:spacing w:val="-2"/>
                <w:highlight w:val="none"/>
                <w:lang w:eastAsia="zh-CN"/>
              </w:rPr>
              <w:t>3</w:t>
            </w:r>
            <w:r>
              <w:rPr>
                <w:color w:val="auto"/>
                <w:spacing w:val="-2"/>
                <w:highlight w:val="none"/>
                <w:lang w:eastAsia="zh-CN"/>
              </w:rPr>
              <w:t>分；</w:t>
            </w:r>
          </w:p>
          <w:p w14:paraId="38CA8D55">
            <w:pPr>
              <w:pStyle w:val="32"/>
              <w:spacing w:before="78" w:line="308" w:lineRule="auto"/>
              <w:ind w:left="113" w:right="44"/>
              <w:jc w:val="both"/>
              <w:rPr>
                <w:rFonts w:hint="eastAsia"/>
                <w:color w:val="auto"/>
                <w:spacing w:val="-2"/>
                <w:highlight w:val="none"/>
                <w:lang w:eastAsia="zh-CN"/>
              </w:rPr>
            </w:pPr>
            <w:r>
              <w:rPr>
                <w:color w:val="auto"/>
                <w:spacing w:val="-2"/>
                <w:highlight w:val="none"/>
                <w:lang w:eastAsia="zh-CN"/>
              </w:rPr>
              <w:t>（4）差的或未提供的不得分。</w:t>
            </w:r>
          </w:p>
        </w:tc>
      </w:tr>
      <w:tr w14:paraId="0802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41956583">
            <w:pPr>
              <w:jc w:val="center"/>
              <w:rPr>
                <w:rFonts w:hint="eastAsia" w:ascii="宋体" w:hAnsi="宋体" w:cs="宋体"/>
                <w:bCs/>
                <w:color w:val="auto"/>
                <w:sz w:val="24"/>
                <w:szCs w:val="24"/>
                <w:highlight w:val="none"/>
              </w:rPr>
            </w:pPr>
          </w:p>
        </w:tc>
        <w:tc>
          <w:tcPr>
            <w:tcW w:w="2789" w:type="dxa"/>
            <w:tcBorders>
              <w:top w:val="single" w:color="auto" w:sz="4" w:space="0"/>
              <w:left w:val="single" w:color="auto" w:sz="4" w:space="0"/>
              <w:right w:val="single" w:color="auto" w:sz="4" w:space="0"/>
            </w:tcBorders>
            <w:vAlign w:val="center"/>
          </w:tcPr>
          <w:p w14:paraId="501D841C">
            <w:pPr>
              <w:jc w:val="center"/>
              <w:rPr>
                <w:rFonts w:hint="eastAsia" w:ascii="宋体" w:hAnsi="宋体" w:cs="宋体"/>
                <w:snapToGrid w:val="0"/>
                <w:color w:val="auto"/>
                <w:spacing w:val="-2"/>
                <w:kern w:val="0"/>
                <w:sz w:val="24"/>
                <w:szCs w:val="24"/>
                <w:highlight w:val="none"/>
              </w:rPr>
            </w:pPr>
            <w:r>
              <w:rPr>
                <w:rFonts w:ascii="宋体" w:hAnsi="宋体" w:cs="宋体"/>
                <w:snapToGrid w:val="0"/>
                <w:color w:val="auto"/>
                <w:spacing w:val="-2"/>
                <w:kern w:val="0"/>
                <w:sz w:val="24"/>
                <w:szCs w:val="24"/>
                <w:highlight w:val="none"/>
              </w:rPr>
              <w:t>基础资料收集</w:t>
            </w:r>
            <w:r>
              <w:rPr>
                <w:rFonts w:hint="eastAsia" w:ascii="宋体" w:hAnsi="宋体" w:cs="宋体"/>
                <w:snapToGrid w:val="0"/>
                <w:color w:val="auto"/>
                <w:spacing w:val="-2"/>
                <w:kern w:val="0"/>
                <w:sz w:val="24"/>
                <w:szCs w:val="24"/>
                <w:highlight w:val="none"/>
              </w:rPr>
              <w:t>方案</w:t>
            </w:r>
          </w:p>
        </w:tc>
        <w:tc>
          <w:tcPr>
            <w:tcW w:w="716" w:type="dxa"/>
            <w:tcBorders>
              <w:top w:val="single" w:color="auto" w:sz="4" w:space="0"/>
              <w:left w:val="single" w:color="auto" w:sz="4" w:space="0"/>
              <w:right w:val="single" w:color="auto" w:sz="4" w:space="0"/>
            </w:tcBorders>
            <w:vAlign w:val="center"/>
          </w:tcPr>
          <w:p w14:paraId="6F4CF50B">
            <w:pPr>
              <w:jc w:val="center"/>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7</w:t>
            </w:r>
          </w:p>
        </w:tc>
        <w:tc>
          <w:tcPr>
            <w:tcW w:w="5089" w:type="dxa"/>
            <w:tcBorders>
              <w:top w:val="single" w:color="auto" w:sz="4" w:space="0"/>
              <w:left w:val="single" w:color="auto" w:sz="4" w:space="0"/>
              <w:right w:val="single" w:color="auto" w:sz="4" w:space="0"/>
            </w:tcBorders>
            <w:vAlign w:val="center"/>
          </w:tcPr>
          <w:p w14:paraId="4348BD83">
            <w:pPr>
              <w:pStyle w:val="32"/>
              <w:spacing w:before="119" w:line="264" w:lineRule="auto"/>
              <w:ind w:left="116" w:right="106" w:firstLine="10"/>
              <w:rPr>
                <w:rFonts w:hint="eastAsia"/>
                <w:color w:val="auto"/>
                <w:spacing w:val="-2"/>
                <w:highlight w:val="none"/>
                <w:lang w:eastAsia="zh-CN"/>
              </w:rPr>
            </w:pPr>
            <w:r>
              <w:rPr>
                <w:color w:val="auto"/>
                <w:spacing w:val="-2"/>
                <w:highlight w:val="none"/>
                <w:lang w:eastAsia="zh-CN"/>
              </w:rPr>
              <w:t>（1）资料收集方案和调查方式科学且可行、收集 保障完备，得</w:t>
            </w:r>
            <w:r>
              <w:rPr>
                <w:rFonts w:hint="eastAsia"/>
                <w:color w:val="auto"/>
                <w:spacing w:val="-2"/>
                <w:highlight w:val="none"/>
                <w:lang w:eastAsia="zh-CN"/>
              </w:rPr>
              <w:t>7</w:t>
            </w:r>
            <w:r>
              <w:rPr>
                <w:color w:val="auto"/>
                <w:spacing w:val="-2"/>
                <w:highlight w:val="none"/>
                <w:lang w:eastAsia="zh-CN"/>
              </w:rPr>
              <w:t>分；</w:t>
            </w:r>
          </w:p>
          <w:p w14:paraId="097E659D">
            <w:pPr>
              <w:pStyle w:val="32"/>
              <w:spacing w:before="112" w:line="264" w:lineRule="auto"/>
              <w:ind w:left="126" w:right="106"/>
              <w:rPr>
                <w:rFonts w:hint="eastAsia"/>
                <w:color w:val="auto"/>
                <w:spacing w:val="-2"/>
                <w:highlight w:val="none"/>
                <w:lang w:eastAsia="zh-CN"/>
              </w:rPr>
            </w:pPr>
            <w:r>
              <w:rPr>
                <w:color w:val="auto"/>
                <w:spacing w:val="-2"/>
                <w:highlight w:val="none"/>
                <w:lang w:eastAsia="zh-CN"/>
              </w:rPr>
              <w:t>（2）资料收集方案和调查方式基本可行、收集保 障较完备，得</w:t>
            </w:r>
            <w:r>
              <w:rPr>
                <w:rFonts w:hint="eastAsia"/>
                <w:color w:val="auto"/>
                <w:spacing w:val="-2"/>
                <w:highlight w:val="none"/>
                <w:lang w:eastAsia="zh-CN"/>
              </w:rPr>
              <w:t>5</w:t>
            </w:r>
            <w:r>
              <w:rPr>
                <w:color w:val="auto"/>
                <w:spacing w:val="-2"/>
                <w:highlight w:val="none"/>
                <w:lang w:eastAsia="zh-CN"/>
              </w:rPr>
              <w:t>分；</w:t>
            </w:r>
          </w:p>
          <w:p w14:paraId="480A082B">
            <w:pPr>
              <w:pStyle w:val="32"/>
              <w:spacing w:before="115" w:line="263" w:lineRule="auto"/>
              <w:ind w:left="116" w:right="106" w:firstLine="10"/>
              <w:rPr>
                <w:rFonts w:hint="eastAsia"/>
                <w:color w:val="auto"/>
                <w:spacing w:val="-2"/>
                <w:highlight w:val="none"/>
                <w:lang w:eastAsia="zh-CN"/>
              </w:rPr>
            </w:pPr>
            <w:r>
              <w:rPr>
                <w:color w:val="auto"/>
                <w:spacing w:val="-2"/>
                <w:highlight w:val="none"/>
                <w:lang w:eastAsia="zh-CN"/>
              </w:rPr>
              <w:t>（3）收集资料方案和调查方式缺乏针对性、收集 保障不完备，得</w:t>
            </w:r>
            <w:r>
              <w:rPr>
                <w:rFonts w:hint="eastAsia"/>
                <w:color w:val="auto"/>
                <w:spacing w:val="-2"/>
                <w:highlight w:val="none"/>
                <w:lang w:eastAsia="zh-CN"/>
              </w:rPr>
              <w:t>3</w:t>
            </w:r>
            <w:r>
              <w:rPr>
                <w:color w:val="auto"/>
                <w:spacing w:val="-2"/>
                <w:highlight w:val="none"/>
                <w:lang w:eastAsia="zh-CN"/>
              </w:rPr>
              <w:t>分；</w:t>
            </w:r>
          </w:p>
          <w:p w14:paraId="2A5AC519">
            <w:pPr>
              <w:rPr>
                <w:rFonts w:hint="eastAsia" w:ascii="宋体" w:hAnsi="宋体" w:cs="宋体"/>
                <w:snapToGrid w:val="0"/>
                <w:color w:val="auto"/>
                <w:spacing w:val="-2"/>
                <w:kern w:val="0"/>
                <w:sz w:val="24"/>
                <w:szCs w:val="24"/>
                <w:highlight w:val="none"/>
              </w:rPr>
            </w:pPr>
            <w:r>
              <w:rPr>
                <w:rFonts w:ascii="宋体" w:hAnsi="宋体" w:cs="宋体"/>
                <w:snapToGrid w:val="0"/>
                <w:color w:val="auto"/>
                <w:spacing w:val="-2"/>
                <w:kern w:val="0"/>
                <w:sz w:val="24"/>
                <w:szCs w:val="24"/>
                <w:highlight w:val="none"/>
              </w:rPr>
              <w:t>（4）差的或未提供的不得分。</w:t>
            </w:r>
          </w:p>
        </w:tc>
      </w:tr>
      <w:tr w14:paraId="35B0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1397F58A">
            <w:pPr>
              <w:jc w:val="center"/>
              <w:rPr>
                <w:rFonts w:hint="eastAsia" w:ascii="宋体" w:hAnsi="宋体" w:cs="宋体"/>
                <w:bCs/>
                <w:color w:val="auto"/>
                <w:sz w:val="24"/>
                <w:szCs w:val="24"/>
                <w:highlight w:val="none"/>
              </w:rPr>
            </w:pPr>
          </w:p>
        </w:tc>
        <w:tc>
          <w:tcPr>
            <w:tcW w:w="2789" w:type="dxa"/>
            <w:tcBorders>
              <w:top w:val="single" w:color="auto" w:sz="4" w:space="0"/>
              <w:left w:val="single" w:color="auto" w:sz="4" w:space="0"/>
              <w:right w:val="single" w:color="auto" w:sz="4" w:space="0"/>
            </w:tcBorders>
            <w:vAlign w:val="center"/>
          </w:tcPr>
          <w:p w14:paraId="2D5510D6">
            <w:pPr>
              <w:jc w:val="center"/>
              <w:rPr>
                <w:rFonts w:hint="eastAsia" w:ascii="宋体" w:hAnsi="宋体" w:cs="宋体"/>
                <w:snapToGrid w:val="0"/>
                <w:color w:val="auto"/>
                <w:spacing w:val="-2"/>
                <w:kern w:val="0"/>
                <w:sz w:val="24"/>
                <w:szCs w:val="24"/>
                <w:highlight w:val="none"/>
              </w:rPr>
            </w:pPr>
            <w:r>
              <w:rPr>
                <w:rFonts w:ascii="宋体" w:hAnsi="宋体" w:cs="宋体"/>
                <w:snapToGrid w:val="0"/>
                <w:color w:val="auto"/>
                <w:spacing w:val="-2"/>
                <w:kern w:val="0"/>
                <w:sz w:val="24"/>
                <w:szCs w:val="24"/>
                <w:highlight w:val="none"/>
              </w:rPr>
              <w:t>进度计划及保证措施</w:t>
            </w:r>
          </w:p>
        </w:tc>
        <w:tc>
          <w:tcPr>
            <w:tcW w:w="716" w:type="dxa"/>
            <w:tcBorders>
              <w:top w:val="single" w:color="auto" w:sz="4" w:space="0"/>
              <w:left w:val="single" w:color="auto" w:sz="4" w:space="0"/>
              <w:right w:val="single" w:color="auto" w:sz="4" w:space="0"/>
            </w:tcBorders>
            <w:vAlign w:val="center"/>
          </w:tcPr>
          <w:p w14:paraId="752F6971">
            <w:pPr>
              <w:jc w:val="center"/>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7</w:t>
            </w:r>
          </w:p>
        </w:tc>
        <w:tc>
          <w:tcPr>
            <w:tcW w:w="5089" w:type="dxa"/>
            <w:tcBorders>
              <w:top w:val="single" w:color="auto" w:sz="4" w:space="0"/>
              <w:left w:val="single" w:color="auto" w:sz="4" w:space="0"/>
              <w:right w:val="single" w:color="auto" w:sz="4" w:space="0"/>
            </w:tcBorders>
            <w:vAlign w:val="center"/>
          </w:tcPr>
          <w:p w14:paraId="75EE934F">
            <w:pPr>
              <w:jc w:val="center"/>
              <w:rPr>
                <w:rFonts w:hint="eastAsia" w:ascii="宋体" w:hAnsi="宋体" w:cs="宋体"/>
                <w:snapToGrid w:val="0"/>
                <w:color w:val="auto"/>
                <w:spacing w:val="-2"/>
                <w:kern w:val="0"/>
                <w:sz w:val="24"/>
                <w:szCs w:val="24"/>
                <w:highlight w:val="none"/>
              </w:rPr>
            </w:pPr>
            <w:r>
              <w:rPr>
                <w:rFonts w:ascii="宋体" w:hAnsi="宋体" w:cs="宋体"/>
                <w:snapToGrid w:val="0"/>
                <w:color w:val="auto"/>
                <w:spacing w:val="-2"/>
                <w:kern w:val="0"/>
                <w:sz w:val="24"/>
                <w:szCs w:val="24"/>
                <w:highlight w:val="none"/>
              </w:rPr>
              <w:t>（1）工作进度计划及保证措施完整、详细，且可 行，能够完全满足项目要求，得</w:t>
            </w:r>
            <w:r>
              <w:rPr>
                <w:rFonts w:hint="eastAsia" w:ascii="宋体" w:hAnsi="宋体" w:cs="宋体"/>
                <w:snapToGrid w:val="0"/>
                <w:color w:val="auto"/>
                <w:spacing w:val="-2"/>
                <w:kern w:val="0"/>
                <w:sz w:val="24"/>
                <w:szCs w:val="24"/>
                <w:highlight w:val="none"/>
              </w:rPr>
              <w:t>7</w:t>
            </w:r>
            <w:r>
              <w:rPr>
                <w:rFonts w:ascii="宋体" w:hAnsi="宋体" w:cs="宋体"/>
                <w:snapToGrid w:val="0"/>
                <w:color w:val="auto"/>
                <w:spacing w:val="-2"/>
                <w:kern w:val="0"/>
                <w:sz w:val="24"/>
                <w:szCs w:val="24"/>
                <w:highlight w:val="none"/>
              </w:rPr>
              <w:t>分；</w:t>
            </w:r>
          </w:p>
          <w:p w14:paraId="7C78E164">
            <w:pPr>
              <w:jc w:val="center"/>
              <w:rPr>
                <w:rFonts w:hint="eastAsia" w:ascii="宋体" w:hAnsi="宋体" w:cs="宋体"/>
                <w:snapToGrid w:val="0"/>
                <w:color w:val="auto"/>
                <w:spacing w:val="-2"/>
                <w:kern w:val="0"/>
                <w:sz w:val="24"/>
                <w:szCs w:val="24"/>
                <w:highlight w:val="none"/>
              </w:rPr>
            </w:pPr>
            <w:r>
              <w:rPr>
                <w:rFonts w:ascii="宋体" w:hAnsi="宋体" w:cs="宋体"/>
                <w:snapToGrid w:val="0"/>
                <w:color w:val="auto"/>
                <w:spacing w:val="-2"/>
                <w:kern w:val="0"/>
                <w:sz w:val="24"/>
                <w:szCs w:val="24"/>
                <w:highlight w:val="none"/>
              </w:rPr>
              <w:t>（2）工作进度计划及保证措施较完整、详细，较 可行，可以基本满足项目要求，得</w:t>
            </w:r>
            <w:r>
              <w:rPr>
                <w:rFonts w:hint="eastAsia" w:ascii="宋体" w:hAnsi="宋体" w:cs="宋体"/>
                <w:snapToGrid w:val="0"/>
                <w:color w:val="auto"/>
                <w:spacing w:val="-2"/>
                <w:kern w:val="0"/>
                <w:sz w:val="24"/>
                <w:szCs w:val="24"/>
                <w:highlight w:val="none"/>
              </w:rPr>
              <w:t>5</w:t>
            </w:r>
            <w:r>
              <w:rPr>
                <w:rFonts w:ascii="宋体" w:hAnsi="宋体" w:cs="宋体"/>
                <w:snapToGrid w:val="0"/>
                <w:color w:val="auto"/>
                <w:spacing w:val="-2"/>
                <w:kern w:val="0"/>
                <w:sz w:val="24"/>
                <w:szCs w:val="24"/>
                <w:highlight w:val="none"/>
              </w:rPr>
              <w:t>分；</w:t>
            </w:r>
          </w:p>
          <w:p w14:paraId="3CA385CA">
            <w:pPr>
              <w:jc w:val="center"/>
              <w:rPr>
                <w:rFonts w:hint="eastAsia" w:ascii="宋体" w:hAnsi="宋体" w:cs="宋体"/>
                <w:snapToGrid w:val="0"/>
                <w:color w:val="auto"/>
                <w:spacing w:val="-2"/>
                <w:kern w:val="0"/>
                <w:sz w:val="24"/>
                <w:szCs w:val="24"/>
                <w:highlight w:val="none"/>
              </w:rPr>
            </w:pPr>
            <w:r>
              <w:rPr>
                <w:rFonts w:ascii="宋体" w:hAnsi="宋体" w:cs="宋体"/>
                <w:snapToGrid w:val="0"/>
                <w:color w:val="auto"/>
                <w:spacing w:val="-2"/>
                <w:kern w:val="0"/>
                <w:sz w:val="24"/>
                <w:szCs w:val="24"/>
                <w:highlight w:val="none"/>
              </w:rPr>
              <w:t>（3）工作进度计划及保证措施一般,内容不够完 整、详细,针对性较差，有待提升，得</w:t>
            </w:r>
            <w:r>
              <w:rPr>
                <w:rFonts w:hint="eastAsia" w:ascii="宋体" w:hAnsi="宋体" w:cs="宋体"/>
                <w:snapToGrid w:val="0"/>
                <w:color w:val="auto"/>
                <w:spacing w:val="-2"/>
                <w:kern w:val="0"/>
                <w:sz w:val="24"/>
                <w:szCs w:val="24"/>
                <w:highlight w:val="none"/>
              </w:rPr>
              <w:t>3</w:t>
            </w:r>
            <w:r>
              <w:rPr>
                <w:rFonts w:ascii="宋体" w:hAnsi="宋体" w:cs="宋体"/>
                <w:snapToGrid w:val="0"/>
                <w:color w:val="auto"/>
                <w:spacing w:val="-2"/>
                <w:kern w:val="0"/>
                <w:sz w:val="24"/>
                <w:szCs w:val="24"/>
                <w:highlight w:val="none"/>
              </w:rPr>
              <w:t>分；</w:t>
            </w:r>
          </w:p>
          <w:p w14:paraId="5B144AEF">
            <w:pPr>
              <w:rPr>
                <w:rFonts w:hint="eastAsia" w:ascii="宋体" w:hAnsi="宋体" w:cs="宋体"/>
                <w:snapToGrid w:val="0"/>
                <w:color w:val="auto"/>
                <w:spacing w:val="-2"/>
                <w:kern w:val="0"/>
                <w:sz w:val="24"/>
                <w:szCs w:val="24"/>
                <w:highlight w:val="none"/>
              </w:rPr>
            </w:pPr>
            <w:r>
              <w:rPr>
                <w:rFonts w:ascii="宋体" w:hAnsi="宋体" w:cs="宋体"/>
                <w:snapToGrid w:val="0"/>
                <w:color w:val="auto"/>
                <w:spacing w:val="-2"/>
                <w:kern w:val="0"/>
                <w:sz w:val="24"/>
                <w:szCs w:val="24"/>
                <w:highlight w:val="none"/>
              </w:rPr>
              <w:t>（4）差的或未提供的不得分。</w:t>
            </w:r>
          </w:p>
        </w:tc>
      </w:tr>
      <w:tr w14:paraId="5291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1FE6E725">
            <w:pPr>
              <w:jc w:val="center"/>
              <w:rPr>
                <w:rFonts w:hint="eastAsia" w:ascii="宋体" w:hAnsi="宋体" w:cs="宋体"/>
                <w:bCs/>
                <w:color w:val="auto"/>
                <w:sz w:val="24"/>
                <w:szCs w:val="24"/>
                <w:highlight w:val="none"/>
              </w:rPr>
            </w:pPr>
          </w:p>
        </w:tc>
        <w:tc>
          <w:tcPr>
            <w:tcW w:w="2789" w:type="dxa"/>
            <w:tcBorders>
              <w:top w:val="single" w:color="auto" w:sz="4" w:space="0"/>
              <w:left w:val="single" w:color="auto" w:sz="4" w:space="0"/>
              <w:right w:val="single" w:color="auto" w:sz="4" w:space="0"/>
            </w:tcBorders>
          </w:tcPr>
          <w:p w14:paraId="5C15D17B">
            <w:pPr>
              <w:jc w:val="center"/>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 xml:space="preserve">  </w:t>
            </w:r>
          </w:p>
          <w:p w14:paraId="3F1480BE">
            <w:pPr>
              <w:jc w:val="center"/>
              <w:rPr>
                <w:rFonts w:hint="eastAsia" w:ascii="宋体" w:hAnsi="宋体" w:cs="宋体"/>
                <w:snapToGrid w:val="0"/>
                <w:color w:val="auto"/>
                <w:spacing w:val="-2"/>
                <w:kern w:val="0"/>
                <w:sz w:val="24"/>
                <w:szCs w:val="24"/>
                <w:highlight w:val="none"/>
              </w:rPr>
            </w:pPr>
          </w:p>
          <w:p w14:paraId="0ECC1F66">
            <w:pPr>
              <w:jc w:val="center"/>
              <w:rPr>
                <w:rFonts w:hint="eastAsia" w:ascii="宋体" w:hAnsi="宋体" w:cs="宋体"/>
                <w:snapToGrid w:val="0"/>
                <w:color w:val="auto"/>
                <w:spacing w:val="-2"/>
                <w:kern w:val="0"/>
                <w:sz w:val="24"/>
                <w:szCs w:val="24"/>
                <w:highlight w:val="none"/>
              </w:rPr>
            </w:pPr>
            <w:r>
              <w:rPr>
                <w:rFonts w:ascii="宋体" w:hAnsi="宋体" w:cs="宋体"/>
                <w:snapToGrid w:val="0"/>
                <w:color w:val="auto"/>
                <w:spacing w:val="-2"/>
                <w:kern w:val="0"/>
                <w:sz w:val="24"/>
                <w:szCs w:val="24"/>
                <w:highlight w:val="none"/>
              </w:rPr>
              <w:t>对本项目工作重</w:t>
            </w:r>
          </w:p>
          <w:p w14:paraId="26515DA9">
            <w:pPr>
              <w:jc w:val="center"/>
              <w:rPr>
                <w:rFonts w:hint="eastAsia" w:ascii="宋体" w:hAnsi="宋体" w:cs="宋体"/>
                <w:snapToGrid w:val="0"/>
                <w:color w:val="auto"/>
                <w:spacing w:val="-2"/>
                <w:kern w:val="0"/>
                <w:sz w:val="24"/>
                <w:szCs w:val="24"/>
                <w:highlight w:val="none"/>
              </w:rPr>
            </w:pPr>
            <w:r>
              <w:rPr>
                <w:rFonts w:ascii="宋体" w:hAnsi="宋体" w:cs="宋体"/>
                <w:snapToGrid w:val="0"/>
                <w:color w:val="auto"/>
                <w:spacing w:val="-2"/>
                <w:kern w:val="0"/>
                <w:sz w:val="24"/>
                <w:szCs w:val="24"/>
                <w:highlight w:val="none"/>
              </w:rPr>
              <w:t>点与难点分析及</w:t>
            </w:r>
          </w:p>
          <w:p w14:paraId="49B2F33F">
            <w:pPr>
              <w:jc w:val="center"/>
              <w:rPr>
                <w:rFonts w:hint="eastAsia" w:ascii="宋体" w:hAnsi="宋体" w:cs="宋体"/>
                <w:snapToGrid w:val="0"/>
                <w:color w:val="auto"/>
                <w:spacing w:val="-2"/>
                <w:kern w:val="0"/>
                <w:sz w:val="24"/>
                <w:szCs w:val="24"/>
                <w:highlight w:val="none"/>
              </w:rPr>
            </w:pPr>
            <w:r>
              <w:rPr>
                <w:rFonts w:ascii="宋体" w:hAnsi="宋体" w:cs="宋体"/>
                <w:snapToGrid w:val="0"/>
                <w:color w:val="auto"/>
                <w:spacing w:val="-2"/>
                <w:kern w:val="0"/>
                <w:sz w:val="24"/>
                <w:szCs w:val="24"/>
                <w:highlight w:val="none"/>
              </w:rPr>
              <w:t>对策</w:t>
            </w:r>
          </w:p>
        </w:tc>
        <w:tc>
          <w:tcPr>
            <w:tcW w:w="716" w:type="dxa"/>
            <w:tcBorders>
              <w:top w:val="single" w:color="auto" w:sz="4" w:space="0"/>
              <w:left w:val="single" w:color="auto" w:sz="4" w:space="0"/>
              <w:right w:val="single" w:color="auto" w:sz="4" w:space="0"/>
            </w:tcBorders>
          </w:tcPr>
          <w:p w14:paraId="6C49DCF9">
            <w:pPr>
              <w:jc w:val="center"/>
              <w:rPr>
                <w:rFonts w:hint="eastAsia" w:ascii="宋体" w:hAnsi="宋体" w:cs="宋体"/>
                <w:snapToGrid w:val="0"/>
                <w:color w:val="auto"/>
                <w:spacing w:val="-2"/>
                <w:kern w:val="0"/>
                <w:sz w:val="24"/>
                <w:szCs w:val="24"/>
                <w:highlight w:val="none"/>
              </w:rPr>
            </w:pPr>
          </w:p>
          <w:p w14:paraId="7835CB09">
            <w:pPr>
              <w:jc w:val="center"/>
              <w:rPr>
                <w:rFonts w:hint="eastAsia" w:ascii="宋体" w:hAnsi="宋体" w:cs="宋体"/>
                <w:snapToGrid w:val="0"/>
                <w:color w:val="auto"/>
                <w:spacing w:val="-2"/>
                <w:kern w:val="0"/>
                <w:sz w:val="24"/>
                <w:szCs w:val="24"/>
                <w:highlight w:val="none"/>
              </w:rPr>
            </w:pPr>
          </w:p>
          <w:p w14:paraId="3F52C59F">
            <w:pPr>
              <w:jc w:val="center"/>
              <w:rPr>
                <w:rFonts w:hint="eastAsia" w:ascii="宋体" w:hAnsi="宋体" w:cs="宋体"/>
                <w:snapToGrid w:val="0"/>
                <w:color w:val="auto"/>
                <w:spacing w:val="-2"/>
                <w:kern w:val="0"/>
                <w:sz w:val="24"/>
                <w:szCs w:val="24"/>
                <w:highlight w:val="none"/>
              </w:rPr>
            </w:pPr>
          </w:p>
          <w:p w14:paraId="39FE68E2">
            <w:pPr>
              <w:jc w:val="center"/>
              <w:rPr>
                <w:rFonts w:hint="eastAsia" w:ascii="宋体" w:hAnsi="宋体" w:cs="宋体"/>
                <w:snapToGrid w:val="0"/>
                <w:color w:val="auto"/>
                <w:spacing w:val="-2"/>
                <w:kern w:val="0"/>
                <w:sz w:val="24"/>
                <w:szCs w:val="24"/>
                <w:highlight w:val="none"/>
              </w:rPr>
            </w:pPr>
            <w:r>
              <w:rPr>
                <w:rFonts w:hint="eastAsia" w:ascii="宋体" w:hAnsi="宋体" w:cs="宋体"/>
                <w:snapToGrid w:val="0"/>
                <w:color w:val="auto"/>
                <w:spacing w:val="-2"/>
                <w:kern w:val="0"/>
                <w:sz w:val="24"/>
                <w:szCs w:val="24"/>
                <w:highlight w:val="none"/>
              </w:rPr>
              <w:t>7</w:t>
            </w:r>
          </w:p>
        </w:tc>
        <w:tc>
          <w:tcPr>
            <w:tcW w:w="5089" w:type="dxa"/>
            <w:tcBorders>
              <w:top w:val="single" w:color="auto" w:sz="4" w:space="0"/>
              <w:left w:val="single" w:color="auto" w:sz="4" w:space="0"/>
              <w:right w:val="single" w:color="auto" w:sz="4" w:space="0"/>
            </w:tcBorders>
          </w:tcPr>
          <w:p w14:paraId="32825E8C">
            <w:pPr>
              <w:pStyle w:val="32"/>
              <w:spacing w:before="119" w:line="264" w:lineRule="auto"/>
              <w:ind w:left="116" w:right="106" w:firstLine="10"/>
              <w:rPr>
                <w:rFonts w:hint="eastAsia"/>
                <w:color w:val="auto"/>
                <w:spacing w:val="-2"/>
                <w:highlight w:val="none"/>
                <w:lang w:eastAsia="zh-CN"/>
              </w:rPr>
            </w:pPr>
            <w:r>
              <w:rPr>
                <w:color w:val="auto"/>
                <w:spacing w:val="-2"/>
                <w:highlight w:val="none"/>
                <w:lang w:eastAsia="zh-CN"/>
              </w:rPr>
              <w:t>（1）对本项目工作重点与难点理解透彻、把握精 准、对策针对性强得</w:t>
            </w:r>
            <w:r>
              <w:rPr>
                <w:rFonts w:hint="eastAsia"/>
                <w:color w:val="auto"/>
                <w:spacing w:val="-2"/>
                <w:highlight w:val="none"/>
                <w:lang w:eastAsia="zh-CN"/>
              </w:rPr>
              <w:t>7</w:t>
            </w:r>
            <w:r>
              <w:rPr>
                <w:color w:val="auto"/>
                <w:spacing w:val="-2"/>
                <w:highlight w:val="none"/>
                <w:lang w:eastAsia="zh-CN"/>
              </w:rPr>
              <w:t>分；</w:t>
            </w:r>
          </w:p>
          <w:p w14:paraId="6FDA9EC0">
            <w:pPr>
              <w:pStyle w:val="32"/>
              <w:spacing w:before="119" w:line="264" w:lineRule="auto"/>
              <w:ind w:left="116" w:right="106" w:firstLine="10"/>
              <w:rPr>
                <w:rFonts w:hint="eastAsia"/>
                <w:color w:val="auto"/>
                <w:spacing w:val="-2"/>
                <w:highlight w:val="none"/>
                <w:lang w:eastAsia="zh-CN"/>
              </w:rPr>
            </w:pPr>
            <w:r>
              <w:rPr>
                <w:color w:val="auto"/>
                <w:spacing w:val="-2"/>
                <w:highlight w:val="none"/>
                <w:lang w:eastAsia="zh-CN"/>
              </w:rPr>
              <w:t>（5）对本项目工作重点与难点理解较为透彻、把 握较精准、对策针对性较强，得</w:t>
            </w:r>
            <w:r>
              <w:rPr>
                <w:rFonts w:hint="eastAsia"/>
                <w:color w:val="auto"/>
                <w:spacing w:val="-2"/>
                <w:highlight w:val="none"/>
                <w:lang w:eastAsia="zh-CN"/>
              </w:rPr>
              <w:t>5</w:t>
            </w:r>
            <w:r>
              <w:rPr>
                <w:color w:val="auto"/>
                <w:spacing w:val="-2"/>
                <w:highlight w:val="none"/>
                <w:lang w:eastAsia="zh-CN"/>
              </w:rPr>
              <w:t>分；</w:t>
            </w:r>
          </w:p>
          <w:p w14:paraId="5DA10A3D">
            <w:pPr>
              <w:pStyle w:val="32"/>
              <w:spacing w:before="119" w:line="264" w:lineRule="auto"/>
              <w:ind w:left="116" w:right="106" w:firstLine="10"/>
              <w:rPr>
                <w:rFonts w:hint="eastAsia"/>
                <w:color w:val="auto"/>
                <w:spacing w:val="-2"/>
                <w:highlight w:val="none"/>
                <w:lang w:eastAsia="zh-CN"/>
              </w:rPr>
            </w:pPr>
            <w:r>
              <w:rPr>
                <w:color w:val="auto"/>
                <w:spacing w:val="-2"/>
                <w:highlight w:val="none"/>
                <w:lang w:eastAsia="zh-CN"/>
              </w:rPr>
              <w:t>（3）对本项目工作重点与难点理解把握基本正 确、对策针对性一般，得</w:t>
            </w:r>
            <w:r>
              <w:rPr>
                <w:rFonts w:hint="eastAsia"/>
                <w:color w:val="auto"/>
                <w:spacing w:val="-2"/>
                <w:highlight w:val="none"/>
                <w:lang w:eastAsia="zh-CN"/>
              </w:rPr>
              <w:t>3</w:t>
            </w:r>
            <w:r>
              <w:rPr>
                <w:color w:val="auto"/>
                <w:spacing w:val="-2"/>
                <w:highlight w:val="none"/>
                <w:lang w:eastAsia="zh-CN"/>
              </w:rPr>
              <w:t>分；</w:t>
            </w:r>
          </w:p>
          <w:p w14:paraId="088233EF">
            <w:pPr>
              <w:pStyle w:val="32"/>
              <w:spacing w:before="119" w:line="264" w:lineRule="auto"/>
              <w:ind w:left="116" w:right="106" w:firstLine="10"/>
              <w:rPr>
                <w:rFonts w:hint="eastAsia"/>
                <w:color w:val="auto"/>
                <w:spacing w:val="-2"/>
                <w:highlight w:val="none"/>
                <w:lang w:eastAsia="zh-CN"/>
              </w:rPr>
            </w:pPr>
            <w:r>
              <w:rPr>
                <w:color w:val="auto"/>
                <w:spacing w:val="-2"/>
                <w:highlight w:val="none"/>
                <w:lang w:eastAsia="zh-CN"/>
              </w:rPr>
              <w:t>（4）差的或未提供的不得分。</w:t>
            </w:r>
          </w:p>
        </w:tc>
      </w:tr>
      <w:tr w14:paraId="38BF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685" w:type="dxa"/>
            <w:tcBorders>
              <w:top w:val="single" w:color="auto" w:sz="4" w:space="0"/>
              <w:left w:val="single" w:color="auto" w:sz="4" w:space="0"/>
              <w:right w:val="single" w:color="auto" w:sz="4" w:space="0"/>
            </w:tcBorders>
            <w:vAlign w:val="center"/>
          </w:tcPr>
          <w:p w14:paraId="13238EFF">
            <w:pPr>
              <w:jc w:val="center"/>
              <w:rPr>
                <w:rFonts w:hint="eastAsia" w:ascii="宋体" w:hAnsi="宋体" w:cs="宋体"/>
                <w:bCs/>
                <w:color w:val="auto"/>
                <w:sz w:val="24"/>
                <w:szCs w:val="24"/>
                <w:highlight w:val="none"/>
              </w:rPr>
            </w:pPr>
          </w:p>
        </w:tc>
        <w:tc>
          <w:tcPr>
            <w:tcW w:w="2789" w:type="dxa"/>
            <w:tcBorders>
              <w:top w:val="single" w:color="auto" w:sz="4" w:space="0"/>
              <w:left w:val="single" w:color="auto" w:sz="4" w:space="0"/>
              <w:right w:val="single" w:color="auto" w:sz="4" w:space="0"/>
            </w:tcBorders>
            <w:vAlign w:val="center"/>
          </w:tcPr>
          <w:p w14:paraId="202BF1D9">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  计</w:t>
            </w:r>
          </w:p>
        </w:tc>
        <w:tc>
          <w:tcPr>
            <w:tcW w:w="716" w:type="dxa"/>
            <w:tcBorders>
              <w:top w:val="single" w:color="auto" w:sz="4" w:space="0"/>
              <w:left w:val="single" w:color="auto" w:sz="4" w:space="0"/>
              <w:right w:val="single" w:color="auto" w:sz="4" w:space="0"/>
            </w:tcBorders>
            <w:vAlign w:val="center"/>
          </w:tcPr>
          <w:p w14:paraId="5903F3EF">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100</w:t>
            </w:r>
          </w:p>
        </w:tc>
        <w:tc>
          <w:tcPr>
            <w:tcW w:w="5089" w:type="dxa"/>
            <w:tcBorders>
              <w:top w:val="single" w:color="auto" w:sz="4" w:space="0"/>
              <w:left w:val="single" w:color="auto" w:sz="4" w:space="0"/>
              <w:right w:val="single" w:color="auto" w:sz="4" w:space="0"/>
            </w:tcBorders>
            <w:vAlign w:val="center"/>
          </w:tcPr>
          <w:p w14:paraId="7BE8FBD0">
            <w:pPr>
              <w:jc w:val="center"/>
              <w:rPr>
                <w:rFonts w:hint="eastAsia" w:ascii="宋体" w:hAnsi="宋体" w:cs="宋体"/>
                <w:bCs/>
                <w:color w:val="auto"/>
                <w:sz w:val="24"/>
                <w:szCs w:val="24"/>
                <w:highlight w:val="none"/>
              </w:rPr>
            </w:pPr>
          </w:p>
        </w:tc>
      </w:tr>
    </w:tbl>
    <w:p w14:paraId="1115DD0E">
      <w:pPr>
        <w:pStyle w:val="3"/>
        <w:autoSpaceDE w:val="0"/>
        <w:autoSpaceDN w:val="0"/>
        <w:adjustRightInd w:val="0"/>
        <w:snapToGrid w:val="0"/>
        <w:spacing w:line="360" w:lineRule="auto"/>
        <w:ind w:firstLine="488" w:firstLineChars="200"/>
        <w:jc w:val="left"/>
        <w:textAlignment w:val="baseline"/>
        <w:rPr>
          <w:rFonts w:hint="eastAsia" w:ascii="宋体" w:hAnsi="宋体" w:cs="宋体"/>
          <w:color w:val="auto"/>
          <w:sz w:val="24"/>
          <w:highlight w:val="none"/>
        </w:rPr>
      </w:pPr>
      <w:r>
        <w:rPr>
          <w:rFonts w:hint="eastAsia" w:ascii="宋体" w:hAnsi="宋体" w:cs="宋体"/>
          <w:color w:val="auto"/>
          <w:spacing w:val="2"/>
          <w:sz w:val="24"/>
          <w:highlight w:val="none"/>
        </w:rPr>
        <w:t>2、技术标分汇总方法：对某一供应商的技术标的每一个指标项得分，取各</w:t>
      </w:r>
      <w:r>
        <w:rPr>
          <w:rFonts w:hint="eastAsia" w:ascii="宋体" w:hAnsi="宋体" w:cs="宋体"/>
          <w:color w:val="auto"/>
          <w:spacing w:val="1"/>
          <w:sz w:val="24"/>
          <w:highlight w:val="none"/>
        </w:rPr>
        <w:t>位评</w:t>
      </w:r>
      <w:r>
        <w:rPr>
          <w:rFonts w:hint="eastAsia" w:ascii="宋体" w:hAnsi="宋体" w:cs="宋体"/>
          <w:color w:val="auto"/>
          <w:spacing w:val="-1"/>
          <w:sz w:val="24"/>
          <w:highlight w:val="none"/>
        </w:rPr>
        <w:t>委评分之平均值，四舍五入保留至小数点后两位数，得到该供应商</w:t>
      </w:r>
      <w:r>
        <w:rPr>
          <w:rFonts w:hint="eastAsia" w:ascii="宋体" w:hAnsi="宋体" w:cs="宋体"/>
          <w:color w:val="auto"/>
          <w:spacing w:val="-2"/>
          <w:sz w:val="24"/>
          <w:highlight w:val="none"/>
        </w:rPr>
        <w:t>该指标项的得分。</w:t>
      </w:r>
      <w:r>
        <w:rPr>
          <w:rFonts w:hint="eastAsia" w:ascii="宋体" w:hAnsi="宋体" w:cs="宋体"/>
          <w:color w:val="auto"/>
          <w:spacing w:val="-1"/>
          <w:sz w:val="24"/>
          <w:highlight w:val="none"/>
        </w:rPr>
        <w:t>再将供应商每个技术标的指标项得分进行汇总，得到该</w:t>
      </w:r>
      <w:r>
        <w:rPr>
          <w:rFonts w:hint="eastAsia" w:ascii="宋体" w:hAnsi="宋体" w:cs="宋体"/>
          <w:color w:val="auto"/>
          <w:spacing w:val="-2"/>
          <w:sz w:val="24"/>
          <w:highlight w:val="none"/>
        </w:rPr>
        <w:t>供应商的技术标分之和。</w:t>
      </w:r>
    </w:p>
    <w:p w14:paraId="2F9A270E">
      <w:pPr>
        <w:pStyle w:val="3"/>
        <w:autoSpaceDE w:val="0"/>
        <w:autoSpaceDN w:val="0"/>
        <w:adjustRightInd w:val="0"/>
        <w:snapToGrid w:val="0"/>
        <w:spacing w:line="360" w:lineRule="auto"/>
        <w:ind w:firstLine="488" w:firstLineChars="200"/>
        <w:jc w:val="left"/>
        <w:textAlignment w:val="baseline"/>
        <w:rPr>
          <w:rFonts w:hint="eastAsia" w:ascii="宋体" w:hAnsi="宋体" w:cs="宋体"/>
          <w:color w:val="auto"/>
          <w:spacing w:val="2"/>
          <w:sz w:val="24"/>
          <w:highlight w:val="none"/>
        </w:rPr>
      </w:pPr>
      <w:r>
        <w:rPr>
          <w:rFonts w:hint="eastAsia" w:ascii="宋体" w:hAnsi="宋体" w:cs="宋体"/>
          <w:color w:val="auto"/>
          <w:spacing w:val="2"/>
          <w:sz w:val="24"/>
          <w:highlight w:val="none"/>
        </w:rPr>
        <w:t>3、得分汇总</w:t>
      </w:r>
    </w:p>
    <w:p w14:paraId="54ECE547">
      <w:pPr>
        <w:pStyle w:val="3"/>
        <w:autoSpaceDE w:val="0"/>
        <w:autoSpaceDN w:val="0"/>
        <w:adjustRightInd w:val="0"/>
        <w:snapToGrid w:val="0"/>
        <w:spacing w:line="360" w:lineRule="auto"/>
        <w:ind w:firstLine="488" w:firstLineChars="200"/>
        <w:jc w:val="left"/>
        <w:textAlignment w:val="baseline"/>
        <w:rPr>
          <w:rFonts w:hint="eastAsia" w:ascii="宋体" w:hAnsi="宋体" w:cs="宋体"/>
          <w:color w:val="auto"/>
          <w:spacing w:val="2"/>
          <w:sz w:val="24"/>
          <w:highlight w:val="none"/>
        </w:rPr>
      </w:pPr>
      <w:r>
        <w:rPr>
          <w:rFonts w:hint="eastAsia" w:ascii="宋体" w:hAnsi="宋体" w:cs="宋体"/>
          <w:color w:val="auto"/>
          <w:spacing w:val="2"/>
          <w:sz w:val="24"/>
          <w:highlight w:val="none"/>
        </w:rPr>
        <w:t>（1）将每个有效磋商供应商的技术标分之和加上根据上述标准计算出的价格分，即为该磋商供应商的综合总得分。</w:t>
      </w:r>
    </w:p>
    <w:p w14:paraId="539F5DED">
      <w:pPr>
        <w:pStyle w:val="3"/>
        <w:autoSpaceDE w:val="0"/>
        <w:autoSpaceDN w:val="0"/>
        <w:adjustRightInd w:val="0"/>
        <w:snapToGrid w:val="0"/>
        <w:spacing w:line="360" w:lineRule="auto"/>
        <w:ind w:firstLine="488" w:firstLineChars="200"/>
        <w:jc w:val="left"/>
        <w:textAlignment w:val="baseline"/>
        <w:rPr>
          <w:rFonts w:hint="eastAsia" w:ascii="宋体" w:hAnsi="宋体" w:cs="宋体"/>
          <w:color w:val="auto"/>
          <w:spacing w:val="2"/>
          <w:sz w:val="24"/>
          <w:highlight w:val="none"/>
        </w:rPr>
      </w:pPr>
      <w:r>
        <w:rPr>
          <w:rFonts w:hint="eastAsia" w:ascii="宋体" w:hAnsi="宋体" w:cs="宋体"/>
          <w:color w:val="auto"/>
          <w:spacing w:val="2"/>
          <w:sz w:val="24"/>
          <w:highlight w:val="none"/>
        </w:rPr>
        <w:t>（2）按照有效磋商供应商综合总得分由高到低依次排出成交供应商及成交候选供应商。</w:t>
      </w:r>
    </w:p>
    <w:p w14:paraId="77B31757">
      <w:pPr>
        <w:jc w:val="left"/>
        <w:rPr>
          <w:rFonts w:hint="eastAsia" w:ascii="宋体" w:hAnsi="宋体" w:cs="宋体"/>
          <w:color w:val="auto"/>
          <w:spacing w:val="2"/>
          <w:highlight w:val="none"/>
        </w:rPr>
      </w:pPr>
      <w:r>
        <w:rPr>
          <w:rFonts w:hint="eastAsia" w:ascii="宋体" w:hAnsi="宋体" w:cs="宋体"/>
          <w:color w:val="auto"/>
          <w:spacing w:val="2"/>
          <w:highlight w:val="none"/>
        </w:rPr>
        <w:br w:type="page"/>
      </w:r>
    </w:p>
    <w:p w14:paraId="375E7D80">
      <w:pPr>
        <w:pStyle w:val="3"/>
        <w:autoSpaceDE w:val="0"/>
        <w:autoSpaceDN w:val="0"/>
        <w:adjustRightInd w:val="0"/>
        <w:snapToGrid w:val="0"/>
        <w:spacing w:line="360" w:lineRule="auto"/>
        <w:ind w:firstLine="428" w:firstLineChars="200"/>
        <w:jc w:val="center"/>
        <w:textAlignment w:val="baseline"/>
        <w:rPr>
          <w:rFonts w:hint="eastAsia" w:ascii="宋体" w:hAnsi="宋体" w:cs="宋体"/>
          <w:color w:val="auto"/>
          <w:spacing w:val="2"/>
          <w:highlight w:val="none"/>
        </w:rPr>
      </w:pPr>
    </w:p>
    <w:p w14:paraId="7E442815">
      <w:pPr>
        <w:pStyle w:val="3"/>
        <w:autoSpaceDE w:val="0"/>
        <w:autoSpaceDN w:val="0"/>
        <w:adjustRightInd w:val="0"/>
        <w:snapToGrid w:val="0"/>
        <w:spacing w:line="360" w:lineRule="auto"/>
        <w:ind w:firstLine="562" w:firstLineChars="200"/>
        <w:jc w:val="center"/>
        <w:textAlignment w:val="baseline"/>
        <w:rPr>
          <w:rFonts w:hint="eastAsia" w:ascii="宋体" w:hAnsi="宋体" w:cs="宋体"/>
          <w:color w:val="auto"/>
          <w:sz w:val="28"/>
          <w:szCs w:val="28"/>
          <w:highlight w:val="none"/>
        </w:rPr>
      </w:pPr>
      <w:r>
        <w:rPr>
          <w:rFonts w:hint="eastAsia" w:ascii="宋体" w:hAnsi="宋体" w:cs="宋体"/>
          <w:b/>
          <w:bCs/>
          <w:color w:val="auto"/>
          <w:sz w:val="28"/>
          <w:szCs w:val="28"/>
          <w:highlight w:val="none"/>
        </w:rPr>
        <w:t>五、响应文件格式</w:t>
      </w:r>
      <w:bookmarkEnd w:id="83"/>
      <w:bookmarkEnd w:id="84"/>
      <w:bookmarkEnd w:id="85"/>
    </w:p>
    <w:p w14:paraId="2C2E21D5">
      <w:pPr>
        <w:spacing w:line="500" w:lineRule="exact"/>
        <w:jc w:val="center"/>
        <w:rPr>
          <w:rFonts w:hint="eastAsia" w:ascii="宋体" w:hAnsi="宋体" w:cs="宋体"/>
          <w:b/>
          <w:color w:val="auto"/>
          <w:sz w:val="32"/>
          <w:highlight w:val="none"/>
        </w:rPr>
      </w:pPr>
    </w:p>
    <w:p w14:paraId="179FE839">
      <w:pPr>
        <w:spacing w:line="500" w:lineRule="exact"/>
        <w:jc w:val="center"/>
        <w:outlineLvl w:val="0"/>
        <w:rPr>
          <w:rFonts w:hint="eastAsia" w:ascii="宋体" w:hAnsi="宋体" w:cs="宋体"/>
          <w:b/>
          <w:color w:val="auto"/>
          <w:sz w:val="32"/>
          <w:highlight w:val="none"/>
        </w:rPr>
      </w:pPr>
      <w:r>
        <w:rPr>
          <w:rFonts w:hint="eastAsia" w:ascii="宋体" w:hAnsi="宋体" w:cs="宋体"/>
          <w:b/>
          <w:color w:val="auto"/>
          <w:sz w:val="32"/>
          <w:highlight w:val="none"/>
          <w:u w:val="single"/>
        </w:rPr>
        <w:t>　　　　　　　　　</w:t>
      </w:r>
      <w:bookmarkStart w:id="86" w:name="_Toc4448"/>
      <w:bookmarkStart w:id="87" w:name="_Toc22685"/>
      <w:r>
        <w:rPr>
          <w:rFonts w:hint="eastAsia" w:ascii="宋体" w:hAnsi="宋体" w:cs="宋体"/>
          <w:b/>
          <w:color w:val="auto"/>
          <w:sz w:val="32"/>
          <w:highlight w:val="none"/>
        </w:rPr>
        <w:t>项目</w:t>
      </w:r>
      <w:bookmarkEnd w:id="86"/>
      <w:bookmarkEnd w:id="87"/>
    </w:p>
    <w:p w14:paraId="766B599E">
      <w:pPr>
        <w:spacing w:line="900" w:lineRule="exact"/>
        <w:rPr>
          <w:rFonts w:hint="eastAsia" w:ascii="宋体" w:hAnsi="宋体" w:cs="宋体"/>
          <w:b/>
          <w:color w:val="auto"/>
          <w:sz w:val="72"/>
          <w:highlight w:val="none"/>
        </w:rPr>
      </w:pPr>
    </w:p>
    <w:p w14:paraId="2BCB22E4">
      <w:pPr>
        <w:spacing w:line="900" w:lineRule="exact"/>
        <w:jc w:val="center"/>
        <w:rPr>
          <w:rFonts w:hint="eastAsia" w:ascii="宋体" w:hAnsi="宋体" w:cs="宋体"/>
          <w:b/>
          <w:color w:val="auto"/>
          <w:sz w:val="72"/>
          <w:highlight w:val="none"/>
        </w:rPr>
      </w:pPr>
      <w:r>
        <w:rPr>
          <w:rFonts w:hint="eastAsia" w:ascii="宋体" w:hAnsi="宋体" w:cs="宋体"/>
          <w:b/>
          <w:color w:val="auto"/>
          <w:sz w:val="72"/>
          <w:highlight w:val="none"/>
        </w:rPr>
        <w:t>响</w:t>
      </w:r>
    </w:p>
    <w:p w14:paraId="5C670199">
      <w:pPr>
        <w:spacing w:line="900" w:lineRule="exact"/>
        <w:jc w:val="center"/>
        <w:rPr>
          <w:rFonts w:hint="eastAsia" w:ascii="宋体" w:hAnsi="宋体" w:cs="宋体"/>
          <w:b/>
          <w:color w:val="auto"/>
          <w:sz w:val="72"/>
          <w:highlight w:val="none"/>
        </w:rPr>
      </w:pPr>
    </w:p>
    <w:p w14:paraId="23EF8E6D">
      <w:pPr>
        <w:spacing w:line="900" w:lineRule="exact"/>
        <w:jc w:val="center"/>
        <w:rPr>
          <w:rFonts w:hint="eastAsia" w:ascii="宋体" w:hAnsi="宋体" w:cs="宋体"/>
          <w:b/>
          <w:color w:val="auto"/>
          <w:sz w:val="72"/>
          <w:highlight w:val="none"/>
        </w:rPr>
      </w:pPr>
      <w:r>
        <w:rPr>
          <w:rFonts w:hint="eastAsia" w:ascii="宋体" w:hAnsi="宋体" w:cs="宋体"/>
          <w:b/>
          <w:color w:val="auto"/>
          <w:sz w:val="72"/>
          <w:highlight w:val="none"/>
        </w:rPr>
        <w:t>应</w:t>
      </w:r>
    </w:p>
    <w:p w14:paraId="70363610">
      <w:pPr>
        <w:spacing w:line="900" w:lineRule="exact"/>
        <w:jc w:val="center"/>
        <w:rPr>
          <w:rFonts w:hint="eastAsia" w:ascii="宋体" w:hAnsi="宋体" w:cs="宋体"/>
          <w:b/>
          <w:color w:val="auto"/>
          <w:sz w:val="72"/>
          <w:highlight w:val="none"/>
        </w:rPr>
      </w:pPr>
    </w:p>
    <w:p w14:paraId="0D299C7E">
      <w:pPr>
        <w:spacing w:line="900" w:lineRule="exact"/>
        <w:jc w:val="center"/>
        <w:rPr>
          <w:rFonts w:hint="eastAsia" w:ascii="宋体" w:hAnsi="宋体" w:cs="宋体"/>
          <w:b/>
          <w:color w:val="auto"/>
          <w:sz w:val="72"/>
          <w:highlight w:val="none"/>
        </w:rPr>
      </w:pPr>
      <w:r>
        <w:rPr>
          <w:rFonts w:hint="eastAsia" w:ascii="宋体" w:hAnsi="宋体" w:cs="宋体"/>
          <w:b/>
          <w:color w:val="auto"/>
          <w:sz w:val="72"/>
          <w:highlight w:val="none"/>
        </w:rPr>
        <w:t>文</w:t>
      </w:r>
    </w:p>
    <w:p w14:paraId="4F58DB61">
      <w:pPr>
        <w:spacing w:line="900" w:lineRule="exact"/>
        <w:jc w:val="center"/>
        <w:rPr>
          <w:rFonts w:hint="eastAsia" w:ascii="宋体" w:hAnsi="宋体" w:cs="宋体"/>
          <w:b/>
          <w:color w:val="auto"/>
          <w:sz w:val="72"/>
          <w:highlight w:val="none"/>
        </w:rPr>
      </w:pPr>
    </w:p>
    <w:p w14:paraId="1A1327E1">
      <w:pPr>
        <w:jc w:val="center"/>
        <w:rPr>
          <w:rFonts w:hint="eastAsia" w:ascii="宋体" w:hAnsi="宋体" w:cs="宋体"/>
          <w:b/>
          <w:color w:val="auto"/>
          <w:sz w:val="72"/>
          <w:highlight w:val="none"/>
        </w:rPr>
      </w:pPr>
      <w:r>
        <w:rPr>
          <w:rFonts w:hint="eastAsia" w:ascii="宋体" w:hAnsi="宋体" w:cs="宋体"/>
          <w:b/>
          <w:color w:val="auto"/>
          <w:sz w:val="72"/>
          <w:highlight w:val="none"/>
        </w:rPr>
        <w:t>件</w:t>
      </w:r>
    </w:p>
    <w:p w14:paraId="4B35E919">
      <w:pPr>
        <w:spacing w:after="156" w:afterLines="50"/>
        <w:jc w:val="center"/>
        <w:rPr>
          <w:rFonts w:hint="eastAsia" w:ascii="宋体" w:hAnsi="宋体" w:cs="宋体"/>
          <w:b/>
          <w:color w:val="auto"/>
          <w:sz w:val="72"/>
          <w:highlight w:val="none"/>
        </w:rPr>
      </w:pPr>
    </w:p>
    <w:p w14:paraId="5FB077CA">
      <w:pPr>
        <w:spacing w:after="156" w:afterLines="50" w:line="500" w:lineRule="exact"/>
        <w:jc w:val="center"/>
        <w:rPr>
          <w:rFonts w:hint="eastAsia" w:ascii="宋体" w:hAnsi="宋体" w:cs="宋体"/>
          <w:b/>
          <w:color w:val="auto"/>
          <w:sz w:val="72"/>
          <w:highlight w:val="none"/>
        </w:rPr>
      </w:pPr>
    </w:p>
    <w:p w14:paraId="4E7884C7">
      <w:pPr>
        <w:spacing w:after="156" w:afterLines="50" w:line="500" w:lineRule="exact"/>
        <w:ind w:firstLine="2088" w:firstLineChars="650"/>
        <w:rPr>
          <w:rFonts w:hint="eastAsia" w:ascii="宋体" w:hAnsi="宋体" w:cs="宋体"/>
          <w:b/>
          <w:color w:val="auto"/>
          <w:sz w:val="32"/>
          <w:highlight w:val="none"/>
          <w:u w:val="single"/>
        </w:rPr>
      </w:pPr>
      <w:r>
        <w:rPr>
          <w:rFonts w:hint="eastAsia" w:ascii="宋体" w:hAnsi="宋体" w:cs="宋体"/>
          <w:b/>
          <w:color w:val="auto"/>
          <w:sz w:val="32"/>
          <w:highlight w:val="none"/>
        </w:rPr>
        <w:t>供应商：</w:t>
      </w:r>
    </w:p>
    <w:p w14:paraId="01F96C6E">
      <w:pPr>
        <w:spacing w:after="156" w:afterLines="50" w:line="500" w:lineRule="exact"/>
        <w:ind w:firstLine="2088" w:firstLineChars="650"/>
        <w:outlineLvl w:val="0"/>
        <w:rPr>
          <w:rFonts w:hint="eastAsia" w:ascii="宋体" w:hAnsi="宋体" w:cs="宋体"/>
          <w:color w:val="auto"/>
          <w:sz w:val="24"/>
          <w:szCs w:val="28"/>
          <w:highlight w:val="none"/>
        </w:rPr>
      </w:pPr>
      <w:bookmarkStart w:id="88" w:name="_Toc5792"/>
      <w:bookmarkStart w:id="89" w:name="_Toc4670"/>
      <w:r>
        <w:rPr>
          <w:rFonts w:hint="eastAsia" w:ascii="宋体" w:hAnsi="宋体" w:cs="宋体"/>
          <w:b/>
          <w:color w:val="auto"/>
          <w:sz w:val="32"/>
          <w:highlight w:val="none"/>
        </w:rPr>
        <w:t>年  月  日</w:t>
      </w:r>
      <w:bookmarkEnd w:id="88"/>
      <w:bookmarkEnd w:id="89"/>
    </w:p>
    <w:p w14:paraId="7E347E3B">
      <w:pPr>
        <w:pStyle w:val="5"/>
        <w:spacing w:before="156" w:beforeLines="50" w:after="156" w:afterLines="50" w:line="560" w:lineRule="exact"/>
        <w:jc w:val="center"/>
        <w:rPr>
          <w:rFonts w:hint="eastAsia" w:ascii="宋体" w:hAnsi="宋体" w:eastAsia="宋体" w:cs="宋体"/>
          <w:color w:val="auto"/>
          <w:sz w:val="24"/>
          <w:szCs w:val="24"/>
          <w:highlight w:val="none"/>
        </w:rPr>
      </w:pPr>
      <w:bookmarkStart w:id="90" w:name="_Toc20663"/>
      <w:r>
        <w:rPr>
          <w:rFonts w:hint="eastAsia" w:ascii="宋体" w:hAnsi="宋体" w:eastAsia="宋体" w:cs="宋体"/>
          <w:color w:val="auto"/>
          <w:sz w:val="24"/>
          <w:szCs w:val="24"/>
          <w:highlight w:val="none"/>
        </w:rPr>
        <w:br w:type="page"/>
      </w:r>
      <w:bookmarkStart w:id="91" w:name="_Toc2602"/>
      <w:r>
        <w:rPr>
          <w:rFonts w:hint="eastAsia" w:ascii="宋体" w:hAnsi="宋体" w:eastAsia="宋体" w:cs="宋体"/>
          <w:color w:val="auto"/>
          <w:sz w:val="24"/>
          <w:szCs w:val="24"/>
          <w:highlight w:val="none"/>
        </w:rPr>
        <w:t>响应文件资料清单</w:t>
      </w:r>
      <w:bookmarkEnd w:id="90"/>
      <w:bookmarkEnd w:id="91"/>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6378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17792186">
            <w:pPr>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6038" w:type="dxa"/>
            <w:vAlign w:val="center"/>
          </w:tcPr>
          <w:p w14:paraId="4F0EE6BB">
            <w:pPr>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资料名称</w:t>
            </w:r>
          </w:p>
        </w:tc>
        <w:tc>
          <w:tcPr>
            <w:tcW w:w="1417" w:type="dxa"/>
            <w:vAlign w:val="center"/>
          </w:tcPr>
          <w:p w14:paraId="1403C9DF">
            <w:pPr>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454B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5E816418">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一</w:t>
            </w:r>
          </w:p>
        </w:tc>
        <w:tc>
          <w:tcPr>
            <w:tcW w:w="6038" w:type="dxa"/>
            <w:vAlign w:val="center"/>
          </w:tcPr>
          <w:p w14:paraId="685062B7">
            <w:pPr>
              <w:spacing w:line="440" w:lineRule="exact"/>
              <w:rPr>
                <w:rFonts w:hint="eastAsia" w:ascii="宋体" w:hAnsi="宋体" w:cs="宋体"/>
                <w:color w:val="auto"/>
                <w:sz w:val="24"/>
                <w:highlight w:val="none"/>
              </w:rPr>
            </w:pPr>
            <w:r>
              <w:rPr>
                <w:rFonts w:hint="eastAsia" w:ascii="宋体" w:hAnsi="宋体" w:cs="宋体"/>
                <w:color w:val="auto"/>
                <w:sz w:val="24"/>
                <w:szCs w:val="24"/>
                <w:highlight w:val="none"/>
              </w:rPr>
              <w:t>报价单</w:t>
            </w:r>
          </w:p>
        </w:tc>
        <w:tc>
          <w:tcPr>
            <w:tcW w:w="1417" w:type="dxa"/>
            <w:vAlign w:val="center"/>
          </w:tcPr>
          <w:p w14:paraId="3920EA6A">
            <w:pPr>
              <w:spacing w:line="440" w:lineRule="exact"/>
              <w:jc w:val="center"/>
              <w:rPr>
                <w:rFonts w:hint="eastAsia" w:ascii="宋体" w:hAnsi="宋体" w:cs="宋体"/>
                <w:b/>
                <w:color w:val="auto"/>
                <w:sz w:val="24"/>
                <w:highlight w:val="none"/>
              </w:rPr>
            </w:pPr>
          </w:p>
        </w:tc>
      </w:tr>
      <w:tr w14:paraId="7436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0E73D739">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二</w:t>
            </w:r>
          </w:p>
        </w:tc>
        <w:tc>
          <w:tcPr>
            <w:tcW w:w="6038" w:type="dxa"/>
            <w:vAlign w:val="center"/>
          </w:tcPr>
          <w:p w14:paraId="3182E3C8">
            <w:pPr>
              <w:spacing w:line="440" w:lineRule="exact"/>
              <w:rPr>
                <w:rFonts w:hint="eastAsia" w:ascii="宋体" w:hAnsi="宋体" w:cs="宋体"/>
                <w:color w:val="auto"/>
                <w:sz w:val="24"/>
                <w:highlight w:val="none"/>
              </w:rPr>
            </w:pPr>
            <w:r>
              <w:rPr>
                <w:rFonts w:hint="eastAsia" w:ascii="宋体" w:hAnsi="宋体" w:cs="宋体"/>
                <w:color w:val="auto"/>
                <w:sz w:val="24"/>
                <w:highlight w:val="none"/>
              </w:rPr>
              <w:t>供应商基本信息</w:t>
            </w:r>
          </w:p>
        </w:tc>
        <w:tc>
          <w:tcPr>
            <w:tcW w:w="1417" w:type="dxa"/>
            <w:vAlign w:val="center"/>
          </w:tcPr>
          <w:p w14:paraId="2BD5D913">
            <w:pPr>
              <w:spacing w:line="440" w:lineRule="exact"/>
              <w:jc w:val="center"/>
              <w:rPr>
                <w:rFonts w:hint="eastAsia" w:ascii="宋体" w:hAnsi="宋体" w:cs="宋体"/>
                <w:b/>
                <w:color w:val="auto"/>
                <w:sz w:val="24"/>
                <w:highlight w:val="none"/>
              </w:rPr>
            </w:pPr>
          </w:p>
        </w:tc>
      </w:tr>
      <w:tr w14:paraId="159A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06580B81">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三</w:t>
            </w:r>
          </w:p>
        </w:tc>
        <w:tc>
          <w:tcPr>
            <w:tcW w:w="6038" w:type="dxa"/>
            <w:vAlign w:val="center"/>
          </w:tcPr>
          <w:p w14:paraId="13AAD469">
            <w:pPr>
              <w:pStyle w:val="34"/>
              <w:spacing w:line="440" w:lineRule="exact"/>
              <w:rPr>
                <w:rFonts w:hint="eastAsia" w:ascii="宋体" w:hAnsi="宋体" w:cs="宋体"/>
                <w:color w:val="auto"/>
                <w:highlight w:val="none"/>
              </w:rPr>
            </w:pPr>
            <w:r>
              <w:rPr>
                <w:rFonts w:hint="eastAsia" w:ascii="宋体" w:hAnsi="宋体" w:cs="宋体"/>
                <w:color w:val="auto"/>
                <w:szCs w:val="24"/>
                <w:highlight w:val="none"/>
              </w:rPr>
              <w:t>磋商授权书</w:t>
            </w:r>
          </w:p>
        </w:tc>
        <w:tc>
          <w:tcPr>
            <w:tcW w:w="1417" w:type="dxa"/>
            <w:vAlign w:val="center"/>
          </w:tcPr>
          <w:p w14:paraId="0DA833E5">
            <w:pPr>
              <w:spacing w:line="440" w:lineRule="exact"/>
              <w:jc w:val="center"/>
              <w:rPr>
                <w:rFonts w:hint="eastAsia" w:ascii="宋体" w:hAnsi="宋体" w:cs="宋体"/>
                <w:b/>
                <w:color w:val="auto"/>
                <w:sz w:val="24"/>
                <w:highlight w:val="none"/>
              </w:rPr>
            </w:pPr>
          </w:p>
        </w:tc>
      </w:tr>
      <w:tr w14:paraId="2E30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3686AF46">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四</w:t>
            </w:r>
          </w:p>
        </w:tc>
        <w:tc>
          <w:tcPr>
            <w:tcW w:w="6038" w:type="dxa"/>
            <w:vAlign w:val="center"/>
          </w:tcPr>
          <w:p w14:paraId="7406B3BE">
            <w:pPr>
              <w:pStyle w:val="34"/>
              <w:spacing w:line="440" w:lineRule="exact"/>
              <w:rPr>
                <w:rFonts w:hint="eastAsia" w:ascii="宋体" w:hAnsi="宋体" w:cs="宋体"/>
                <w:color w:val="auto"/>
                <w:highlight w:val="none"/>
              </w:rPr>
            </w:pPr>
            <w:r>
              <w:rPr>
                <w:rFonts w:hint="eastAsia" w:ascii="宋体" w:hAnsi="宋体" w:cs="宋体"/>
                <w:color w:val="auto"/>
                <w:szCs w:val="24"/>
                <w:highlight w:val="none"/>
              </w:rPr>
              <w:t>磋商响应函</w:t>
            </w:r>
          </w:p>
        </w:tc>
        <w:tc>
          <w:tcPr>
            <w:tcW w:w="1417" w:type="dxa"/>
            <w:vAlign w:val="center"/>
          </w:tcPr>
          <w:p w14:paraId="3A179B25">
            <w:pPr>
              <w:spacing w:line="440" w:lineRule="exact"/>
              <w:jc w:val="center"/>
              <w:rPr>
                <w:rFonts w:hint="eastAsia" w:ascii="宋体" w:hAnsi="宋体" w:cs="宋体"/>
                <w:b/>
                <w:color w:val="auto"/>
                <w:sz w:val="24"/>
                <w:highlight w:val="none"/>
              </w:rPr>
            </w:pPr>
          </w:p>
        </w:tc>
      </w:tr>
      <w:tr w14:paraId="5132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14:paraId="6051EB35">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五</w:t>
            </w:r>
          </w:p>
        </w:tc>
        <w:tc>
          <w:tcPr>
            <w:tcW w:w="6038" w:type="dxa"/>
            <w:vAlign w:val="center"/>
          </w:tcPr>
          <w:p w14:paraId="38F66445">
            <w:pPr>
              <w:spacing w:line="440" w:lineRule="exact"/>
              <w:rPr>
                <w:rFonts w:hint="eastAsia" w:ascii="宋体" w:hAnsi="宋体" w:cs="宋体"/>
                <w:color w:val="auto"/>
                <w:sz w:val="24"/>
                <w:highlight w:val="none"/>
              </w:rPr>
            </w:pPr>
            <w:r>
              <w:rPr>
                <w:rFonts w:hint="eastAsia" w:ascii="宋体" w:hAnsi="宋体" w:cs="宋体"/>
                <w:color w:val="auto"/>
                <w:sz w:val="24"/>
                <w:szCs w:val="24"/>
                <w:highlight w:val="none"/>
              </w:rPr>
              <w:t>无重大违法记录声明函、无不良信用记录承诺函</w:t>
            </w:r>
          </w:p>
        </w:tc>
        <w:tc>
          <w:tcPr>
            <w:tcW w:w="1417" w:type="dxa"/>
            <w:vAlign w:val="center"/>
          </w:tcPr>
          <w:p w14:paraId="59C04886">
            <w:pPr>
              <w:spacing w:line="440" w:lineRule="exact"/>
              <w:jc w:val="center"/>
              <w:rPr>
                <w:rFonts w:hint="eastAsia" w:ascii="宋体" w:hAnsi="宋体" w:cs="宋体"/>
                <w:b/>
                <w:color w:val="auto"/>
                <w:sz w:val="24"/>
                <w:highlight w:val="none"/>
              </w:rPr>
            </w:pPr>
          </w:p>
        </w:tc>
      </w:tr>
      <w:tr w14:paraId="557A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14:paraId="10FF542B">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六</w:t>
            </w:r>
          </w:p>
        </w:tc>
        <w:tc>
          <w:tcPr>
            <w:tcW w:w="6038" w:type="dxa"/>
            <w:vAlign w:val="center"/>
          </w:tcPr>
          <w:p w14:paraId="0B0A31C5">
            <w:pPr>
              <w:spacing w:line="440" w:lineRule="exact"/>
              <w:rPr>
                <w:rFonts w:hint="eastAsia" w:ascii="宋体" w:hAnsi="宋体" w:cs="宋体"/>
                <w:color w:val="auto"/>
                <w:sz w:val="24"/>
                <w:highlight w:val="none"/>
              </w:rPr>
            </w:pPr>
            <w:r>
              <w:rPr>
                <w:rFonts w:hint="eastAsia" w:ascii="宋体" w:hAnsi="宋体" w:cs="宋体"/>
                <w:color w:val="auto"/>
                <w:sz w:val="24"/>
                <w:szCs w:val="24"/>
                <w:highlight w:val="none"/>
              </w:rPr>
              <w:t>响应情况表</w:t>
            </w:r>
          </w:p>
        </w:tc>
        <w:tc>
          <w:tcPr>
            <w:tcW w:w="1417" w:type="dxa"/>
            <w:vAlign w:val="center"/>
          </w:tcPr>
          <w:p w14:paraId="4B1BE681">
            <w:pPr>
              <w:spacing w:line="440" w:lineRule="exact"/>
              <w:rPr>
                <w:rFonts w:hint="eastAsia" w:ascii="宋体" w:hAnsi="宋体" w:cs="宋体"/>
                <w:b/>
                <w:color w:val="auto"/>
                <w:sz w:val="24"/>
                <w:highlight w:val="none"/>
              </w:rPr>
            </w:pPr>
          </w:p>
        </w:tc>
      </w:tr>
      <w:tr w14:paraId="2DFA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442B83E6">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七</w:t>
            </w:r>
          </w:p>
        </w:tc>
        <w:tc>
          <w:tcPr>
            <w:tcW w:w="6038" w:type="dxa"/>
            <w:vAlign w:val="center"/>
          </w:tcPr>
          <w:p w14:paraId="65056BE5">
            <w:pPr>
              <w:spacing w:line="440" w:lineRule="exact"/>
              <w:rPr>
                <w:rFonts w:hint="eastAsia" w:ascii="宋体" w:hAnsi="宋体" w:cs="宋体"/>
                <w:color w:val="auto"/>
                <w:sz w:val="24"/>
                <w:highlight w:val="none"/>
              </w:rPr>
            </w:pPr>
            <w:r>
              <w:rPr>
                <w:rFonts w:hint="eastAsia" w:ascii="宋体" w:hAnsi="宋体" w:cs="宋体"/>
                <w:color w:val="auto"/>
                <w:sz w:val="24"/>
                <w:highlight w:val="none"/>
              </w:rPr>
              <w:t>中小企业声明函</w:t>
            </w:r>
          </w:p>
        </w:tc>
        <w:tc>
          <w:tcPr>
            <w:tcW w:w="1417" w:type="dxa"/>
            <w:vAlign w:val="center"/>
          </w:tcPr>
          <w:p w14:paraId="6222639B">
            <w:pPr>
              <w:spacing w:line="440" w:lineRule="exact"/>
              <w:rPr>
                <w:rFonts w:hint="eastAsia" w:ascii="宋体" w:hAnsi="宋体" w:cs="宋体"/>
                <w:b/>
                <w:color w:val="auto"/>
                <w:sz w:val="24"/>
                <w:highlight w:val="none"/>
              </w:rPr>
            </w:pPr>
          </w:p>
        </w:tc>
      </w:tr>
      <w:tr w14:paraId="4C0A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14:paraId="4CB370E3">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八</w:t>
            </w:r>
          </w:p>
        </w:tc>
        <w:tc>
          <w:tcPr>
            <w:tcW w:w="6038" w:type="dxa"/>
            <w:vAlign w:val="center"/>
          </w:tcPr>
          <w:p w14:paraId="7DD40FAD">
            <w:pPr>
              <w:spacing w:line="440" w:lineRule="exact"/>
              <w:rPr>
                <w:rFonts w:hint="eastAsia" w:ascii="宋体" w:hAnsi="宋体" w:cs="宋体"/>
                <w:color w:val="auto"/>
                <w:sz w:val="24"/>
                <w:highlight w:val="none"/>
              </w:rPr>
            </w:pPr>
            <w:r>
              <w:rPr>
                <w:rFonts w:hint="eastAsia" w:ascii="宋体" w:hAnsi="宋体" w:cs="宋体"/>
                <w:color w:val="auto"/>
                <w:sz w:val="24"/>
                <w:szCs w:val="24"/>
                <w:highlight w:val="none"/>
              </w:rPr>
              <w:t>磋商文件要求和供应商认为需要提供的其它说明和资料</w:t>
            </w:r>
          </w:p>
        </w:tc>
        <w:tc>
          <w:tcPr>
            <w:tcW w:w="1417" w:type="dxa"/>
            <w:vAlign w:val="center"/>
          </w:tcPr>
          <w:p w14:paraId="39B3ADDB">
            <w:pPr>
              <w:spacing w:line="440" w:lineRule="exact"/>
              <w:rPr>
                <w:rFonts w:hint="eastAsia" w:ascii="宋体" w:hAnsi="宋体" w:cs="宋体"/>
                <w:b/>
                <w:color w:val="auto"/>
                <w:sz w:val="24"/>
                <w:highlight w:val="none"/>
              </w:rPr>
            </w:pPr>
          </w:p>
        </w:tc>
      </w:tr>
      <w:tr w14:paraId="3FFC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14:paraId="07A6A33B">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6038" w:type="dxa"/>
            <w:vAlign w:val="center"/>
          </w:tcPr>
          <w:p w14:paraId="062FB268">
            <w:pPr>
              <w:spacing w:line="440" w:lineRule="exact"/>
              <w:rPr>
                <w:rFonts w:hint="eastAsia" w:ascii="宋体" w:hAnsi="宋体" w:cs="宋体"/>
                <w:color w:val="auto"/>
                <w:sz w:val="24"/>
                <w:highlight w:val="none"/>
              </w:rPr>
            </w:pPr>
          </w:p>
        </w:tc>
        <w:tc>
          <w:tcPr>
            <w:tcW w:w="1417" w:type="dxa"/>
            <w:vAlign w:val="center"/>
          </w:tcPr>
          <w:p w14:paraId="066EA6AE">
            <w:pPr>
              <w:spacing w:line="440" w:lineRule="exact"/>
              <w:rPr>
                <w:rFonts w:hint="eastAsia" w:ascii="宋体" w:hAnsi="宋体" w:cs="宋体"/>
                <w:b/>
                <w:color w:val="auto"/>
                <w:sz w:val="24"/>
                <w:highlight w:val="none"/>
              </w:rPr>
            </w:pPr>
          </w:p>
        </w:tc>
      </w:tr>
      <w:tr w14:paraId="205C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14:paraId="78BFA00D">
            <w:pPr>
              <w:spacing w:line="440" w:lineRule="exact"/>
              <w:jc w:val="center"/>
              <w:rPr>
                <w:rFonts w:hint="eastAsia" w:ascii="宋体" w:hAnsi="宋体" w:cs="宋体"/>
                <w:color w:val="auto"/>
                <w:sz w:val="24"/>
                <w:highlight w:val="none"/>
              </w:rPr>
            </w:pPr>
          </w:p>
        </w:tc>
        <w:tc>
          <w:tcPr>
            <w:tcW w:w="6038" w:type="dxa"/>
            <w:vAlign w:val="center"/>
          </w:tcPr>
          <w:p w14:paraId="7F69B563">
            <w:pPr>
              <w:spacing w:line="440" w:lineRule="exact"/>
              <w:rPr>
                <w:rFonts w:hint="eastAsia" w:ascii="宋体" w:hAnsi="宋体" w:cs="宋体"/>
                <w:color w:val="auto"/>
                <w:sz w:val="24"/>
                <w:highlight w:val="none"/>
              </w:rPr>
            </w:pPr>
          </w:p>
        </w:tc>
        <w:tc>
          <w:tcPr>
            <w:tcW w:w="1417" w:type="dxa"/>
            <w:vAlign w:val="center"/>
          </w:tcPr>
          <w:p w14:paraId="244B1607">
            <w:pPr>
              <w:spacing w:line="440" w:lineRule="exact"/>
              <w:rPr>
                <w:rFonts w:hint="eastAsia" w:ascii="宋体" w:hAnsi="宋体" w:cs="宋体"/>
                <w:b/>
                <w:color w:val="auto"/>
                <w:sz w:val="24"/>
                <w:highlight w:val="none"/>
              </w:rPr>
            </w:pPr>
          </w:p>
        </w:tc>
      </w:tr>
      <w:tr w14:paraId="3A2D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53790F76">
            <w:pPr>
              <w:spacing w:line="440" w:lineRule="exact"/>
              <w:jc w:val="center"/>
              <w:rPr>
                <w:rFonts w:hint="eastAsia" w:ascii="宋体" w:hAnsi="宋体" w:cs="宋体"/>
                <w:color w:val="auto"/>
                <w:sz w:val="24"/>
                <w:highlight w:val="none"/>
              </w:rPr>
            </w:pPr>
          </w:p>
        </w:tc>
        <w:tc>
          <w:tcPr>
            <w:tcW w:w="6038" w:type="dxa"/>
            <w:vAlign w:val="center"/>
          </w:tcPr>
          <w:p w14:paraId="7AC1FBE2">
            <w:pPr>
              <w:spacing w:line="440" w:lineRule="exact"/>
              <w:rPr>
                <w:rFonts w:hint="eastAsia" w:ascii="宋体" w:hAnsi="宋体" w:cs="宋体"/>
                <w:color w:val="auto"/>
                <w:sz w:val="24"/>
                <w:highlight w:val="none"/>
              </w:rPr>
            </w:pPr>
          </w:p>
        </w:tc>
        <w:tc>
          <w:tcPr>
            <w:tcW w:w="1417" w:type="dxa"/>
            <w:vAlign w:val="center"/>
          </w:tcPr>
          <w:p w14:paraId="76B763C8">
            <w:pPr>
              <w:spacing w:line="440" w:lineRule="exact"/>
              <w:rPr>
                <w:rFonts w:hint="eastAsia" w:ascii="宋体" w:hAnsi="宋体" w:cs="宋体"/>
                <w:b/>
                <w:color w:val="auto"/>
                <w:sz w:val="24"/>
                <w:highlight w:val="none"/>
              </w:rPr>
            </w:pPr>
          </w:p>
        </w:tc>
      </w:tr>
      <w:tr w14:paraId="07BB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14:paraId="7791FB68">
            <w:pPr>
              <w:spacing w:line="440" w:lineRule="exact"/>
              <w:jc w:val="center"/>
              <w:rPr>
                <w:rFonts w:hint="eastAsia" w:ascii="宋体" w:hAnsi="宋体" w:cs="宋体"/>
                <w:color w:val="auto"/>
                <w:sz w:val="24"/>
                <w:highlight w:val="none"/>
              </w:rPr>
            </w:pPr>
          </w:p>
        </w:tc>
        <w:tc>
          <w:tcPr>
            <w:tcW w:w="6038" w:type="dxa"/>
            <w:vAlign w:val="center"/>
          </w:tcPr>
          <w:p w14:paraId="5C14D968">
            <w:pPr>
              <w:spacing w:line="440" w:lineRule="exact"/>
              <w:rPr>
                <w:rFonts w:hint="eastAsia" w:ascii="宋体" w:hAnsi="宋体" w:cs="宋体"/>
                <w:color w:val="auto"/>
                <w:sz w:val="24"/>
                <w:highlight w:val="none"/>
              </w:rPr>
            </w:pPr>
          </w:p>
        </w:tc>
        <w:tc>
          <w:tcPr>
            <w:tcW w:w="1417" w:type="dxa"/>
            <w:vAlign w:val="center"/>
          </w:tcPr>
          <w:p w14:paraId="38146F4D">
            <w:pPr>
              <w:spacing w:line="440" w:lineRule="exact"/>
              <w:rPr>
                <w:rFonts w:hint="eastAsia" w:ascii="宋体" w:hAnsi="宋体" w:cs="宋体"/>
                <w:b/>
                <w:color w:val="auto"/>
                <w:sz w:val="24"/>
                <w:highlight w:val="none"/>
              </w:rPr>
            </w:pPr>
          </w:p>
        </w:tc>
      </w:tr>
      <w:tr w14:paraId="21B5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14:paraId="2CA9472B">
            <w:pPr>
              <w:spacing w:line="440" w:lineRule="exact"/>
              <w:jc w:val="center"/>
              <w:rPr>
                <w:rFonts w:hint="eastAsia" w:ascii="宋体" w:hAnsi="宋体" w:cs="宋体"/>
                <w:color w:val="auto"/>
                <w:sz w:val="24"/>
                <w:highlight w:val="none"/>
              </w:rPr>
            </w:pPr>
          </w:p>
        </w:tc>
        <w:tc>
          <w:tcPr>
            <w:tcW w:w="6038" w:type="dxa"/>
            <w:vAlign w:val="center"/>
          </w:tcPr>
          <w:p w14:paraId="48692616">
            <w:pPr>
              <w:spacing w:line="440" w:lineRule="exact"/>
              <w:rPr>
                <w:rFonts w:hint="eastAsia" w:ascii="宋体" w:hAnsi="宋体" w:cs="宋体"/>
                <w:color w:val="auto"/>
                <w:sz w:val="24"/>
                <w:highlight w:val="none"/>
              </w:rPr>
            </w:pPr>
          </w:p>
        </w:tc>
        <w:tc>
          <w:tcPr>
            <w:tcW w:w="1417" w:type="dxa"/>
            <w:vAlign w:val="center"/>
          </w:tcPr>
          <w:p w14:paraId="6A51D64B">
            <w:pPr>
              <w:spacing w:line="440" w:lineRule="exact"/>
              <w:rPr>
                <w:rFonts w:hint="eastAsia" w:ascii="宋体" w:hAnsi="宋体" w:cs="宋体"/>
                <w:b/>
                <w:color w:val="auto"/>
                <w:sz w:val="24"/>
                <w:highlight w:val="none"/>
              </w:rPr>
            </w:pPr>
          </w:p>
        </w:tc>
      </w:tr>
    </w:tbl>
    <w:p w14:paraId="32EA27C1">
      <w:pPr>
        <w:spacing w:line="360" w:lineRule="auto"/>
        <w:jc w:val="center"/>
        <w:rPr>
          <w:rFonts w:hint="eastAsia" w:ascii="宋体" w:hAnsi="宋体" w:cs="宋体"/>
          <w:b/>
          <w:color w:val="auto"/>
          <w:sz w:val="24"/>
          <w:highlight w:val="none"/>
        </w:rPr>
      </w:pPr>
    </w:p>
    <w:p w14:paraId="6E9B146F">
      <w:pPr>
        <w:spacing w:line="360" w:lineRule="auto"/>
        <w:jc w:val="center"/>
        <w:rPr>
          <w:rFonts w:hint="eastAsia" w:ascii="宋体" w:hAnsi="宋体" w:cs="宋体"/>
          <w:b/>
          <w:color w:val="auto"/>
          <w:sz w:val="24"/>
          <w:highlight w:val="none"/>
        </w:rPr>
      </w:pPr>
    </w:p>
    <w:p w14:paraId="1E759A86">
      <w:pPr>
        <w:spacing w:line="360" w:lineRule="auto"/>
        <w:jc w:val="center"/>
        <w:rPr>
          <w:rFonts w:hint="eastAsia" w:ascii="宋体" w:hAnsi="宋体" w:cs="宋体"/>
          <w:b/>
          <w:color w:val="auto"/>
          <w:sz w:val="24"/>
          <w:highlight w:val="none"/>
        </w:rPr>
      </w:pPr>
    </w:p>
    <w:p w14:paraId="4805DB92">
      <w:pPr>
        <w:pStyle w:val="5"/>
        <w:spacing w:before="0" w:after="0"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92" w:name="_Toc21309"/>
      <w:bookmarkStart w:id="93" w:name="_Toc10603"/>
      <w:bookmarkStart w:id="94" w:name="_Toc8158"/>
      <w:r>
        <w:rPr>
          <w:rFonts w:hint="eastAsia" w:ascii="宋体" w:hAnsi="宋体" w:eastAsia="宋体" w:cs="宋体"/>
          <w:color w:val="auto"/>
          <w:sz w:val="24"/>
          <w:szCs w:val="24"/>
          <w:highlight w:val="none"/>
        </w:rPr>
        <w:t>附件一</w:t>
      </w:r>
      <w:bookmarkEnd w:id="92"/>
      <w:bookmarkEnd w:id="93"/>
      <w:bookmarkEnd w:id="94"/>
    </w:p>
    <w:p w14:paraId="1E240889">
      <w:pPr>
        <w:pStyle w:val="5"/>
        <w:spacing w:before="0" w:after="0" w:line="560" w:lineRule="exact"/>
        <w:jc w:val="center"/>
        <w:rPr>
          <w:rFonts w:hint="eastAsia" w:ascii="宋体" w:hAnsi="宋体" w:eastAsia="宋体" w:cs="宋体"/>
          <w:color w:val="auto"/>
          <w:sz w:val="24"/>
          <w:szCs w:val="24"/>
          <w:highlight w:val="none"/>
        </w:rPr>
      </w:pPr>
      <w:bookmarkStart w:id="95" w:name="_Toc5601"/>
      <w:bookmarkStart w:id="96" w:name="_Toc9181"/>
      <w:bookmarkStart w:id="97" w:name="_Toc10816"/>
      <w:r>
        <w:rPr>
          <w:rFonts w:hint="eastAsia" w:ascii="宋体" w:hAnsi="宋体" w:eastAsia="宋体" w:cs="宋体"/>
          <w:color w:val="auto"/>
          <w:sz w:val="24"/>
          <w:szCs w:val="24"/>
          <w:highlight w:val="none"/>
        </w:rPr>
        <w:t>报价单</w:t>
      </w:r>
      <w:bookmarkEnd w:id="95"/>
      <w:bookmarkEnd w:id="96"/>
      <w:bookmarkEnd w:id="97"/>
    </w:p>
    <w:p w14:paraId="3BD4ED7C">
      <w:pPr>
        <w:rPr>
          <w:rFonts w:hint="eastAsia" w:ascii="宋体" w:hAnsi="宋体" w:cs="宋体"/>
          <w:color w:val="auto"/>
          <w:highlight w:val="none"/>
        </w:rPr>
      </w:pPr>
    </w:p>
    <w:tbl>
      <w:tblPr>
        <w:tblStyle w:val="14"/>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078"/>
        <w:gridCol w:w="1214"/>
        <w:gridCol w:w="1091"/>
        <w:gridCol w:w="1821"/>
      </w:tblGrid>
      <w:tr w14:paraId="5D58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vAlign w:val="center"/>
          </w:tcPr>
          <w:p w14:paraId="1A4523C7">
            <w:pPr>
              <w:jc w:val="center"/>
              <w:rPr>
                <w:rFonts w:hint="eastAsia" w:ascii="宋体" w:hAnsi="宋体"/>
                <w:b/>
                <w:color w:val="auto"/>
                <w:sz w:val="24"/>
                <w:szCs w:val="24"/>
                <w:highlight w:val="none"/>
              </w:rPr>
            </w:pPr>
            <w:bookmarkStart w:id="98" w:name="_Toc2007"/>
            <w:bookmarkStart w:id="99" w:name="_Toc16998"/>
            <w:r>
              <w:rPr>
                <w:rFonts w:hint="eastAsia" w:ascii="宋体" w:hAnsi="宋体"/>
                <w:b/>
                <w:color w:val="auto"/>
                <w:sz w:val="24"/>
                <w:szCs w:val="24"/>
                <w:highlight w:val="none"/>
              </w:rPr>
              <w:t>序号</w:t>
            </w:r>
          </w:p>
        </w:tc>
        <w:tc>
          <w:tcPr>
            <w:tcW w:w="4078" w:type="dxa"/>
            <w:vAlign w:val="center"/>
          </w:tcPr>
          <w:p w14:paraId="58125F5C">
            <w:pPr>
              <w:jc w:val="center"/>
              <w:rPr>
                <w:rFonts w:hint="eastAsia" w:ascii="宋体" w:hAnsi="宋体"/>
                <w:b/>
                <w:color w:val="auto"/>
                <w:sz w:val="24"/>
                <w:szCs w:val="24"/>
                <w:highlight w:val="none"/>
              </w:rPr>
            </w:pPr>
            <w:r>
              <w:rPr>
                <w:rFonts w:hint="eastAsia" w:ascii="宋体" w:hAnsi="宋体"/>
                <w:b/>
                <w:color w:val="auto"/>
                <w:sz w:val="24"/>
                <w:szCs w:val="24"/>
                <w:highlight w:val="none"/>
              </w:rPr>
              <w:t>服务内容</w:t>
            </w:r>
          </w:p>
        </w:tc>
        <w:tc>
          <w:tcPr>
            <w:tcW w:w="1214" w:type="dxa"/>
            <w:vAlign w:val="center"/>
          </w:tcPr>
          <w:p w14:paraId="49967D2A">
            <w:pPr>
              <w:jc w:val="center"/>
              <w:rPr>
                <w:rFonts w:hint="eastAsia" w:ascii="宋体" w:hAnsi="宋体"/>
                <w:b/>
                <w:color w:val="auto"/>
                <w:sz w:val="24"/>
                <w:szCs w:val="24"/>
                <w:highlight w:val="none"/>
              </w:rPr>
            </w:pPr>
            <w:r>
              <w:rPr>
                <w:rFonts w:hint="eastAsia" w:ascii="宋体" w:hAnsi="宋体"/>
                <w:b/>
                <w:color w:val="auto"/>
                <w:sz w:val="24"/>
                <w:szCs w:val="24"/>
                <w:highlight w:val="none"/>
              </w:rPr>
              <w:t>项</w:t>
            </w:r>
          </w:p>
        </w:tc>
        <w:tc>
          <w:tcPr>
            <w:tcW w:w="1091" w:type="dxa"/>
            <w:vAlign w:val="center"/>
          </w:tcPr>
          <w:p w14:paraId="74F7649A">
            <w:pPr>
              <w:jc w:val="center"/>
              <w:rPr>
                <w:rFonts w:hint="eastAsia" w:ascii="宋体" w:hAnsi="宋体"/>
                <w:b/>
                <w:color w:val="auto"/>
                <w:sz w:val="24"/>
                <w:szCs w:val="24"/>
                <w:highlight w:val="none"/>
              </w:rPr>
            </w:pPr>
            <w:r>
              <w:rPr>
                <w:rFonts w:hint="eastAsia" w:ascii="宋体" w:hAnsi="宋体"/>
                <w:b/>
                <w:color w:val="auto"/>
                <w:sz w:val="24"/>
                <w:szCs w:val="24"/>
                <w:highlight w:val="none"/>
              </w:rPr>
              <w:t>单价</w:t>
            </w:r>
          </w:p>
        </w:tc>
        <w:tc>
          <w:tcPr>
            <w:tcW w:w="1821" w:type="dxa"/>
            <w:vAlign w:val="center"/>
          </w:tcPr>
          <w:p w14:paraId="09252DED">
            <w:pPr>
              <w:jc w:val="center"/>
              <w:rPr>
                <w:rFonts w:hint="eastAsia" w:ascii="宋体" w:hAnsi="宋体"/>
                <w:b/>
                <w:color w:val="auto"/>
                <w:sz w:val="24"/>
                <w:szCs w:val="24"/>
                <w:highlight w:val="none"/>
              </w:rPr>
            </w:pPr>
            <w:r>
              <w:rPr>
                <w:rFonts w:hint="eastAsia" w:ascii="宋体" w:hAnsi="宋体"/>
                <w:b/>
                <w:color w:val="auto"/>
                <w:sz w:val="24"/>
                <w:szCs w:val="24"/>
                <w:highlight w:val="none"/>
              </w:rPr>
              <w:t>小计金额（元）</w:t>
            </w:r>
          </w:p>
        </w:tc>
      </w:tr>
      <w:tr w14:paraId="2794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vAlign w:val="center"/>
          </w:tcPr>
          <w:p w14:paraId="40064637">
            <w:pPr>
              <w:jc w:val="center"/>
              <w:rPr>
                <w:rFonts w:hint="eastAsia" w:ascii="宋体" w:hAnsi="宋体"/>
                <w:bCs/>
                <w:color w:val="auto"/>
                <w:sz w:val="24"/>
                <w:szCs w:val="24"/>
                <w:highlight w:val="none"/>
              </w:rPr>
            </w:pPr>
            <w:r>
              <w:rPr>
                <w:rFonts w:hint="eastAsia" w:ascii="宋体" w:hAnsi="宋体"/>
                <w:bCs/>
                <w:color w:val="auto"/>
                <w:sz w:val="24"/>
                <w:szCs w:val="24"/>
                <w:highlight w:val="none"/>
              </w:rPr>
              <w:t>1</w:t>
            </w:r>
          </w:p>
        </w:tc>
        <w:tc>
          <w:tcPr>
            <w:tcW w:w="4078" w:type="dxa"/>
            <w:vAlign w:val="center"/>
          </w:tcPr>
          <w:p w14:paraId="5E54B45B">
            <w:pPr>
              <w:jc w:val="center"/>
              <w:rPr>
                <w:rFonts w:hint="eastAsia" w:ascii="宋体" w:hAnsi="宋体"/>
                <w:bCs/>
                <w:color w:val="auto"/>
                <w:sz w:val="24"/>
                <w:szCs w:val="24"/>
                <w:highlight w:val="none"/>
              </w:rPr>
            </w:pPr>
          </w:p>
        </w:tc>
        <w:tc>
          <w:tcPr>
            <w:tcW w:w="1214" w:type="dxa"/>
            <w:vAlign w:val="center"/>
          </w:tcPr>
          <w:p w14:paraId="19864F8C">
            <w:pPr>
              <w:jc w:val="center"/>
              <w:rPr>
                <w:rFonts w:hint="eastAsia" w:ascii="宋体" w:hAnsi="宋体"/>
                <w:bCs/>
                <w:color w:val="auto"/>
                <w:sz w:val="24"/>
                <w:szCs w:val="24"/>
                <w:highlight w:val="none"/>
              </w:rPr>
            </w:pPr>
          </w:p>
        </w:tc>
        <w:tc>
          <w:tcPr>
            <w:tcW w:w="1091" w:type="dxa"/>
            <w:vAlign w:val="center"/>
          </w:tcPr>
          <w:p w14:paraId="6A0FC5D9">
            <w:pPr>
              <w:jc w:val="center"/>
              <w:rPr>
                <w:rFonts w:hint="eastAsia" w:ascii="宋体" w:hAnsi="宋体"/>
                <w:bCs/>
                <w:color w:val="auto"/>
                <w:sz w:val="24"/>
                <w:szCs w:val="24"/>
                <w:highlight w:val="none"/>
              </w:rPr>
            </w:pPr>
          </w:p>
        </w:tc>
        <w:tc>
          <w:tcPr>
            <w:tcW w:w="1821" w:type="dxa"/>
            <w:vAlign w:val="center"/>
          </w:tcPr>
          <w:p w14:paraId="1CFDE268">
            <w:pPr>
              <w:jc w:val="center"/>
              <w:rPr>
                <w:rFonts w:hint="eastAsia" w:ascii="宋体" w:hAnsi="宋体"/>
                <w:bCs/>
                <w:color w:val="auto"/>
                <w:sz w:val="24"/>
                <w:szCs w:val="24"/>
                <w:highlight w:val="none"/>
              </w:rPr>
            </w:pPr>
          </w:p>
        </w:tc>
      </w:tr>
      <w:tr w14:paraId="7A7D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09720F04">
            <w:pPr>
              <w:jc w:val="center"/>
              <w:rPr>
                <w:rFonts w:hint="eastAsia" w:ascii="宋体" w:hAnsi="宋体"/>
                <w:bCs/>
                <w:color w:val="auto"/>
                <w:sz w:val="24"/>
                <w:szCs w:val="24"/>
                <w:highlight w:val="none"/>
              </w:rPr>
            </w:pPr>
            <w:r>
              <w:rPr>
                <w:rFonts w:hint="eastAsia" w:ascii="宋体" w:hAnsi="宋体"/>
                <w:bCs/>
                <w:color w:val="auto"/>
                <w:sz w:val="24"/>
                <w:szCs w:val="24"/>
                <w:highlight w:val="none"/>
              </w:rPr>
              <w:t>2</w:t>
            </w:r>
          </w:p>
        </w:tc>
        <w:tc>
          <w:tcPr>
            <w:tcW w:w="4078" w:type="dxa"/>
            <w:vAlign w:val="center"/>
          </w:tcPr>
          <w:p w14:paraId="5E84E627">
            <w:pPr>
              <w:jc w:val="center"/>
              <w:rPr>
                <w:rFonts w:hint="eastAsia" w:ascii="宋体" w:hAnsi="宋体"/>
                <w:bCs/>
                <w:color w:val="auto"/>
                <w:sz w:val="24"/>
                <w:szCs w:val="24"/>
                <w:highlight w:val="none"/>
              </w:rPr>
            </w:pPr>
          </w:p>
        </w:tc>
        <w:tc>
          <w:tcPr>
            <w:tcW w:w="1214" w:type="dxa"/>
            <w:vAlign w:val="center"/>
          </w:tcPr>
          <w:p w14:paraId="0DA29C99">
            <w:pPr>
              <w:jc w:val="center"/>
              <w:rPr>
                <w:rFonts w:hint="eastAsia" w:ascii="宋体" w:hAnsi="宋体"/>
                <w:bCs/>
                <w:color w:val="auto"/>
                <w:sz w:val="24"/>
                <w:szCs w:val="24"/>
                <w:highlight w:val="none"/>
              </w:rPr>
            </w:pPr>
          </w:p>
        </w:tc>
        <w:tc>
          <w:tcPr>
            <w:tcW w:w="1091" w:type="dxa"/>
            <w:vAlign w:val="center"/>
          </w:tcPr>
          <w:p w14:paraId="782F90BC">
            <w:pPr>
              <w:jc w:val="center"/>
              <w:rPr>
                <w:rFonts w:hint="eastAsia" w:ascii="宋体" w:hAnsi="宋体"/>
                <w:bCs/>
                <w:color w:val="auto"/>
                <w:sz w:val="24"/>
                <w:szCs w:val="24"/>
                <w:highlight w:val="none"/>
              </w:rPr>
            </w:pPr>
          </w:p>
        </w:tc>
        <w:tc>
          <w:tcPr>
            <w:tcW w:w="1821" w:type="dxa"/>
            <w:vAlign w:val="center"/>
          </w:tcPr>
          <w:p w14:paraId="3D76FB2A">
            <w:pPr>
              <w:jc w:val="center"/>
              <w:rPr>
                <w:rFonts w:hint="eastAsia" w:ascii="宋体" w:hAnsi="宋体"/>
                <w:bCs/>
                <w:color w:val="auto"/>
                <w:sz w:val="24"/>
                <w:szCs w:val="24"/>
                <w:highlight w:val="none"/>
              </w:rPr>
            </w:pPr>
          </w:p>
        </w:tc>
      </w:tr>
      <w:tr w14:paraId="3019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414DA3EF">
            <w:pPr>
              <w:jc w:val="center"/>
              <w:rPr>
                <w:rFonts w:hint="eastAsia" w:ascii="宋体" w:hAnsi="宋体"/>
                <w:bCs/>
                <w:color w:val="auto"/>
                <w:sz w:val="24"/>
                <w:szCs w:val="24"/>
                <w:highlight w:val="none"/>
              </w:rPr>
            </w:pPr>
            <w:r>
              <w:rPr>
                <w:rFonts w:hint="eastAsia" w:ascii="宋体" w:hAnsi="宋体"/>
                <w:bCs/>
                <w:color w:val="auto"/>
                <w:sz w:val="24"/>
                <w:szCs w:val="24"/>
                <w:highlight w:val="none"/>
              </w:rPr>
              <w:t>3</w:t>
            </w:r>
          </w:p>
        </w:tc>
        <w:tc>
          <w:tcPr>
            <w:tcW w:w="4078" w:type="dxa"/>
            <w:vAlign w:val="center"/>
          </w:tcPr>
          <w:p w14:paraId="60D124F1">
            <w:pPr>
              <w:jc w:val="center"/>
              <w:rPr>
                <w:rFonts w:hint="eastAsia" w:ascii="宋体" w:hAnsi="宋体"/>
                <w:bCs/>
                <w:color w:val="auto"/>
                <w:sz w:val="24"/>
                <w:szCs w:val="24"/>
                <w:highlight w:val="none"/>
              </w:rPr>
            </w:pPr>
          </w:p>
        </w:tc>
        <w:tc>
          <w:tcPr>
            <w:tcW w:w="1214" w:type="dxa"/>
            <w:vAlign w:val="center"/>
          </w:tcPr>
          <w:p w14:paraId="5CEE788A">
            <w:pPr>
              <w:jc w:val="center"/>
              <w:rPr>
                <w:rFonts w:hint="eastAsia" w:ascii="宋体" w:hAnsi="宋体"/>
                <w:bCs/>
                <w:color w:val="auto"/>
                <w:sz w:val="24"/>
                <w:szCs w:val="24"/>
                <w:highlight w:val="none"/>
              </w:rPr>
            </w:pPr>
          </w:p>
        </w:tc>
        <w:tc>
          <w:tcPr>
            <w:tcW w:w="1091" w:type="dxa"/>
            <w:vAlign w:val="center"/>
          </w:tcPr>
          <w:p w14:paraId="72128EF1">
            <w:pPr>
              <w:jc w:val="center"/>
              <w:rPr>
                <w:rFonts w:hint="eastAsia" w:ascii="宋体" w:hAnsi="宋体"/>
                <w:bCs/>
                <w:color w:val="auto"/>
                <w:sz w:val="24"/>
                <w:szCs w:val="24"/>
                <w:highlight w:val="none"/>
              </w:rPr>
            </w:pPr>
          </w:p>
        </w:tc>
        <w:tc>
          <w:tcPr>
            <w:tcW w:w="1821" w:type="dxa"/>
            <w:vAlign w:val="center"/>
          </w:tcPr>
          <w:p w14:paraId="2F0F3881">
            <w:pPr>
              <w:jc w:val="center"/>
              <w:rPr>
                <w:rFonts w:hint="eastAsia" w:ascii="宋体" w:hAnsi="宋体"/>
                <w:bCs/>
                <w:color w:val="auto"/>
                <w:sz w:val="24"/>
                <w:szCs w:val="24"/>
                <w:highlight w:val="none"/>
              </w:rPr>
            </w:pPr>
          </w:p>
        </w:tc>
      </w:tr>
      <w:tr w14:paraId="72BD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19A60D0A">
            <w:pPr>
              <w:jc w:val="center"/>
              <w:rPr>
                <w:rFonts w:hint="eastAsia" w:ascii="宋体" w:hAnsi="宋体"/>
                <w:bCs/>
                <w:color w:val="auto"/>
                <w:sz w:val="24"/>
                <w:szCs w:val="24"/>
                <w:highlight w:val="none"/>
              </w:rPr>
            </w:pPr>
            <w:r>
              <w:rPr>
                <w:rFonts w:ascii="宋体" w:hAnsi="宋体"/>
                <w:bCs/>
                <w:color w:val="auto"/>
                <w:sz w:val="24"/>
                <w:szCs w:val="24"/>
                <w:highlight w:val="none"/>
              </w:rPr>
              <w:t>…</w:t>
            </w:r>
          </w:p>
        </w:tc>
        <w:tc>
          <w:tcPr>
            <w:tcW w:w="4078" w:type="dxa"/>
            <w:vAlign w:val="center"/>
          </w:tcPr>
          <w:p w14:paraId="0372055E">
            <w:pPr>
              <w:jc w:val="center"/>
              <w:rPr>
                <w:rFonts w:hint="eastAsia" w:ascii="宋体" w:hAnsi="宋体"/>
                <w:bCs/>
                <w:color w:val="auto"/>
                <w:sz w:val="24"/>
                <w:szCs w:val="24"/>
                <w:highlight w:val="none"/>
              </w:rPr>
            </w:pPr>
          </w:p>
        </w:tc>
        <w:tc>
          <w:tcPr>
            <w:tcW w:w="1214" w:type="dxa"/>
            <w:vAlign w:val="center"/>
          </w:tcPr>
          <w:p w14:paraId="320FE666">
            <w:pPr>
              <w:jc w:val="center"/>
              <w:rPr>
                <w:rFonts w:hint="eastAsia" w:ascii="宋体" w:hAnsi="宋体"/>
                <w:bCs/>
                <w:color w:val="auto"/>
                <w:sz w:val="24"/>
                <w:szCs w:val="24"/>
                <w:highlight w:val="none"/>
              </w:rPr>
            </w:pPr>
          </w:p>
        </w:tc>
        <w:tc>
          <w:tcPr>
            <w:tcW w:w="1091" w:type="dxa"/>
            <w:vAlign w:val="center"/>
          </w:tcPr>
          <w:p w14:paraId="42879F0E">
            <w:pPr>
              <w:jc w:val="center"/>
              <w:rPr>
                <w:rFonts w:hint="eastAsia" w:ascii="宋体" w:hAnsi="宋体"/>
                <w:bCs/>
                <w:color w:val="auto"/>
                <w:sz w:val="24"/>
                <w:szCs w:val="24"/>
                <w:highlight w:val="none"/>
              </w:rPr>
            </w:pPr>
          </w:p>
        </w:tc>
        <w:tc>
          <w:tcPr>
            <w:tcW w:w="1821" w:type="dxa"/>
            <w:vAlign w:val="center"/>
          </w:tcPr>
          <w:p w14:paraId="06A84780">
            <w:pPr>
              <w:jc w:val="center"/>
              <w:rPr>
                <w:rFonts w:hint="eastAsia" w:ascii="宋体" w:hAnsi="宋体"/>
                <w:bCs/>
                <w:color w:val="auto"/>
                <w:sz w:val="24"/>
                <w:szCs w:val="24"/>
                <w:highlight w:val="none"/>
              </w:rPr>
            </w:pPr>
          </w:p>
        </w:tc>
      </w:tr>
      <w:tr w14:paraId="7811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4AB50057">
            <w:pPr>
              <w:jc w:val="center"/>
              <w:rPr>
                <w:rFonts w:hint="eastAsia" w:ascii="宋体" w:hAnsi="宋体"/>
                <w:bCs/>
                <w:color w:val="auto"/>
                <w:sz w:val="24"/>
                <w:szCs w:val="24"/>
                <w:highlight w:val="none"/>
              </w:rPr>
            </w:pPr>
          </w:p>
        </w:tc>
        <w:tc>
          <w:tcPr>
            <w:tcW w:w="4078" w:type="dxa"/>
            <w:vAlign w:val="center"/>
          </w:tcPr>
          <w:p w14:paraId="6E299384">
            <w:pPr>
              <w:pStyle w:val="34"/>
              <w:ind w:left="-108"/>
              <w:jc w:val="center"/>
              <w:rPr>
                <w:rFonts w:hint="eastAsia" w:ascii="宋体" w:hAnsi="宋体"/>
                <w:bCs/>
                <w:color w:val="auto"/>
                <w:szCs w:val="24"/>
                <w:highlight w:val="none"/>
              </w:rPr>
            </w:pPr>
            <w:r>
              <w:rPr>
                <w:rFonts w:hint="eastAsia" w:ascii="宋体" w:hAnsi="宋体"/>
                <w:bCs/>
                <w:color w:val="auto"/>
                <w:szCs w:val="24"/>
                <w:highlight w:val="none"/>
              </w:rPr>
              <w:t>其他费用</w:t>
            </w:r>
          </w:p>
        </w:tc>
        <w:tc>
          <w:tcPr>
            <w:tcW w:w="1214" w:type="dxa"/>
            <w:vAlign w:val="center"/>
          </w:tcPr>
          <w:p w14:paraId="40D89E90">
            <w:pPr>
              <w:jc w:val="center"/>
              <w:rPr>
                <w:rFonts w:hint="eastAsia" w:ascii="宋体" w:hAnsi="宋体"/>
                <w:bCs/>
                <w:color w:val="auto"/>
                <w:sz w:val="24"/>
                <w:szCs w:val="24"/>
                <w:highlight w:val="none"/>
              </w:rPr>
            </w:pPr>
          </w:p>
        </w:tc>
        <w:tc>
          <w:tcPr>
            <w:tcW w:w="1091" w:type="dxa"/>
            <w:vAlign w:val="center"/>
          </w:tcPr>
          <w:p w14:paraId="12EA6718">
            <w:pPr>
              <w:jc w:val="center"/>
              <w:rPr>
                <w:rFonts w:hint="eastAsia" w:ascii="宋体" w:hAnsi="宋体"/>
                <w:bCs/>
                <w:color w:val="auto"/>
                <w:sz w:val="24"/>
                <w:szCs w:val="24"/>
                <w:highlight w:val="none"/>
              </w:rPr>
            </w:pPr>
          </w:p>
        </w:tc>
        <w:tc>
          <w:tcPr>
            <w:tcW w:w="1821" w:type="dxa"/>
            <w:vAlign w:val="center"/>
          </w:tcPr>
          <w:p w14:paraId="755188CF">
            <w:pPr>
              <w:jc w:val="center"/>
              <w:rPr>
                <w:rFonts w:hint="eastAsia" w:ascii="宋体" w:hAnsi="宋体"/>
                <w:bCs/>
                <w:color w:val="auto"/>
                <w:sz w:val="24"/>
                <w:szCs w:val="24"/>
                <w:highlight w:val="none"/>
              </w:rPr>
            </w:pPr>
          </w:p>
        </w:tc>
      </w:tr>
      <w:tr w14:paraId="1D20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vAlign w:val="center"/>
          </w:tcPr>
          <w:p w14:paraId="12CD1D1C">
            <w:pPr>
              <w:jc w:val="center"/>
              <w:rPr>
                <w:rFonts w:hint="eastAsia" w:ascii="宋体" w:hAnsi="宋体"/>
                <w:bCs/>
                <w:color w:val="auto"/>
                <w:sz w:val="24"/>
                <w:szCs w:val="24"/>
                <w:highlight w:val="none"/>
              </w:rPr>
            </w:pPr>
          </w:p>
        </w:tc>
        <w:tc>
          <w:tcPr>
            <w:tcW w:w="4078" w:type="dxa"/>
            <w:vAlign w:val="center"/>
          </w:tcPr>
          <w:p w14:paraId="54110945">
            <w:pPr>
              <w:jc w:val="center"/>
              <w:rPr>
                <w:rFonts w:hint="eastAsia" w:ascii="宋体" w:hAnsi="宋体"/>
                <w:bCs/>
                <w:color w:val="auto"/>
                <w:sz w:val="24"/>
                <w:szCs w:val="24"/>
                <w:highlight w:val="none"/>
              </w:rPr>
            </w:pPr>
            <w:r>
              <w:rPr>
                <w:rFonts w:ascii="宋体" w:hAnsi="宋体"/>
                <w:bCs/>
                <w:color w:val="auto"/>
                <w:sz w:val="24"/>
                <w:szCs w:val="24"/>
                <w:highlight w:val="none"/>
              </w:rPr>
              <w:t>……</w:t>
            </w:r>
          </w:p>
        </w:tc>
        <w:tc>
          <w:tcPr>
            <w:tcW w:w="1214" w:type="dxa"/>
            <w:vAlign w:val="center"/>
          </w:tcPr>
          <w:p w14:paraId="009CC994">
            <w:pPr>
              <w:jc w:val="center"/>
              <w:rPr>
                <w:rFonts w:hint="eastAsia" w:ascii="宋体" w:hAnsi="宋体"/>
                <w:bCs/>
                <w:color w:val="auto"/>
                <w:sz w:val="24"/>
                <w:szCs w:val="24"/>
                <w:highlight w:val="none"/>
              </w:rPr>
            </w:pPr>
          </w:p>
        </w:tc>
        <w:tc>
          <w:tcPr>
            <w:tcW w:w="1091" w:type="dxa"/>
            <w:vAlign w:val="center"/>
          </w:tcPr>
          <w:p w14:paraId="6D1D4B33">
            <w:pPr>
              <w:jc w:val="center"/>
              <w:rPr>
                <w:rFonts w:hint="eastAsia" w:ascii="宋体" w:hAnsi="宋体"/>
                <w:bCs/>
                <w:color w:val="auto"/>
                <w:sz w:val="24"/>
                <w:szCs w:val="24"/>
                <w:highlight w:val="none"/>
              </w:rPr>
            </w:pPr>
          </w:p>
        </w:tc>
        <w:tc>
          <w:tcPr>
            <w:tcW w:w="1821" w:type="dxa"/>
            <w:vAlign w:val="center"/>
          </w:tcPr>
          <w:p w14:paraId="53D6BA3A">
            <w:pPr>
              <w:jc w:val="center"/>
              <w:rPr>
                <w:rFonts w:hint="eastAsia" w:ascii="宋体" w:hAnsi="宋体"/>
                <w:bCs/>
                <w:color w:val="auto"/>
                <w:sz w:val="24"/>
                <w:szCs w:val="24"/>
                <w:highlight w:val="none"/>
              </w:rPr>
            </w:pPr>
          </w:p>
        </w:tc>
      </w:tr>
      <w:tr w14:paraId="3096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23" w:type="dxa"/>
            <w:gridSpan w:val="4"/>
            <w:vAlign w:val="center"/>
          </w:tcPr>
          <w:p w14:paraId="7C1C0EB6">
            <w:pPr>
              <w:jc w:val="center"/>
              <w:rPr>
                <w:rFonts w:hint="eastAsia" w:ascii="宋体" w:hAnsi="宋体"/>
                <w:bCs/>
                <w:color w:val="auto"/>
                <w:sz w:val="24"/>
                <w:szCs w:val="24"/>
                <w:highlight w:val="none"/>
              </w:rPr>
            </w:pPr>
            <w:r>
              <w:rPr>
                <w:rFonts w:hint="eastAsia" w:ascii="宋体" w:hAnsi="宋体"/>
                <w:b/>
                <w:color w:val="auto"/>
                <w:sz w:val="24"/>
                <w:szCs w:val="24"/>
                <w:highlight w:val="none"/>
              </w:rPr>
              <w:t>合计金额（元）</w:t>
            </w:r>
          </w:p>
        </w:tc>
        <w:tc>
          <w:tcPr>
            <w:tcW w:w="1821" w:type="dxa"/>
            <w:vAlign w:val="center"/>
          </w:tcPr>
          <w:p w14:paraId="5DC125A1">
            <w:pPr>
              <w:jc w:val="center"/>
              <w:rPr>
                <w:rFonts w:hint="eastAsia" w:ascii="宋体" w:hAnsi="宋体"/>
                <w:bCs/>
                <w:color w:val="auto"/>
                <w:sz w:val="24"/>
                <w:szCs w:val="24"/>
                <w:highlight w:val="none"/>
              </w:rPr>
            </w:pPr>
          </w:p>
        </w:tc>
      </w:tr>
    </w:tbl>
    <w:p w14:paraId="45D40A51">
      <w:pPr>
        <w:pStyle w:val="8"/>
        <w:spacing w:line="360" w:lineRule="auto"/>
        <w:rPr>
          <w:rFonts w:hint="eastAsia" w:ascii="宋体" w:hAnsi="宋体" w:eastAsia="宋体" w:cs="宋体"/>
          <w:b/>
          <w:bCs/>
          <w:color w:val="auto"/>
          <w:sz w:val="24"/>
          <w:highlight w:val="none"/>
        </w:rPr>
      </w:pPr>
    </w:p>
    <w:p w14:paraId="7D9619E8">
      <w:pPr>
        <w:pStyle w:val="8"/>
        <w:spacing w:line="560" w:lineRule="exact"/>
        <w:rPr>
          <w:rFonts w:hint="eastAsia" w:ascii="宋体" w:hAnsi="宋体" w:eastAsia="宋体" w:cs="宋体"/>
          <w:b/>
          <w:bCs/>
          <w:color w:val="auto"/>
          <w:sz w:val="24"/>
          <w:szCs w:val="28"/>
          <w:highlight w:val="none"/>
        </w:rPr>
      </w:pPr>
      <w:r>
        <w:rPr>
          <w:rFonts w:hint="eastAsia" w:ascii="宋体" w:hAnsi="宋体" w:eastAsia="宋体" w:cs="宋体"/>
          <w:b/>
          <w:bCs/>
          <w:color w:val="auto"/>
          <w:sz w:val="24"/>
          <w:highlight w:val="none"/>
        </w:rPr>
        <w:t>供应商盖章：</w:t>
      </w:r>
    </w:p>
    <w:p w14:paraId="3570FD0E">
      <w:pPr>
        <w:adjustRightInd w:val="0"/>
        <w:snapToGrid w:val="0"/>
        <w:spacing w:line="560" w:lineRule="exact"/>
        <w:rPr>
          <w:rFonts w:hint="eastAsia" w:ascii="宋体" w:hAnsi="宋体"/>
          <w:b/>
          <w:bCs/>
          <w:color w:val="auto"/>
          <w:sz w:val="24"/>
          <w:szCs w:val="28"/>
          <w:highlight w:val="none"/>
        </w:rPr>
      </w:pPr>
      <w:r>
        <w:rPr>
          <w:rFonts w:hint="eastAsia" w:ascii="宋体" w:hAnsi="宋体"/>
          <w:b/>
          <w:bCs/>
          <w:color w:val="auto"/>
          <w:sz w:val="24"/>
          <w:szCs w:val="28"/>
          <w:highlight w:val="none"/>
        </w:rPr>
        <w:t>日  期：   年   月   日</w:t>
      </w:r>
    </w:p>
    <w:p w14:paraId="46EB01FD">
      <w:pPr>
        <w:adjustRightInd w:val="0"/>
        <w:snapToGrid w:val="0"/>
        <w:spacing w:line="360" w:lineRule="auto"/>
        <w:rPr>
          <w:rFonts w:hint="eastAsia" w:ascii="宋体" w:hAnsi="宋体"/>
          <w:b/>
          <w:bCs/>
          <w:color w:val="auto"/>
          <w:sz w:val="24"/>
          <w:szCs w:val="28"/>
          <w:highlight w:val="none"/>
        </w:rPr>
      </w:pPr>
    </w:p>
    <w:p w14:paraId="4E47400B">
      <w:pPr>
        <w:adjustRightInd w:val="0"/>
        <w:snapToGrid w:val="0"/>
        <w:spacing w:line="360" w:lineRule="auto"/>
        <w:rPr>
          <w:rFonts w:hint="eastAsia" w:ascii="宋体" w:hAnsi="宋体"/>
          <w:b/>
          <w:color w:val="auto"/>
          <w:sz w:val="24"/>
          <w:szCs w:val="24"/>
          <w:highlight w:val="none"/>
        </w:rPr>
      </w:pPr>
    </w:p>
    <w:p w14:paraId="05E77574">
      <w:pPr>
        <w:pStyle w:val="5"/>
        <w:wordWrap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注：表中所列服务为对应本项目需求的全部服务内容。如有漏项或缺项，供应商承担全部责任。</w:t>
      </w:r>
    </w:p>
    <w:p w14:paraId="0CF84BE4">
      <w:pPr>
        <w:pStyle w:val="5"/>
        <w:wordWrap w:val="0"/>
        <w:spacing w:before="0" w:after="0" w:line="520" w:lineRule="exact"/>
        <w:ind w:firstLine="482" w:firstLineChars="200"/>
        <w:rPr>
          <w:rFonts w:hint="eastAsia" w:ascii="宋体" w:hAnsi="宋体" w:eastAsia="宋体" w:cs="宋体"/>
          <w:color w:val="auto"/>
          <w:sz w:val="24"/>
          <w:szCs w:val="24"/>
          <w:highlight w:val="none"/>
        </w:rPr>
      </w:pPr>
    </w:p>
    <w:p w14:paraId="7EE03F10">
      <w:pPr>
        <w:pStyle w:val="5"/>
        <w:wordWrap w:val="0"/>
        <w:spacing w:before="0" w:after="0" w:line="520" w:lineRule="exact"/>
        <w:rPr>
          <w:rFonts w:hint="eastAsia" w:ascii="宋体" w:hAnsi="宋体" w:eastAsia="宋体" w:cs="宋体"/>
          <w:color w:val="auto"/>
          <w:sz w:val="24"/>
          <w:szCs w:val="24"/>
          <w:highlight w:val="none"/>
        </w:rPr>
      </w:pPr>
    </w:p>
    <w:p w14:paraId="27C6C18F">
      <w:pPr>
        <w:pStyle w:val="5"/>
        <w:wordWrap w:val="0"/>
        <w:spacing w:before="0" w:after="0" w:line="520" w:lineRule="exact"/>
        <w:rPr>
          <w:rFonts w:hint="eastAsia" w:ascii="宋体" w:hAnsi="宋体" w:eastAsia="宋体" w:cs="宋体"/>
          <w:color w:val="auto"/>
          <w:sz w:val="24"/>
          <w:szCs w:val="24"/>
          <w:highlight w:val="none"/>
        </w:rPr>
      </w:pPr>
    </w:p>
    <w:p w14:paraId="58DE5162">
      <w:pPr>
        <w:pStyle w:val="5"/>
        <w:wordWrap w:val="0"/>
        <w:spacing w:before="0" w:after="0" w:line="520" w:lineRule="exact"/>
        <w:rPr>
          <w:rFonts w:hint="eastAsia" w:ascii="宋体" w:hAnsi="宋体" w:eastAsia="宋体" w:cs="宋体"/>
          <w:color w:val="auto"/>
          <w:sz w:val="24"/>
          <w:szCs w:val="24"/>
          <w:highlight w:val="none"/>
        </w:rPr>
      </w:pPr>
    </w:p>
    <w:p w14:paraId="77DB73F6">
      <w:pPr>
        <w:pStyle w:val="5"/>
        <w:wordWrap w:val="0"/>
        <w:spacing w:before="0" w:after="0"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00" w:name="_Toc22855"/>
      <w:r>
        <w:rPr>
          <w:rFonts w:hint="eastAsia" w:ascii="宋体" w:hAnsi="宋体" w:eastAsia="宋体" w:cs="宋体"/>
          <w:color w:val="auto"/>
          <w:sz w:val="24"/>
          <w:szCs w:val="24"/>
          <w:highlight w:val="none"/>
        </w:rPr>
        <w:t>附件二</w:t>
      </w:r>
      <w:bookmarkEnd w:id="98"/>
      <w:bookmarkEnd w:id="99"/>
      <w:bookmarkEnd w:id="100"/>
    </w:p>
    <w:p w14:paraId="6E548594">
      <w:pPr>
        <w:pStyle w:val="5"/>
        <w:spacing w:before="0" w:after="0" w:line="520" w:lineRule="exact"/>
        <w:jc w:val="center"/>
        <w:rPr>
          <w:rFonts w:hint="eastAsia" w:ascii="宋体" w:hAnsi="宋体" w:eastAsia="宋体" w:cs="宋体"/>
          <w:color w:val="auto"/>
          <w:sz w:val="24"/>
          <w:szCs w:val="24"/>
          <w:highlight w:val="none"/>
        </w:rPr>
      </w:pPr>
      <w:bookmarkStart w:id="101" w:name="_Toc3262"/>
      <w:bookmarkStart w:id="102" w:name="_Toc17280"/>
      <w:bookmarkStart w:id="103" w:name="_Toc29464"/>
      <w:r>
        <w:rPr>
          <w:rFonts w:hint="eastAsia" w:ascii="宋体" w:hAnsi="宋体" w:eastAsia="宋体" w:cs="宋体"/>
          <w:color w:val="auto"/>
          <w:sz w:val="24"/>
          <w:szCs w:val="24"/>
          <w:highlight w:val="none"/>
        </w:rPr>
        <w:t>供应商基本信息</w:t>
      </w:r>
      <w:bookmarkEnd w:id="101"/>
      <w:bookmarkEnd w:id="102"/>
      <w:bookmarkEnd w:id="103"/>
    </w:p>
    <w:p w14:paraId="6196140A">
      <w:pPr>
        <w:pStyle w:val="2"/>
        <w:spacing w:after="0" w:line="520" w:lineRule="exact"/>
        <w:ind w:firstLine="0"/>
        <w:jc w:val="center"/>
        <w:rPr>
          <w:rFonts w:hint="eastAsia" w:ascii="宋体" w:hAnsi="宋体" w:cs="宋体"/>
          <w:color w:val="auto"/>
          <w:highlight w:val="none"/>
        </w:rPr>
      </w:pPr>
      <w:r>
        <w:rPr>
          <w:rFonts w:hint="eastAsia" w:ascii="宋体" w:hAnsi="宋体" w:cs="宋体"/>
          <w:color w:val="auto"/>
          <w:highlight w:val="none"/>
        </w:rPr>
        <w:t>（供应商自拟）</w:t>
      </w:r>
    </w:p>
    <w:p w14:paraId="697D7DEA">
      <w:pPr>
        <w:pStyle w:val="5"/>
        <w:wordWrap w:val="0"/>
        <w:spacing w:before="0" w:after="0" w:line="520" w:lineRule="exact"/>
        <w:rPr>
          <w:rFonts w:hint="eastAsia" w:ascii="宋体" w:hAnsi="宋体" w:eastAsia="宋体" w:cs="宋体"/>
          <w:color w:val="auto"/>
          <w:sz w:val="24"/>
          <w:szCs w:val="24"/>
          <w:highlight w:val="none"/>
        </w:rPr>
      </w:pPr>
      <w:bookmarkStart w:id="104" w:name="_Toc11062"/>
      <w:bookmarkStart w:id="105" w:name="_Toc18369"/>
      <w:bookmarkStart w:id="106" w:name="_Toc10154"/>
      <w:r>
        <w:rPr>
          <w:rFonts w:hint="eastAsia" w:ascii="宋体" w:hAnsi="宋体" w:eastAsia="宋体" w:cs="宋体"/>
          <w:color w:val="auto"/>
          <w:sz w:val="24"/>
          <w:szCs w:val="24"/>
          <w:highlight w:val="none"/>
        </w:rPr>
        <w:t>附件三</w:t>
      </w:r>
      <w:bookmarkEnd w:id="104"/>
      <w:bookmarkEnd w:id="105"/>
      <w:bookmarkEnd w:id="106"/>
    </w:p>
    <w:p w14:paraId="2387F078">
      <w:pPr>
        <w:pStyle w:val="5"/>
        <w:spacing w:before="0" w:after="0" w:line="520" w:lineRule="exact"/>
        <w:jc w:val="center"/>
        <w:rPr>
          <w:rFonts w:hint="eastAsia" w:ascii="宋体" w:hAnsi="宋体" w:eastAsia="宋体" w:cs="宋体"/>
          <w:color w:val="auto"/>
          <w:sz w:val="24"/>
          <w:szCs w:val="24"/>
          <w:highlight w:val="none"/>
        </w:rPr>
      </w:pPr>
      <w:bookmarkStart w:id="107" w:name="_Toc30135"/>
      <w:bookmarkStart w:id="108" w:name="_Toc10696"/>
      <w:bookmarkStart w:id="109" w:name="_Toc13141"/>
      <w:r>
        <w:rPr>
          <w:rFonts w:hint="eastAsia" w:ascii="宋体" w:hAnsi="宋体" w:eastAsia="宋体" w:cs="宋体"/>
          <w:color w:val="auto"/>
          <w:sz w:val="24"/>
          <w:szCs w:val="24"/>
          <w:highlight w:val="none"/>
        </w:rPr>
        <w:t>磋商授权书</w:t>
      </w:r>
      <w:bookmarkEnd w:id="107"/>
      <w:bookmarkEnd w:id="108"/>
      <w:bookmarkEnd w:id="109"/>
    </w:p>
    <w:p w14:paraId="6ACF5C51">
      <w:pPr>
        <w:spacing w:line="520" w:lineRule="exact"/>
        <w:rPr>
          <w:rFonts w:hint="eastAsia" w:ascii="宋体" w:hAnsi="宋体" w:cs="宋体"/>
          <w:color w:val="auto"/>
          <w:sz w:val="24"/>
          <w:szCs w:val="24"/>
          <w:highlight w:val="none"/>
        </w:rPr>
      </w:pPr>
    </w:p>
    <w:p w14:paraId="15B9D60B">
      <w:pPr>
        <w:spacing w:line="52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致：_________________（采购人）</w:t>
      </w:r>
    </w:p>
    <w:p w14:paraId="3115ABCE">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本授权书声明：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（法定代表人姓名）授权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（被授权人的姓名）为我方就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）项目磋商活动的合法代理人，以我方名义全权处理与该项目磋商有关的一切事务。</w:t>
      </w:r>
    </w:p>
    <w:p w14:paraId="35120BC1">
      <w:pPr>
        <w:spacing w:line="5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14:paraId="6D0649AC">
      <w:pPr>
        <w:spacing w:line="520" w:lineRule="exact"/>
        <w:ind w:firstLine="1084" w:firstLineChars="450"/>
        <w:jc w:val="left"/>
        <w:rPr>
          <w:rFonts w:hint="eastAsia" w:ascii="宋体" w:hAnsi="宋体" w:cs="宋体"/>
          <w:b/>
          <w:bCs/>
          <w:color w:val="auto"/>
          <w:sz w:val="24"/>
          <w:szCs w:val="24"/>
          <w:highlight w:val="none"/>
        </w:rPr>
      </w:pPr>
    </w:p>
    <w:p w14:paraId="0CB223B0">
      <w:pPr>
        <w:spacing w:line="520" w:lineRule="exact"/>
        <w:ind w:firstLine="1084" w:firstLineChars="450"/>
        <w:jc w:val="left"/>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rPr>
        <w:t>法定代表人签字或盖章：</w:t>
      </w:r>
      <w:r>
        <w:rPr>
          <w:rFonts w:hint="eastAsia" w:ascii="宋体" w:hAnsi="宋体" w:cs="宋体"/>
          <w:color w:val="auto"/>
          <w:sz w:val="24"/>
          <w:szCs w:val="24"/>
          <w:highlight w:val="none"/>
          <w:u w:val="single"/>
        </w:rPr>
        <w:t xml:space="preserve">                            </w:t>
      </w:r>
    </w:p>
    <w:p w14:paraId="6AC261BC">
      <w:pPr>
        <w:spacing w:line="52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职    务：</w:t>
      </w:r>
      <w:r>
        <w:rPr>
          <w:rFonts w:hint="eastAsia" w:ascii="宋体" w:hAnsi="宋体" w:cs="宋体"/>
          <w:color w:val="auto"/>
          <w:sz w:val="24"/>
          <w:szCs w:val="24"/>
          <w:highlight w:val="none"/>
          <w:u w:val="single"/>
        </w:rPr>
        <w:t xml:space="preserve">                        </w:t>
      </w:r>
    </w:p>
    <w:p w14:paraId="2875E965">
      <w:pPr>
        <w:spacing w:line="52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联系手机：</w:t>
      </w:r>
      <w:r>
        <w:rPr>
          <w:rFonts w:hint="eastAsia" w:ascii="宋体" w:hAnsi="宋体" w:cs="宋体"/>
          <w:color w:val="auto"/>
          <w:sz w:val="24"/>
          <w:szCs w:val="24"/>
          <w:highlight w:val="none"/>
          <w:u w:val="single"/>
        </w:rPr>
        <w:t xml:space="preserve">                        </w:t>
      </w:r>
    </w:p>
    <w:p w14:paraId="452ACC55">
      <w:pPr>
        <w:spacing w:line="520" w:lineRule="exact"/>
        <w:ind w:firstLine="1200" w:firstLineChars="500"/>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固定电话：</w:t>
      </w:r>
      <w:r>
        <w:rPr>
          <w:rFonts w:hint="eastAsia" w:ascii="宋体" w:hAnsi="宋体" w:cs="宋体"/>
          <w:color w:val="auto"/>
          <w:sz w:val="24"/>
          <w:szCs w:val="24"/>
          <w:highlight w:val="none"/>
          <w:u w:val="single"/>
        </w:rPr>
        <w:t xml:space="preserve">                         </w:t>
      </w:r>
    </w:p>
    <w:p w14:paraId="2E407254">
      <w:pPr>
        <w:spacing w:line="520" w:lineRule="exact"/>
        <w:ind w:firstLine="1084" w:firstLineChars="450"/>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代理人（被授权人）：</w:t>
      </w:r>
      <w:r>
        <w:rPr>
          <w:rFonts w:hint="eastAsia" w:ascii="宋体" w:hAnsi="宋体" w:cs="宋体"/>
          <w:color w:val="auto"/>
          <w:sz w:val="24"/>
          <w:szCs w:val="24"/>
          <w:highlight w:val="none"/>
          <w:u w:val="single"/>
        </w:rPr>
        <w:t xml:space="preserve">                     </w:t>
      </w:r>
    </w:p>
    <w:p w14:paraId="4E95B97F">
      <w:pPr>
        <w:spacing w:line="52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职    务：</w:t>
      </w:r>
      <w:r>
        <w:rPr>
          <w:rFonts w:hint="eastAsia" w:ascii="宋体" w:hAnsi="宋体" w:cs="宋体"/>
          <w:color w:val="auto"/>
          <w:sz w:val="24"/>
          <w:szCs w:val="24"/>
          <w:highlight w:val="none"/>
          <w:u w:val="single"/>
        </w:rPr>
        <w:t xml:space="preserve">                         </w:t>
      </w:r>
    </w:p>
    <w:p w14:paraId="0F42AE1D">
      <w:pPr>
        <w:spacing w:line="52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联系手机：</w:t>
      </w:r>
      <w:r>
        <w:rPr>
          <w:rFonts w:hint="eastAsia" w:ascii="宋体" w:hAnsi="宋体" w:cs="宋体"/>
          <w:color w:val="auto"/>
          <w:sz w:val="24"/>
          <w:szCs w:val="24"/>
          <w:highlight w:val="none"/>
          <w:u w:val="single"/>
        </w:rPr>
        <w:t xml:space="preserve">                          </w:t>
      </w:r>
    </w:p>
    <w:p w14:paraId="17232F7A">
      <w:pPr>
        <w:spacing w:line="520" w:lineRule="exact"/>
        <w:ind w:firstLine="1200" w:firstLineChars="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固定电话：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6CD5BA8">
      <w:pPr>
        <w:spacing w:line="520" w:lineRule="exact"/>
        <w:ind w:firstLine="4245" w:firstLineChars="1762"/>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rPr>
        <w:t>供应商公章：</w:t>
      </w:r>
    </w:p>
    <w:p w14:paraId="47D0B856">
      <w:pPr>
        <w:tabs>
          <w:tab w:val="left" w:pos="630"/>
        </w:tabs>
        <w:spacing w:line="520" w:lineRule="exact"/>
        <w:ind w:firstLine="4245" w:firstLineChars="176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日期：</w:t>
      </w:r>
    </w:p>
    <w:p w14:paraId="09811336">
      <w:pPr>
        <w:pStyle w:val="5"/>
        <w:spacing w:before="0" w:after="0" w:line="560" w:lineRule="exact"/>
        <w:rPr>
          <w:rFonts w:hint="eastAsia" w:ascii="宋体" w:hAnsi="宋体" w:eastAsia="宋体" w:cs="宋体"/>
          <w:color w:val="auto"/>
          <w:sz w:val="24"/>
          <w:szCs w:val="24"/>
          <w:highlight w:val="none"/>
        </w:rPr>
      </w:pPr>
      <w:bookmarkStart w:id="110" w:name="_Toc17226"/>
      <w:bookmarkStart w:id="111" w:name="_Toc23589"/>
      <w:r>
        <w:rPr>
          <w:rFonts w:hint="eastAsia" w:ascii="宋体" w:hAnsi="宋体" w:eastAsia="宋体" w:cs="宋体"/>
          <w:color w:val="auto"/>
          <w:sz w:val="24"/>
          <w:szCs w:val="24"/>
          <w:highlight w:val="none"/>
        </w:rPr>
        <w:br w:type="page"/>
      </w:r>
      <w:bookmarkStart w:id="112" w:name="_Toc17888"/>
      <w:r>
        <w:rPr>
          <w:rFonts w:hint="eastAsia" w:ascii="宋体" w:hAnsi="宋体" w:eastAsia="宋体" w:cs="宋体"/>
          <w:color w:val="auto"/>
          <w:sz w:val="24"/>
          <w:szCs w:val="24"/>
          <w:highlight w:val="none"/>
        </w:rPr>
        <w:t>附件四</w:t>
      </w:r>
      <w:bookmarkEnd w:id="110"/>
      <w:bookmarkEnd w:id="111"/>
      <w:bookmarkEnd w:id="112"/>
    </w:p>
    <w:p w14:paraId="540D49A5">
      <w:pPr>
        <w:pStyle w:val="5"/>
        <w:spacing w:before="0" w:after="156" w:afterLines="50" w:line="560" w:lineRule="exact"/>
        <w:jc w:val="center"/>
        <w:rPr>
          <w:rFonts w:hint="eastAsia" w:ascii="宋体" w:hAnsi="宋体" w:eastAsia="宋体" w:cs="宋体"/>
          <w:color w:val="auto"/>
          <w:sz w:val="24"/>
          <w:szCs w:val="24"/>
          <w:highlight w:val="none"/>
        </w:rPr>
      </w:pPr>
      <w:bookmarkStart w:id="113" w:name="_Toc29263"/>
      <w:bookmarkStart w:id="114" w:name="_Toc6278"/>
      <w:bookmarkStart w:id="115" w:name="_Toc28665"/>
      <w:bookmarkStart w:id="116" w:name="_Toc417045478"/>
      <w:r>
        <w:rPr>
          <w:rFonts w:hint="eastAsia" w:ascii="宋体" w:hAnsi="宋体" w:eastAsia="宋体" w:cs="宋体"/>
          <w:color w:val="auto"/>
          <w:sz w:val="24"/>
          <w:szCs w:val="24"/>
          <w:highlight w:val="none"/>
        </w:rPr>
        <w:t>磋商响应函</w:t>
      </w:r>
      <w:bookmarkEnd w:id="113"/>
      <w:bookmarkEnd w:id="114"/>
      <w:bookmarkEnd w:id="115"/>
    </w:p>
    <w:p w14:paraId="7C8A1A2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（采购人）</w:t>
      </w:r>
    </w:p>
    <w:p w14:paraId="5BA0D28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1、根据项目编号：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号磋商公告的内容，我方决定参加贵方组织的“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”项目的竞争性磋商采购。我方授权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(姓名)代表我方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（磋商单位的名称）全权处理本项目磋商的有关事宜。</w:t>
      </w:r>
    </w:p>
    <w:p w14:paraId="403DFC8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2、我方愿意按照磋商文件规定的各项要求，向采购人提供所需的服务。</w:t>
      </w:r>
    </w:p>
    <w:p w14:paraId="5130913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3、一旦我方成交，我方将严格履行合同规定的责任和义务，保证于采购人要求的日期内完成项目的全部内容，并通过采购人验收。</w:t>
      </w:r>
    </w:p>
    <w:p w14:paraId="6C46274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4、如我公司成交，我公司承诺愿意按磋商文件规定缴纳履约保证金。</w:t>
      </w:r>
    </w:p>
    <w:p w14:paraId="3D8419C9">
      <w:pPr>
        <w:tabs>
          <w:tab w:val="left" w:pos="840"/>
        </w:tabs>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24"/>
          <w:highlight w:val="none"/>
        </w:rPr>
        <w:t>5、我方愿意提供贵方可能另外要求的、与磋商有关的文件资料，并保证我方已提供和将要提供的文件是真实的、准确的。</w:t>
      </w:r>
    </w:p>
    <w:p w14:paraId="2FF9308D">
      <w:pPr>
        <w:tabs>
          <w:tab w:val="left" w:pos="84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6、我方承诺满足《中华人民共和国政府采购法》第二十二条规定。</w:t>
      </w:r>
    </w:p>
    <w:p w14:paraId="79E8451D">
      <w:pPr>
        <w:tabs>
          <w:tab w:val="left" w:pos="0"/>
          <w:tab w:val="left" w:pos="84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7、我方完全理解贵方不一定将合同授予最低报价的供应商。</w:t>
      </w:r>
    </w:p>
    <w:p w14:paraId="44B56BF1">
      <w:pPr>
        <w:tabs>
          <w:tab w:val="left" w:pos="0"/>
          <w:tab w:val="left" w:pos="840"/>
        </w:tabs>
        <w:spacing w:line="360" w:lineRule="auto"/>
        <w:jc w:val="left"/>
        <w:rPr>
          <w:rFonts w:hint="eastAsia" w:ascii="宋体" w:hAnsi="宋体" w:cs="宋体"/>
          <w:color w:val="auto"/>
          <w:sz w:val="24"/>
          <w:szCs w:val="24"/>
          <w:highlight w:val="none"/>
        </w:rPr>
      </w:pPr>
    </w:p>
    <w:p w14:paraId="77134B07">
      <w:pPr>
        <w:tabs>
          <w:tab w:val="left" w:pos="0"/>
          <w:tab w:val="left" w:pos="840"/>
        </w:tabs>
        <w:rPr>
          <w:rFonts w:hint="eastAsia" w:ascii="宋体" w:hAnsi="宋体" w:cs="宋体"/>
          <w:color w:val="auto"/>
          <w:sz w:val="24"/>
          <w:szCs w:val="24"/>
          <w:highlight w:val="none"/>
        </w:rPr>
      </w:pPr>
    </w:p>
    <w:p w14:paraId="2775E470">
      <w:pPr>
        <w:tabs>
          <w:tab w:val="left" w:pos="0"/>
          <w:tab w:val="left" w:pos="840"/>
        </w:tabs>
        <w:rPr>
          <w:rFonts w:hint="eastAsia" w:ascii="宋体" w:hAnsi="宋体" w:cs="宋体"/>
          <w:color w:val="auto"/>
          <w:sz w:val="24"/>
          <w:szCs w:val="24"/>
          <w:highlight w:val="none"/>
        </w:rPr>
      </w:pPr>
    </w:p>
    <w:p w14:paraId="109B23F2">
      <w:pPr>
        <w:tabs>
          <w:tab w:val="left" w:pos="0"/>
          <w:tab w:val="left" w:pos="840"/>
        </w:tabs>
        <w:rPr>
          <w:rFonts w:hint="eastAsia" w:ascii="宋体" w:hAnsi="宋体" w:cs="宋体"/>
          <w:color w:val="auto"/>
          <w:sz w:val="24"/>
          <w:szCs w:val="24"/>
          <w:highlight w:val="none"/>
        </w:rPr>
      </w:pPr>
    </w:p>
    <w:p w14:paraId="0D0AB54C">
      <w:pPr>
        <w:tabs>
          <w:tab w:val="left" w:pos="0"/>
          <w:tab w:val="left" w:pos="840"/>
        </w:tabs>
        <w:rPr>
          <w:rFonts w:hint="eastAsia" w:ascii="宋体" w:hAnsi="宋体" w:cs="宋体"/>
          <w:color w:val="auto"/>
          <w:sz w:val="24"/>
          <w:szCs w:val="24"/>
          <w:highlight w:val="none"/>
        </w:rPr>
      </w:pPr>
    </w:p>
    <w:p w14:paraId="3061355A">
      <w:pPr>
        <w:spacing w:line="360" w:lineRule="auto"/>
        <w:ind w:firstLine="4245" w:firstLineChars="1762"/>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rPr>
        <w:t>供应商公章：</w:t>
      </w:r>
    </w:p>
    <w:p w14:paraId="3179595B">
      <w:pPr>
        <w:tabs>
          <w:tab w:val="left" w:pos="630"/>
        </w:tabs>
        <w:spacing w:line="360" w:lineRule="auto"/>
        <w:ind w:firstLine="4245" w:firstLineChars="176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日期：</w:t>
      </w:r>
    </w:p>
    <w:p w14:paraId="7F36D234">
      <w:pPr>
        <w:pStyle w:val="5"/>
        <w:spacing w:before="0" w:after="0" w:line="560" w:lineRule="exact"/>
        <w:rPr>
          <w:rFonts w:hint="eastAsia" w:ascii="宋体" w:hAnsi="宋体" w:cs="宋体"/>
          <w:b/>
          <w:color w:val="auto"/>
          <w:sz w:val="28"/>
          <w:szCs w:val="28"/>
          <w:highlight w:val="none"/>
        </w:rPr>
      </w:pPr>
      <w:r>
        <w:rPr>
          <w:rFonts w:hint="eastAsia" w:ascii="宋体" w:hAnsi="宋体" w:eastAsia="宋体" w:cs="宋体"/>
          <w:color w:val="auto"/>
          <w:sz w:val="24"/>
          <w:szCs w:val="24"/>
          <w:highlight w:val="none"/>
        </w:rPr>
        <w:br w:type="page"/>
      </w:r>
      <w:bookmarkStart w:id="117" w:name="_Toc21593"/>
      <w:bookmarkStart w:id="118" w:name="_Toc16627"/>
      <w:bookmarkStart w:id="119" w:name="_Toc30354"/>
      <w:r>
        <w:rPr>
          <w:rFonts w:hint="eastAsia" w:ascii="宋体" w:hAnsi="宋体" w:eastAsia="宋体" w:cs="宋体"/>
          <w:color w:val="auto"/>
          <w:sz w:val="24"/>
          <w:szCs w:val="24"/>
          <w:highlight w:val="none"/>
        </w:rPr>
        <w:t>附件</w:t>
      </w:r>
      <w:bookmarkEnd w:id="116"/>
      <w:r>
        <w:rPr>
          <w:rFonts w:hint="eastAsia" w:ascii="宋体" w:hAnsi="宋体" w:eastAsia="宋体" w:cs="宋体"/>
          <w:color w:val="auto"/>
          <w:sz w:val="24"/>
          <w:szCs w:val="24"/>
          <w:highlight w:val="none"/>
        </w:rPr>
        <w:t>五</w:t>
      </w:r>
      <w:bookmarkEnd w:id="117"/>
      <w:bookmarkEnd w:id="118"/>
      <w:bookmarkEnd w:id="119"/>
      <w:bookmarkStart w:id="120" w:name="_Toc10256"/>
      <w:bookmarkStart w:id="121" w:name="_Toc26881"/>
      <w:bookmarkStart w:id="122" w:name="_Toc26949"/>
    </w:p>
    <w:p w14:paraId="433CBA1C">
      <w:pPr>
        <w:pStyle w:val="2"/>
        <w:ind w:firstLine="2891" w:firstLineChars="1200"/>
        <w:rPr>
          <w:rFonts w:hint="eastAsia" w:ascii="宋体" w:hAnsi="宋体" w:cs="宋体"/>
          <w:b/>
          <w:color w:val="auto"/>
          <w:szCs w:val="24"/>
          <w:highlight w:val="none"/>
          <w:lang w:val="zh-CN"/>
        </w:rPr>
      </w:pPr>
      <w:bookmarkStart w:id="123" w:name="_Hlk77793942"/>
      <w:r>
        <w:rPr>
          <w:rFonts w:hint="eastAsia" w:ascii="宋体" w:hAnsi="宋体" w:cs="宋体"/>
          <w:b/>
          <w:color w:val="auto"/>
          <w:szCs w:val="24"/>
          <w:highlight w:val="none"/>
          <w:lang w:val="zh-CN"/>
        </w:rPr>
        <w:t>无重大违法记录声明函</w:t>
      </w:r>
    </w:p>
    <w:p w14:paraId="69461B31">
      <w:pPr>
        <w:pStyle w:val="2"/>
        <w:ind w:firstLine="480" w:firstLineChars="200"/>
        <w:rPr>
          <w:rFonts w:hint="eastAsia" w:ascii="宋体" w:hAnsi="宋体" w:cs="宋体"/>
          <w:color w:val="auto"/>
          <w:szCs w:val="24"/>
          <w:highlight w:val="none"/>
        </w:rPr>
      </w:pPr>
      <w:bookmarkStart w:id="124" w:name="_Hlk77793969"/>
      <w:r>
        <w:rPr>
          <w:rFonts w:hint="eastAsia" w:ascii="宋体" w:hAnsi="宋体" w:cs="宋体"/>
          <w:color w:val="auto"/>
          <w:szCs w:val="24"/>
          <w:highlight w:val="none"/>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46A8FD86">
      <w:pPr>
        <w:spacing w:line="360"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本公司对上述声明的真实性负责。如有虚假，将依法承担相应责任。</w:t>
      </w:r>
    </w:p>
    <w:p w14:paraId="190A36BC">
      <w:pPr>
        <w:pStyle w:val="2"/>
        <w:rPr>
          <w:rFonts w:hint="eastAsia"/>
        </w:rPr>
      </w:pPr>
    </w:p>
    <w:p w14:paraId="71AA1AA4">
      <w:pPr>
        <w:spacing w:line="360" w:lineRule="auto"/>
        <w:ind w:firstLine="5428" w:firstLineChars="2262"/>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供应商公章：</w:t>
      </w:r>
    </w:p>
    <w:p w14:paraId="0CE4379A">
      <w:pPr>
        <w:tabs>
          <w:tab w:val="left" w:pos="630"/>
        </w:tabs>
        <w:spacing w:line="360" w:lineRule="auto"/>
        <w:ind w:firstLine="5428" w:firstLineChars="2262"/>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日期：</w:t>
      </w:r>
    </w:p>
    <w:bookmarkEnd w:id="124"/>
    <w:p w14:paraId="440C05D5">
      <w:pPr>
        <w:pStyle w:val="2"/>
        <w:ind w:firstLine="210"/>
        <w:rPr>
          <w:rFonts w:hint="eastAsia" w:ascii="宋体" w:hAnsi="宋体" w:cs="宋体"/>
          <w:color w:val="auto"/>
          <w:highlight w:val="none"/>
        </w:rPr>
      </w:pPr>
    </w:p>
    <w:p w14:paraId="4B85AF8F">
      <w:pPr>
        <w:pStyle w:val="2"/>
        <w:ind w:firstLine="210"/>
        <w:rPr>
          <w:rFonts w:hint="eastAsia" w:ascii="宋体" w:hAnsi="宋体" w:cs="宋体"/>
          <w:color w:val="auto"/>
          <w:highlight w:val="none"/>
        </w:rPr>
      </w:pPr>
    </w:p>
    <w:p w14:paraId="16F8F0F1">
      <w:pPr>
        <w:tabs>
          <w:tab w:val="left" w:pos="630"/>
        </w:tabs>
        <w:spacing w:after="156" w:afterLines="50" w:line="360" w:lineRule="auto"/>
        <w:ind w:firstLine="3188" w:firstLineChars="1323"/>
        <w:rPr>
          <w:rFonts w:hint="eastAsia" w:ascii="宋体" w:hAnsi="宋体" w:cs="宋体"/>
          <w:color w:val="auto"/>
          <w:sz w:val="24"/>
          <w:szCs w:val="24"/>
          <w:highlight w:val="none"/>
        </w:rPr>
      </w:pPr>
      <w:r>
        <w:rPr>
          <w:rFonts w:hint="eastAsia" w:ascii="宋体" w:hAnsi="宋体" w:cs="宋体"/>
          <w:b/>
          <w:color w:val="auto"/>
          <w:sz w:val="24"/>
          <w:szCs w:val="24"/>
          <w:highlight w:val="none"/>
          <w:lang w:val="zh-CN"/>
        </w:rPr>
        <w:t>无不良信用记录承诺函</w:t>
      </w:r>
    </w:p>
    <w:p w14:paraId="76AFCF83">
      <w:pPr>
        <w:spacing w:line="360" w:lineRule="auto"/>
        <w:ind w:firstLine="435"/>
        <w:rPr>
          <w:rFonts w:hint="eastAsia" w:ascii="宋体" w:hAnsi="宋体" w:cs="宋体"/>
          <w:color w:val="auto"/>
          <w:sz w:val="24"/>
          <w:szCs w:val="24"/>
          <w:highlight w:val="none"/>
        </w:rPr>
      </w:pPr>
      <w:bookmarkStart w:id="125" w:name="_Hlk77794010"/>
      <w:r>
        <w:rPr>
          <w:rFonts w:hint="eastAsia" w:ascii="宋体" w:hAnsi="宋体" w:cs="宋体"/>
          <w:color w:val="auto"/>
          <w:sz w:val="24"/>
          <w:szCs w:val="24"/>
          <w:highlight w:val="none"/>
        </w:rPr>
        <w:t>本公司郑重承诺，我公司无以下不良信用记录情形：</w:t>
      </w:r>
    </w:p>
    <w:p w14:paraId="574D66D6">
      <w:pPr>
        <w:spacing w:line="360"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1、公司被人民法院列入失信被执行人；</w:t>
      </w:r>
    </w:p>
    <w:p w14:paraId="3BE65509">
      <w:pPr>
        <w:spacing w:line="360"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2、公司被市场监督管理部门列入严重违法失信企业名录；</w:t>
      </w:r>
    </w:p>
    <w:p w14:paraId="2858C0D2">
      <w:pPr>
        <w:spacing w:line="360"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3、公司被税务部门列入重大税收违法案件当事人名单的；</w:t>
      </w:r>
    </w:p>
    <w:p w14:paraId="035AC34C">
      <w:pPr>
        <w:spacing w:line="360"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4、公司被政府采购监管部门列入政府采购严重违法失信行为记录名单。</w:t>
      </w:r>
    </w:p>
    <w:p w14:paraId="000528BB">
      <w:pPr>
        <w:spacing w:line="360"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我公司承诺：合同签订前，若我公司具有不良信用记录情形，贵方可取消我公司成交资格或者不授予合同，所有责任由我公司自行承担。同时，我公司愿意无条件接受监管部门的调查处理。 </w:t>
      </w:r>
    </w:p>
    <w:p w14:paraId="69014F8C">
      <w:pPr>
        <w:pStyle w:val="2"/>
        <w:rPr>
          <w:rFonts w:hint="eastAsia"/>
        </w:rPr>
      </w:pPr>
    </w:p>
    <w:p w14:paraId="760786AD">
      <w:pPr>
        <w:spacing w:line="360" w:lineRule="auto"/>
        <w:ind w:firstLine="5428" w:firstLineChars="2262"/>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供应商公章：</w:t>
      </w:r>
    </w:p>
    <w:p w14:paraId="068EF0C4">
      <w:pPr>
        <w:tabs>
          <w:tab w:val="left" w:pos="630"/>
        </w:tabs>
        <w:spacing w:line="360" w:lineRule="auto"/>
        <w:ind w:firstLine="5428" w:firstLineChars="2262"/>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日期：</w:t>
      </w:r>
      <w:bookmarkEnd w:id="120"/>
      <w:bookmarkEnd w:id="121"/>
      <w:bookmarkEnd w:id="122"/>
      <w:bookmarkEnd w:id="123"/>
      <w:bookmarkEnd w:id="125"/>
      <w:bookmarkStart w:id="126" w:name="_Toc363199274"/>
      <w:r>
        <w:rPr>
          <w:rFonts w:hint="eastAsia" w:ascii="宋体" w:hAnsi="宋体" w:cs="宋体"/>
          <w:color w:val="auto"/>
          <w:sz w:val="24"/>
          <w:szCs w:val="24"/>
          <w:highlight w:val="none"/>
        </w:rPr>
        <w:br w:type="page"/>
      </w:r>
      <w:bookmarkStart w:id="127" w:name="_Toc18709"/>
      <w:bookmarkStart w:id="128" w:name="_Toc17797"/>
      <w:bookmarkStart w:id="129" w:name="_Toc20743"/>
      <w:r>
        <w:rPr>
          <w:rFonts w:hint="eastAsia" w:ascii="宋体" w:hAnsi="宋体" w:cs="宋体"/>
          <w:b/>
          <w:color w:val="auto"/>
          <w:sz w:val="24"/>
          <w:szCs w:val="24"/>
          <w:highlight w:val="none"/>
        </w:rPr>
        <w:t>附件</w:t>
      </w:r>
      <w:bookmarkEnd w:id="126"/>
      <w:r>
        <w:rPr>
          <w:rFonts w:hint="eastAsia" w:ascii="宋体" w:hAnsi="宋体" w:cs="宋体"/>
          <w:b/>
          <w:color w:val="auto"/>
          <w:sz w:val="24"/>
          <w:szCs w:val="24"/>
          <w:highlight w:val="none"/>
        </w:rPr>
        <w:t>六</w:t>
      </w:r>
      <w:bookmarkEnd w:id="127"/>
      <w:bookmarkEnd w:id="128"/>
      <w:bookmarkEnd w:id="129"/>
    </w:p>
    <w:p w14:paraId="7B95B36B">
      <w:pPr>
        <w:pStyle w:val="5"/>
        <w:spacing w:before="0" w:after="0" w:line="560" w:lineRule="exact"/>
        <w:jc w:val="center"/>
        <w:rPr>
          <w:rFonts w:hint="eastAsia" w:ascii="宋体" w:hAnsi="宋体" w:eastAsia="宋体" w:cs="宋体"/>
          <w:color w:val="auto"/>
          <w:sz w:val="24"/>
          <w:szCs w:val="24"/>
          <w:highlight w:val="none"/>
          <w:lang w:val="zh-CN"/>
        </w:rPr>
      </w:pPr>
      <w:bookmarkStart w:id="130" w:name="_Toc18402"/>
      <w:bookmarkStart w:id="131" w:name="_Toc25238"/>
      <w:bookmarkStart w:id="132" w:name="_Toc30075"/>
      <w:r>
        <w:rPr>
          <w:rFonts w:hint="eastAsia" w:ascii="宋体" w:hAnsi="宋体" w:eastAsia="宋体" w:cs="宋体"/>
          <w:color w:val="auto"/>
          <w:sz w:val="24"/>
          <w:szCs w:val="24"/>
          <w:highlight w:val="none"/>
          <w:lang w:val="zh-CN"/>
        </w:rPr>
        <w:t>响应情况表</w:t>
      </w:r>
      <w:bookmarkEnd w:id="130"/>
      <w:bookmarkEnd w:id="131"/>
      <w:bookmarkEnd w:id="132"/>
    </w:p>
    <w:p w14:paraId="3F6DEA13">
      <w:pPr>
        <w:jc w:val="center"/>
        <w:rPr>
          <w:rFonts w:hint="eastAsia" w:ascii="宋体" w:hAnsi="宋体" w:cs="宋体"/>
          <w:bCs/>
          <w:color w:val="auto"/>
          <w:sz w:val="24"/>
          <w:szCs w:val="24"/>
          <w:highlight w:val="none"/>
          <w:lang w:val="zh-CN"/>
        </w:rPr>
      </w:pPr>
    </w:p>
    <w:tbl>
      <w:tblPr>
        <w:tblStyle w:val="14"/>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39"/>
        <w:gridCol w:w="1791"/>
        <w:gridCol w:w="2193"/>
        <w:gridCol w:w="2219"/>
        <w:gridCol w:w="1975"/>
      </w:tblGrid>
      <w:tr w14:paraId="450E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29" w:hRule="atLeast"/>
          <w:jc w:val="center"/>
        </w:trPr>
        <w:tc>
          <w:tcPr>
            <w:tcW w:w="4823" w:type="dxa"/>
            <w:gridSpan w:val="3"/>
            <w:vAlign w:val="center"/>
          </w:tcPr>
          <w:p w14:paraId="78D990B6">
            <w:pPr>
              <w:jc w:val="center"/>
              <w:rPr>
                <w:rFonts w:hint="eastAsia" w:ascii="宋体" w:hAnsi="宋体" w:cs="宋体"/>
                <w:b/>
                <w:color w:val="auto"/>
                <w:sz w:val="24"/>
                <w:szCs w:val="21"/>
                <w:highlight w:val="none"/>
              </w:rPr>
            </w:pPr>
            <w:bookmarkStart w:id="133" w:name="_Toc471299110"/>
            <w:r>
              <w:rPr>
                <w:rFonts w:hint="eastAsia" w:ascii="宋体" w:hAnsi="宋体" w:cs="宋体"/>
                <w:b/>
                <w:color w:val="auto"/>
                <w:sz w:val="24"/>
                <w:szCs w:val="21"/>
                <w:highlight w:val="none"/>
              </w:rPr>
              <w:t>按磋商文件规定填写</w:t>
            </w:r>
          </w:p>
        </w:tc>
        <w:tc>
          <w:tcPr>
            <w:tcW w:w="4194" w:type="dxa"/>
            <w:gridSpan w:val="2"/>
            <w:vAlign w:val="center"/>
          </w:tcPr>
          <w:p w14:paraId="75CA7702">
            <w:pPr>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按供应商所投内容填写</w:t>
            </w:r>
          </w:p>
        </w:tc>
      </w:tr>
      <w:tr w14:paraId="12A2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804" w:hRule="atLeast"/>
          <w:jc w:val="center"/>
        </w:trPr>
        <w:tc>
          <w:tcPr>
            <w:tcW w:w="839" w:type="dxa"/>
            <w:vAlign w:val="center"/>
          </w:tcPr>
          <w:p w14:paraId="281C112A">
            <w:pPr>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序号</w:t>
            </w:r>
          </w:p>
        </w:tc>
        <w:tc>
          <w:tcPr>
            <w:tcW w:w="1791" w:type="dxa"/>
            <w:vAlign w:val="center"/>
          </w:tcPr>
          <w:p w14:paraId="0465C0B3">
            <w:pPr>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内容</w:t>
            </w:r>
          </w:p>
        </w:tc>
        <w:tc>
          <w:tcPr>
            <w:tcW w:w="2193" w:type="dxa"/>
            <w:vAlign w:val="center"/>
          </w:tcPr>
          <w:p w14:paraId="67F37644">
            <w:pPr>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磋商文件要求</w:t>
            </w:r>
          </w:p>
        </w:tc>
        <w:tc>
          <w:tcPr>
            <w:tcW w:w="2219" w:type="dxa"/>
            <w:vAlign w:val="center"/>
          </w:tcPr>
          <w:p w14:paraId="5E9AB9AA">
            <w:pPr>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响应承诺</w:t>
            </w:r>
          </w:p>
        </w:tc>
        <w:tc>
          <w:tcPr>
            <w:tcW w:w="1975" w:type="dxa"/>
            <w:vAlign w:val="center"/>
          </w:tcPr>
          <w:p w14:paraId="30CCF5EC">
            <w:pPr>
              <w:jc w:val="center"/>
              <w:rPr>
                <w:rFonts w:hint="eastAsia" w:ascii="宋体" w:hAnsi="宋体" w:cs="宋体"/>
                <w:b/>
                <w:color w:val="auto"/>
                <w:sz w:val="24"/>
                <w:szCs w:val="21"/>
                <w:highlight w:val="none"/>
              </w:rPr>
            </w:pPr>
            <w:r>
              <w:rPr>
                <w:rFonts w:hint="eastAsia" w:ascii="宋体" w:hAnsi="宋体" w:cs="宋体"/>
                <w:b/>
                <w:color w:val="auto"/>
                <w:sz w:val="24"/>
                <w:szCs w:val="21"/>
                <w:highlight w:val="none"/>
              </w:rPr>
              <w:t>偏离说明</w:t>
            </w:r>
          </w:p>
        </w:tc>
      </w:tr>
      <w:tr w14:paraId="4EF8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0" w:hRule="atLeast"/>
          <w:jc w:val="center"/>
        </w:trPr>
        <w:tc>
          <w:tcPr>
            <w:tcW w:w="839" w:type="dxa"/>
            <w:vAlign w:val="center"/>
          </w:tcPr>
          <w:p w14:paraId="69EBF3C6">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791" w:type="dxa"/>
            <w:vAlign w:val="center"/>
          </w:tcPr>
          <w:p w14:paraId="41A6C809">
            <w:pPr>
              <w:jc w:val="center"/>
              <w:rPr>
                <w:rFonts w:hint="eastAsia" w:ascii="宋体" w:hAnsi="宋体" w:cs="宋体"/>
                <w:color w:val="auto"/>
                <w:sz w:val="24"/>
                <w:szCs w:val="24"/>
                <w:highlight w:val="none"/>
              </w:rPr>
            </w:pPr>
            <w:r>
              <w:rPr>
                <w:rFonts w:hint="eastAsia" w:ascii="宋体" w:hAnsi="宋体" w:cs="宋体"/>
                <w:color w:val="auto"/>
                <w:sz w:val="24"/>
                <w:szCs w:val="28"/>
                <w:highlight w:val="none"/>
              </w:rPr>
              <w:t>付款响应</w:t>
            </w:r>
          </w:p>
        </w:tc>
        <w:tc>
          <w:tcPr>
            <w:tcW w:w="2193" w:type="dxa"/>
            <w:vAlign w:val="center"/>
          </w:tcPr>
          <w:p w14:paraId="7123939A">
            <w:pPr>
              <w:rPr>
                <w:rFonts w:hint="eastAsia" w:ascii="宋体" w:hAnsi="宋体" w:cs="宋体"/>
                <w:color w:val="auto"/>
                <w:sz w:val="24"/>
                <w:szCs w:val="24"/>
                <w:highlight w:val="none"/>
              </w:rPr>
            </w:pPr>
          </w:p>
        </w:tc>
        <w:tc>
          <w:tcPr>
            <w:tcW w:w="2219" w:type="dxa"/>
            <w:vAlign w:val="center"/>
          </w:tcPr>
          <w:p w14:paraId="0B477774">
            <w:pPr>
              <w:rPr>
                <w:rFonts w:hint="eastAsia" w:ascii="宋体" w:hAnsi="宋体" w:cs="宋体"/>
                <w:color w:val="auto"/>
                <w:sz w:val="24"/>
                <w:szCs w:val="24"/>
                <w:highlight w:val="none"/>
              </w:rPr>
            </w:pPr>
          </w:p>
        </w:tc>
        <w:tc>
          <w:tcPr>
            <w:tcW w:w="1975" w:type="dxa"/>
            <w:vAlign w:val="center"/>
          </w:tcPr>
          <w:p w14:paraId="4AB77CAB">
            <w:pPr>
              <w:rPr>
                <w:rFonts w:hint="eastAsia" w:ascii="宋体" w:hAnsi="宋体" w:cs="宋体"/>
                <w:color w:val="auto"/>
                <w:sz w:val="24"/>
                <w:szCs w:val="24"/>
                <w:highlight w:val="none"/>
              </w:rPr>
            </w:pPr>
          </w:p>
        </w:tc>
      </w:tr>
      <w:tr w14:paraId="702E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0" w:hRule="atLeast"/>
          <w:jc w:val="center"/>
        </w:trPr>
        <w:tc>
          <w:tcPr>
            <w:tcW w:w="839" w:type="dxa"/>
            <w:vAlign w:val="center"/>
          </w:tcPr>
          <w:p w14:paraId="785677E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791" w:type="dxa"/>
            <w:vAlign w:val="center"/>
          </w:tcPr>
          <w:p w14:paraId="20CF9A72">
            <w:pPr>
              <w:jc w:val="center"/>
              <w:rPr>
                <w:rFonts w:hint="eastAsia" w:ascii="宋体" w:hAnsi="宋体" w:cs="宋体"/>
                <w:color w:val="auto"/>
                <w:sz w:val="24"/>
                <w:szCs w:val="24"/>
                <w:highlight w:val="none"/>
              </w:rPr>
            </w:pPr>
            <w:r>
              <w:rPr>
                <w:rFonts w:hint="eastAsia" w:ascii="宋体" w:hAnsi="宋体" w:cs="宋体"/>
                <w:color w:val="auto"/>
                <w:sz w:val="24"/>
                <w:szCs w:val="28"/>
                <w:highlight w:val="none"/>
              </w:rPr>
              <w:t>服务期响应</w:t>
            </w:r>
          </w:p>
        </w:tc>
        <w:tc>
          <w:tcPr>
            <w:tcW w:w="2193" w:type="dxa"/>
            <w:vAlign w:val="center"/>
          </w:tcPr>
          <w:p w14:paraId="02A6438F">
            <w:pPr>
              <w:rPr>
                <w:rFonts w:hint="eastAsia" w:ascii="宋体" w:hAnsi="宋体" w:cs="宋体"/>
                <w:color w:val="auto"/>
                <w:sz w:val="24"/>
                <w:szCs w:val="24"/>
                <w:highlight w:val="none"/>
              </w:rPr>
            </w:pPr>
          </w:p>
        </w:tc>
        <w:tc>
          <w:tcPr>
            <w:tcW w:w="2219" w:type="dxa"/>
            <w:vAlign w:val="center"/>
          </w:tcPr>
          <w:p w14:paraId="16ABA9C1">
            <w:pPr>
              <w:rPr>
                <w:rFonts w:hint="eastAsia" w:ascii="宋体" w:hAnsi="宋体" w:cs="宋体"/>
                <w:color w:val="auto"/>
                <w:sz w:val="24"/>
                <w:szCs w:val="24"/>
                <w:highlight w:val="none"/>
              </w:rPr>
            </w:pPr>
          </w:p>
        </w:tc>
        <w:tc>
          <w:tcPr>
            <w:tcW w:w="1975" w:type="dxa"/>
            <w:vAlign w:val="center"/>
          </w:tcPr>
          <w:p w14:paraId="5CBDAF18">
            <w:pPr>
              <w:rPr>
                <w:rFonts w:hint="eastAsia" w:ascii="宋体" w:hAnsi="宋体" w:cs="宋体"/>
                <w:color w:val="auto"/>
                <w:sz w:val="24"/>
                <w:szCs w:val="24"/>
                <w:highlight w:val="none"/>
              </w:rPr>
            </w:pPr>
          </w:p>
        </w:tc>
      </w:tr>
      <w:tr w14:paraId="67DD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0" w:hRule="atLeast"/>
          <w:jc w:val="center"/>
        </w:trPr>
        <w:tc>
          <w:tcPr>
            <w:tcW w:w="839" w:type="dxa"/>
            <w:vAlign w:val="center"/>
          </w:tcPr>
          <w:p w14:paraId="21043A0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791" w:type="dxa"/>
            <w:vAlign w:val="center"/>
          </w:tcPr>
          <w:p w14:paraId="51CF442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服务内容响应</w:t>
            </w:r>
          </w:p>
        </w:tc>
        <w:tc>
          <w:tcPr>
            <w:tcW w:w="2193" w:type="dxa"/>
            <w:vAlign w:val="center"/>
          </w:tcPr>
          <w:p w14:paraId="02F92079">
            <w:pPr>
              <w:rPr>
                <w:rFonts w:hint="eastAsia" w:ascii="宋体" w:hAnsi="宋体" w:cs="宋体"/>
                <w:color w:val="auto"/>
                <w:sz w:val="24"/>
                <w:szCs w:val="24"/>
                <w:highlight w:val="none"/>
              </w:rPr>
            </w:pPr>
          </w:p>
        </w:tc>
        <w:tc>
          <w:tcPr>
            <w:tcW w:w="2219" w:type="dxa"/>
            <w:vAlign w:val="center"/>
          </w:tcPr>
          <w:p w14:paraId="59A26C38">
            <w:pPr>
              <w:rPr>
                <w:rFonts w:hint="eastAsia" w:ascii="宋体" w:hAnsi="宋体" w:cs="宋体"/>
                <w:color w:val="auto"/>
                <w:sz w:val="24"/>
                <w:szCs w:val="24"/>
                <w:highlight w:val="none"/>
              </w:rPr>
            </w:pPr>
          </w:p>
        </w:tc>
        <w:tc>
          <w:tcPr>
            <w:tcW w:w="1975" w:type="dxa"/>
            <w:vAlign w:val="center"/>
          </w:tcPr>
          <w:p w14:paraId="3D2FD6B9">
            <w:pPr>
              <w:rPr>
                <w:rFonts w:hint="eastAsia" w:ascii="宋体" w:hAnsi="宋体" w:cs="宋体"/>
                <w:color w:val="auto"/>
                <w:sz w:val="24"/>
                <w:szCs w:val="24"/>
                <w:highlight w:val="none"/>
              </w:rPr>
            </w:pPr>
          </w:p>
        </w:tc>
      </w:tr>
      <w:tr w14:paraId="2099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60" w:hRule="atLeast"/>
          <w:jc w:val="center"/>
        </w:trPr>
        <w:tc>
          <w:tcPr>
            <w:tcW w:w="839" w:type="dxa"/>
            <w:vAlign w:val="center"/>
          </w:tcPr>
          <w:p w14:paraId="20675D4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791" w:type="dxa"/>
            <w:vAlign w:val="center"/>
          </w:tcPr>
          <w:p w14:paraId="7CBAEC3C">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w:t>
            </w:r>
          </w:p>
        </w:tc>
        <w:tc>
          <w:tcPr>
            <w:tcW w:w="2193" w:type="dxa"/>
            <w:vAlign w:val="center"/>
          </w:tcPr>
          <w:p w14:paraId="0F1C2F1D">
            <w:pPr>
              <w:rPr>
                <w:rFonts w:hint="eastAsia" w:ascii="宋体" w:hAnsi="宋体" w:cs="宋体"/>
                <w:color w:val="auto"/>
                <w:sz w:val="24"/>
                <w:szCs w:val="24"/>
                <w:highlight w:val="none"/>
              </w:rPr>
            </w:pPr>
          </w:p>
        </w:tc>
        <w:tc>
          <w:tcPr>
            <w:tcW w:w="2219" w:type="dxa"/>
            <w:vAlign w:val="center"/>
          </w:tcPr>
          <w:p w14:paraId="66C418CA">
            <w:pPr>
              <w:rPr>
                <w:rFonts w:hint="eastAsia" w:ascii="宋体" w:hAnsi="宋体" w:cs="宋体"/>
                <w:color w:val="auto"/>
                <w:sz w:val="24"/>
                <w:szCs w:val="24"/>
                <w:highlight w:val="none"/>
              </w:rPr>
            </w:pPr>
          </w:p>
        </w:tc>
        <w:tc>
          <w:tcPr>
            <w:tcW w:w="1975" w:type="dxa"/>
            <w:vAlign w:val="center"/>
          </w:tcPr>
          <w:p w14:paraId="774822EC">
            <w:pPr>
              <w:rPr>
                <w:rFonts w:hint="eastAsia" w:ascii="宋体" w:hAnsi="宋体" w:cs="宋体"/>
                <w:color w:val="auto"/>
                <w:sz w:val="24"/>
                <w:szCs w:val="24"/>
                <w:highlight w:val="none"/>
              </w:rPr>
            </w:pPr>
          </w:p>
        </w:tc>
      </w:tr>
    </w:tbl>
    <w:p w14:paraId="48956B6A">
      <w:pPr>
        <w:snapToGrid w:val="0"/>
        <w:spacing w:line="360" w:lineRule="auto"/>
        <w:rPr>
          <w:rFonts w:hint="eastAsia" w:ascii="宋体" w:hAnsi="宋体" w:cs="宋体"/>
          <w:color w:val="auto"/>
          <w:sz w:val="24"/>
          <w:szCs w:val="24"/>
          <w:highlight w:val="none"/>
        </w:rPr>
      </w:pPr>
    </w:p>
    <w:p w14:paraId="07C9FCA6">
      <w:pPr>
        <w:snapToGrid w:val="0"/>
        <w:spacing w:line="460" w:lineRule="exact"/>
        <w:rPr>
          <w:rFonts w:hint="eastAsia" w:ascii="宋体" w:hAnsi="宋体" w:cs="宋体"/>
          <w:b/>
          <w:bCs/>
          <w:color w:val="auto"/>
          <w:sz w:val="24"/>
          <w:szCs w:val="24"/>
          <w:highlight w:val="none"/>
        </w:rPr>
      </w:pPr>
    </w:p>
    <w:p w14:paraId="268224FB">
      <w:pPr>
        <w:snapToGrid w:val="0"/>
        <w:spacing w:line="46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供应商公章：</w:t>
      </w:r>
    </w:p>
    <w:p w14:paraId="67253790">
      <w:pPr>
        <w:spacing w:line="460" w:lineRule="exact"/>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日期：   年   月   日</w:t>
      </w:r>
    </w:p>
    <w:p w14:paraId="4BB78DB3">
      <w:pPr>
        <w:spacing w:line="460" w:lineRule="exact"/>
        <w:rPr>
          <w:rFonts w:hint="eastAsia" w:ascii="宋体" w:hAnsi="宋体" w:cs="宋体"/>
          <w:color w:val="auto"/>
          <w:sz w:val="24"/>
          <w:szCs w:val="24"/>
          <w:highlight w:val="none"/>
        </w:rPr>
      </w:pPr>
    </w:p>
    <w:p w14:paraId="07D4EC2E">
      <w:pPr>
        <w:pStyle w:val="5"/>
        <w:spacing w:before="120" w:after="120"/>
        <w:rPr>
          <w:rFonts w:hint="eastAsia" w:ascii="宋体" w:hAnsi="宋体" w:eastAsia="宋体" w:cs="宋体"/>
          <w:color w:val="auto"/>
          <w:sz w:val="24"/>
          <w:szCs w:val="28"/>
          <w:highlight w:val="none"/>
        </w:rPr>
      </w:pPr>
      <w:r>
        <w:rPr>
          <w:rFonts w:hint="eastAsia" w:ascii="宋体" w:hAnsi="宋体" w:eastAsia="宋体" w:cs="宋体"/>
          <w:bCs/>
          <w:color w:val="auto"/>
          <w:sz w:val="24"/>
          <w:szCs w:val="24"/>
          <w:highlight w:val="none"/>
        </w:rPr>
        <w:t>注：</w:t>
      </w:r>
      <w:r>
        <w:rPr>
          <w:rFonts w:hint="eastAsia" w:ascii="宋体" w:hAnsi="宋体" w:eastAsia="宋体" w:cs="宋体"/>
          <w:color w:val="auto"/>
          <w:sz w:val="24"/>
          <w:szCs w:val="28"/>
          <w:highlight w:val="none"/>
        </w:rPr>
        <w:t>提供的服务满足采购需求；付款及服务期等均应响应磋商文件要求。</w:t>
      </w:r>
      <w:bookmarkEnd w:id="133"/>
    </w:p>
    <w:p w14:paraId="4AF9946C">
      <w:pPr>
        <w:rPr>
          <w:rFonts w:hint="eastAsia" w:ascii="宋体" w:hAnsi="宋体" w:cs="宋体"/>
          <w:color w:val="auto"/>
          <w:sz w:val="24"/>
          <w:szCs w:val="28"/>
          <w:highlight w:val="none"/>
        </w:rPr>
      </w:pPr>
      <w:r>
        <w:rPr>
          <w:rFonts w:hint="eastAsia" w:ascii="宋体" w:hAnsi="宋体" w:cs="宋体"/>
          <w:color w:val="auto"/>
          <w:sz w:val="24"/>
          <w:szCs w:val="28"/>
          <w:highlight w:val="none"/>
        </w:rPr>
        <w:br w:type="page"/>
      </w:r>
    </w:p>
    <w:p w14:paraId="3788962A">
      <w:pPr>
        <w:pStyle w:val="5"/>
        <w:spacing w:before="120" w:after="1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附件七</w:t>
      </w:r>
    </w:p>
    <w:p w14:paraId="449703C1">
      <w:pPr>
        <w:autoSpaceDE w:val="0"/>
        <w:spacing w:line="480" w:lineRule="exact"/>
        <w:ind w:right="104"/>
        <w:jc w:val="center"/>
        <w:rPr>
          <w:rFonts w:hint="eastAsia" w:ascii="仿宋_GB2312" w:hAnsi="仿宋_GB2312"/>
          <w:color w:val="auto"/>
          <w:sz w:val="28"/>
          <w:szCs w:val="28"/>
          <w:highlight w:val="none"/>
        </w:rPr>
      </w:pPr>
      <w:bookmarkStart w:id="134" w:name="_Toc22695"/>
      <w:r>
        <w:rPr>
          <w:rStyle w:val="37"/>
          <w:rFonts w:hint="eastAsia" w:ascii="宋体" w:hAnsi="宋体" w:eastAsia="宋体" w:cs="宋体"/>
          <w:bCs/>
          <w:color w:val="auto"/>
          <w:kern w:val="2"/>
          <w:sz w:val="24"/>
          <w:szCs w:val="24"/>
          <w:highlight w:val="none"/>
        </w:rPr>
        <w:t>中小企业声明函</w:t>
      </w:r>
      <w:bookmarkEnd w:id="134"/>
    </w:p>
    <w:p w14:paraId="7CFDE475">
      <w:pPr>
        <w:autoSpaceDE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 xml:space="preserve"> 采购活动 ，工程的施工单位全部为符合政策要求的中小企业（或者：服务全部由符合政策要求的中小企业承接）。相关企业（含联合体中的中小企业、签订分包意向协议的中小企业）的具体情况如下：</w:t>
      </w:r>
    </w:p>
    <w:p w14:paraId="3321FF95">
      <w:pPr>
        <w:autoSpaceDE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p>
    <w:p w14:paraId="73AF2170">
      <w:pPr>
        <w:autoSpaceDE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；承建（承接）企业为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（中型企业、小型企业、微型企业）；</w:t>
      </w:r>
    </w:p>
    <w:p w14:paraId="1CCC0EB8">
      <w:pPr>
        <w:autoSpaceDE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14:paraId="3E794A37">
      <w:pPr>
        <w:pStyle w:val="3"/>
        <w:autoSpaceDE w:val="0"/>
        <w:spacing w:after="0"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90CB55E">
      <w:pPr>
        <w:pStyle w:val="3"/>
        <w:autoSpaceDE w:val="0"/>
        <w:spacing w:after="0" w:line="50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本企业对上述声明内容的真实性负责。</w:t>
      </w:r>
      <w:r>
        <w:rPr>
          <w:rFonts w:hint="eastAsia" w:ascii="宋体" w:hAnsi="宋体" w:cs="宋体"/>
          <w:bCs/>
          <w:color w:val="auto"/>
          <w:sz w:val="24"/>
          <w:highlight w:val="none"/>
        </w:rPr>
        <w:t>如有虚假，中标（成交）无效，视情节给予参加政府采购资格限制等处罚。</w:t>
      </w:r>
    </w:p>
    <w:p w14:paraId="6655CB2F">
      <w:pPr>
        <w:spacing w:line="500" w:lineRule="exact"/>
        <w:rPr>
          <w:color w:val="auto"/>
          <w:sz w:val="24"/>
          <w:highlight w:val="none"/>
        </w:rPr>
      </w:pPr>
    </w:p>
    <w:p w14:paraId="7537C9F4">
      <w:pPr>
        <w:spacing w:line="500" w:lineRule="exact"/>
        <w:ind w:firstLine="4560" w:firstLineChars="1900"/>
        <w:rPr>
          <w:rFonts w:ascii="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olor w:val="auto"/>
          <w:sz w:val="24"/>
          <w:szCs w:val="24"/>
          <w:highlight w:val="none"/>
        </w:rPr>
        <w:t>供应商电子签章：</w:t>
      </w:r>
      <w:r>
        <w:rPr>
          <w:rFonts w:ascii="宋体" w:hAnsi="宋体"/>
          <w:color w:val="auto"/>
          <w:sz w:val="24"/>
          <w:szCs w:val="24"/>
          <w:highlight w:val="none"/>
          <w:u w:val="single"/>
        </w:rPr>
        <w:t xml:space="preserve">              </w:t>
      </w:r>
    </w:p>
    <w:p w14:paraId="659AFB38">
      <w:pPr>
        <w:autoSpaceDE w:val="0"/>
        <w:spacing w:line="500" w:lineRule="exact"/>
        <w:ind w:firstLine="480" w:firstLineChars="200"/>
        <w:jc w:val="center"/>
        <w:rPr>
          <w:color w:val="auto"/>
          <w:highlight w:val="none"/>
        </w:rPr>
      </w:pPr>
      <w:r>
        <w:rPr>
          <w:rFonts w:hint="eastAsia" w:ascii="宋体" w:hAnsi="宋体"/>
          <w:color w:val="auto"/>
          <w:sz w:val="24"/>
          <w:szCs w:val="24"/>
          <w:highlight w:val="none"/>
        </w:rPr>
        <w:t xml:space="preserve">                    日</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期：</w:t>
      </w:r>
    </w:p>
    <w:p w14:paraId="0B1A2E16">
      <w:pPr>
        <w:spacing w:line="50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注：</w:t>
      </w:r>
      <w:r>
        <w:rPr>
          <w:rFonts w:hint="eastAsia" w:ascii="宋体" w:hAnsi="宋体" w:cs="宋体"/>
          <w:color w:val="auto"/>
          <w:sz w:val="24"/>
          <w:szCs w:val="24"/>
          <w:highlight w:val="none"/>
        </w:rPr>
        <w:t>1、从业人员、营业收入、资产总额填报上一年度数据，无上一年度数据的新成立企业可不填报。</w:t>
      </w:r>
    </w:p>
    <w:p w14:paraId="1B8804EC">
      <w:pPr>
        <w:pStyle w:val="2"/>
        <w:spacing w:after="0" w:line="500" w:lineRule="exact"/>
        <w:ind w:firstLine="480" w:firstLineChars="200"/>
        <w:rPr>
          <w:rFonts w:hint="eastAsia" w:ascii="宋体" w:hAnsi="宋体"/>
          <w:b/>
          <w:bCs/>
          <w:color w:val="auto"/>
          <w:szCs w:val="24"/>
          <w:highlight w:val="none"/>
        </w:rPr>
      </w:pPr>
      <w:r>
        <w:rPr>
          <w:rFonts w:hint="eastAsia"/>
          <w:color w:val="auto"/>
          <w:highlight w:val="none"/>
        </w:rPr>
        <w:t>2、企业划型标准按照《关于印发中小企业划型标准规定的通知》（工信部联企业〔2011〕300号）规定执行。</w:t>
      </w:r>
      <w:r>
        <w:rPr>
          <w:rFonts w:hint="eastAsia" w:ascii="宋体" w:hAnsi="宋体"/>
          <w:b/>
          <w:bCs/>
          <w:color w:val="auto"/>
          <w:szCs w:val="24"/>
          <w:highlight w:val="none"/>
        </w:rPr>
        <w:br w:type="page"/>
      </w:r>
    </w:p>
    <w:p w14:paraId="5852CAAD">
      <w:pPr>
        <w:pStyle w:val="5"/>
        <w:spacing w:before="120" w:after="120"/>
        <w:rPr>
          <w:rFonts w:hint="eastAsia" w:ascii="宋体" w:hAnsi="宋体" w:eastAsia="宋体" w:cs="宋体"/>
          <w:color w:val="auto"/>
          <w:sz w:val="24"/>
          <w:szCs w:val="24"/>
          <w:highlight w:val="none"/>
        </w:rPr>
      </w:pPr>
      <w:bookmarkStart w:id="135" w:name="_Toc3796"/>
      <w:bookmarkStart w:id="136" w:name="_Toc13577"/>
      <w:bookmarkStart w:id="137" w:name="_Toc2879"/>
      <w:bookmarkStart w:id="138" w:name="_Toc3177"/>
      <w:r>
        <w:rPr>
          <w:rFonts w:hint="eastAsia" w:ascii="宋体" w:hAnsi="宋体" w:eastAsia="宋体" w:cs="宋体"/>
          <w:color w:val="auto"/>
          <w:sz w:val="24"/>
          <w:szCs w:val="24"/>
          <w:highlight w:val="none"/>
        </w:rPr>
        <w:t>附件</w:t>
      </w:r>
      <w:bookmarkEnd w:id="135"/>
      <w:bookmarkEnd w:id="136"/>
      <w:bookmarkEnd w:id="137"/>
      <w:r>
        <w:rPr>
          <w:rFonts w:hint="eastAsia" w:ascii="宋体" w:hAnsi="宋体" w:eastAsia="宋体" w:cs="宋体"/>
          <w:color w:val="auto"/>
          <w:sz w:val="24"/>
          <w:szCs w:val="24"/>
          <w:highlight w:val="none"/>
        </w:rPr>
        <w:t>八</w:t>
      </w:r>
    </w:p>
    <w:bookmarkEnd w:id="138"/>
    <w:p w14:paraId="40640686">
      <w:pPr>
        <w:spacing w:line="360" w:lineRule="auto"/>
        <w:rPr>
          <w:rFonts w:hint="eastAsia" w:ascii="宋体" w:hAnsi="宋体" w:cs="宋体"/>
          <w:bCs/>
          <w:color w:val="auto"/>
          <w:sz w:val="24"/>
          <w:szCs w:val="24"/>
          <w:highlight w:val="none"/>
        </w:rPr>
      </w:pPr>
      <w:bookmarkStart w:id="139" w:name="_Toc28850"/>
    </w:p>
    <w:p w14:paraId="3D8D227B">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磋商文件要求和供应商认为需要提供的其它说明和资料</w:t>
      </w:r>
      <w:bookmarkEnd w:id="139"/>
    </w:p>
    <w:p w14:paraId="21EB17B8">
      <w:pPr>
        <w:rPr>
          <w:rFonts w:hint="eastAsia" w:ascii="宋体" w:hAnsi="宋体" w:cs="宋体"/>
          <w:bCs/>
          <w:color w:val="auto"/>
          <w:sz w:val="24"/>
          <w:szCs w:val="24"/>
          <w:highlight w:val="none"/>
        </w:rPr>
      </w:pPr>
    </w:p>
    <w:p w14:paraId="62354D0D">
      <w:pPr>
        <w:pStyle w:val="2"/>
        <w:rPr>
          <w:rFonts w:hint="eastAsia" w:ascii="宋体" w:hAnsi="宋体" w:cs="宋体"/>
          <w:color w:val="auto"/>
          <w:highlight w:val="none"/>
        </w:rPr>
      </w:pPr>
    </w:p>
    <w:p w14:paraId="48CB5A82">
      <w:pPr>
        <w:pStyle w:val="2"/>
        <w:ind w:firstLine="0"/>
        <w:rPr>
          <w:rFonts w:hint="eastAsia" w:ascii="宋体" w:hAnsi="宋体" w:cs="宋体"/>
          <w:color w:val="auto"/>
          <w:highlight w:val="none"/>
        </w:rPr>
      </w:pPr>
    </w:p>
    <w:p w14:paraId="299038CD">
      <w:pPr>
        <w:pStyle w:val="2"/>
        <w:ind w:firstLine="0"/>
        <w:rPr>
          <w:rFonts w:hint="eastAsia" w:ascii="宋体" w:hAnsi="宋体" w:cs="宋体"/>
          <w:color w:val="auto"/>
          <w:highlight w:val="none"/>
        </w:rPr>
      </w:pPr>
    </w:p>
    <w:p w14:paraId="7BC5A58B">
      <w:pPr>
        <w:pStyle w:val="2"/>
        <w:ind w:firstLine="0"/>
        <w:rPr>
          <w:rFonts w:hint="eastAsia" w:ascii="宋体" w:hAnsi="宋体" w:cs="宋体"/>
          <w:color w:val="auto"/>
          <w:highlight w:val="none"/>
        </w:rPr>
      </w:pPr>
    </w:p>
    <w:p w14:paraId="058DEEC7">
      <w:pPr>
        <w:pStyle w:val="2"/>
        <w:ind w:firstLine="0"/>
        <w:rPr>
          <w:rFonts w:hint="eastAsia" w:ascii="宋体" w:hAnsi="宋体" w:cs="宋体"/>
          <w:color w:val="auto"/>
          <w:highlight w:val="none"/>
        </w:rPr>
      </w:pPr>
    </w:p>
    <w:p w14:paraId="0D62A4F4">
      <w:pPr>
        <w:pStyle w:val="2"/>
        <w:ind w:firstLine="0"/>
        <w:rPr>
          <w:rFonts w:hint="eastAsia" w:ascii="宋体" w:hAnsi="宋体" w:cs="宋体"/>
          <w:color w:val="auto"/>
          <w:highlight w:val="none"/>
        </w:rPr>
      </w:pPr>
    </w:p>
    <w:p w14:paraId="7CC6C011">
      <w:pPr>
        <w:pStyle w:val="2"/>
        <w:ind w:firstLine="0"/>
        <w:rPr>
          <w:rFonts w:hint="eastAsia" w:ascii="宋体" w:hAnsi="宋体" w:cs="宋体"/>
          <w:color w:val="auto"/>
          <w:highlight w:val="none"/>
        </w:rPr>
      </w:pPr>
    </w:p>
    <w:p w14:paraId="49831ABE">
      <w:pPr>
        <w:pStyle w:val="2"/>
        <w:ind w:firstLine="0"/>
        <w:rPr>
          <w:rFonts w:hint="eastAsia" w:ascii="宋体" w:hAnsi="宋体" w:cs="宋体"/>
          <w:color w:val="auto"/>
          <w:highlight w:val="none"/>
        </w:rPr>
      </w:pPr>
    </w:p>
    <w:p w14:paraId="444D9D35">
      <w:pPr>
        <w:pStyle w:val="2"/>
        <w:ind w:firstLine="0"/>
        <w:rPr>
          <w:rFonts w:hint="eastAsia" w:ascii="宋体" w:hAnsi="宋体" w:cs="宋体"/>
          <w:color w:val="auto"/>
          <w:highlight w:val="none"/>
        </w:rPr>
      </w:pPr>
    </w:p>
    <w:p w14:paraId="5CF8CB0D">
      <w:pPr>
        <w:pStyle w:val="2"/>
        <w:ind w:firstLine="0"/>
        <w:rPr>
          <w:rFonts w:hint="eastAsia" w:ascii="宋体" w:hAnsi="宋体" w:cs="宋体"/>
          <w:color w:val="auto"/>
          <w:highlight w:val="none"/>
        </w:rPr>
      </w:pPr>
    </w:p>
    <w:p w14:paraId="080E2D57">
      <w:pPr>
        <w:pStyle w:val="2"/>
        <w:ind w:firstLine="0"/>
        <w:rPr>
          <w:rFonts w:hint="eastAsia" w:ascii="宋体" w:hAnsi="宋体" w:cs="宋体"/>
          <w:color w:val="auto"/>
          <w:highlight w:val="none"/>
        </w:rPr>
      </w:pPr>
    </w:p>
    <w:p w14:paraId="5499266E">
      <w:pPr>
        <w:pStyle w:val="2"/>
        <w:ind w:firstLine="0"/>
        <w:rPr>
          <w:rFonts w:hint="eastAsia" w:ascii="宋体" w:hAnsi="宋体" w:cs="宋体"/>
          <w:color w:val="auto"/>
          <w:highlight w:val="none"/>
        </w:rPr>
      </w:pPr>
    </w:p>
    <w:p w14:paraId="7C144DEF">
      <w:pPr>
        <w:pStyle w:val="2"/>
        <w:ind w:firstLine="0"/>
        <w:rPr>
          <w:rFonts w:hint="eastAsia" w:ascii="宋体" w:hAnsi="宋体" w:cs="宋体"/>
          <w:color w:val="auto"/>
          <w:highlight w:val="none"/>
        </w:rPr>
      </w:pPr>
    </w:p>
    <w:p w14:paraId="16365335">
      <w:pPr>
        <w:pStyle w:val="2"/>
        <w:ind w:firstLine="0"/>
        <w:rPr>
          <w:rFonts w:hint="eastAsia" w:ascii="宋体" w:hAnsi="宋体" w:cs="宋体"/>
          <w:color w:val="auto"/>
          <w:highlight w:val="none"/>
        </w:rPr>
      </w:pPr>
    </w:p>
    <w:p w14:paraId="08C2D04D">
      <w:pPr>
        <w:pStyle w:val="2"/>
        <w:ind w:firstLine="0"/>
        <w:rPr>
          <w:rFonts w:hint="eastAsia" w:ascii="宋体" w:hAnsi="宋体" w:cs="宋体"/>
          <w:color w:val="auto"/>
          <w:highlight w:val="none"/>
        </w:rPr>
      </w:pPr>
    </w:p>
    <w:p w14:paraId="18BF302C">
      <w:pPr>
        <w:pStyle w:val="2"/>
        <w:ind w:firstLine="0"/>
        <w:rPr>
          <w:rFonts w:hint="eastAsia" w:ascii="宋体" w:hAnsi="宋体" w:cs="宋体"/>
          <w:color w:val="auto"/>
          <w:highlight w:val="none"/>
        </w:rPr>
      </w:pPr>
    </w:p>
    <w:p w14:paraId="4C5320E3">
      <w:pPr>
        <w:pStyle w:val="2"/>
        <w:ind w:firstLine="0"/>
        <w:rPr>
          <w:rFonts w:hint="eastAsia" w:ascii="宋体" w:hAnsi="宋体" w:cs="宋体"/>
          <w:color w:val="auto"/>
          <w:highlight w:val="none"/>
        </w:rPr>
      </w:pPr>
    </w:p>
    <w:p w14:paraId="6C2C5FC6">
      <w:pPr>
        <w:pStyle w:val="2"/>
        <w:ind w:firstLine="0"/>
        <w:rPr>
          <w:rFonts w:hint="eastAsia" w:ascii="宋体" w:hAnsi="宋体" w:cs="宋体"/>
          <w:color w:val="auto"/>
          <w:highlight w:val="none"/>
        </w:rPr>
      </w:pPr>
    </w:p>
    <w:p w14:paraId="693FCF65">
      <w:pPr>
        <w:pStyle w:val="2"/>
        <w:ind w:firstLine="0"/>
        <w:rPr>
          <w:rFonts w:hint="eastAsia" w:ascii="宋体" w:hAnsi="宋体" w:cs="宋体"/>
          <w:color w:val="auto"/>
          <w:highlight w:val="none"/>
        </w:rPr>
      </w:pPr>
    </w:p>
    <w:p w14:paraId="293DD667">
      <w:pPr>
        <w:pStyle w:val="2"/>
        <w:ind w:firstLine="0"/>
        <w:rPr>
          <w:rFonts w:hint="eastAsia" w:ascii="宋体" w:hAnsi="宋体" w:cs="宋体"/>
          <w:color w:val="auto"/>
          <w:highlight w:val="none"/>
        </w:rPr>
      </w:pPr>
    </w:p>
    <w:p w14:paraId="30BAB48B">
      <w:pPr>
        <w:pStyle w:val="2"/>
        <w:ind w:firstLine="0"/>
        <w:rPr>
          <w:rFonts w:hint="eastAsia" w:ascii="宋体" w:hAnsi="宋体" w:cs="宋体"/>
          <w:color w:val="auto"/>
          <w:highlight w:val="none"/>
        </w:rPr>
      </w:pPr>
    </w:p>
    <w:p w14:paraId="721D3DAA">
      <w:pPr>
        <w:pStyle w:val="2"/>
        <w:ind w:left="0" w:leftChars="0" w:firstLine="0" w:firstLineChars="0"/>
        <w:rPr>
          <w:rFonts w:hint="eastAsia" w:ascii="宋体" w:hAnsi="宋体" w:cs="宋体"/>
          <w:color w:val="auto"/>
          <w:highlight w:val="none"/>
        </w:rPr>
      </w:pPr>
    </w:p>
    <w:p w14:paraId="5F90EB72">
      <w:pPr>
        <w:jc w:val="left"/>
        <w:rPr>
          <w:rFonts w:hint="eastAsia" w:ascii="宋体" w:hAnsi="宋体" w:cs="宋体"/>
          <w:b/>
          <w:color w:val="auto"/>
          <w:sz w:val="30"/>
          <w:szCs w:val="30"/>
          <w:highlight w:val="none"/>
        </w:rPr>
      </w:pPr>
      <w:bookmarkStart w:id="140" w:name="_Toc484452030"/>
      <w:r>
        <w:rPr>
          <w:rFonts w:hint="eastAsia" w:ascii="宋体" w:hAnsi="宋体" w:cs="宋体"/>
          <w:b/>
          <w:color w:val="auto"/>
          <w:sz w:val="30"/>
          <w:szCs w:val="30"/>
          <w:highlight w:val="none"/>
        </w:rPr>
        <w:t>另附</w:t>
      </w:r>
      <w:bookmarkEnd w:id="140"/>
    </w:p>
    <w:p w14:paraId="3E761331">
      <w:pPr>
        <w:tabs>
          <w:tab w:val="left" w:pos="2410"/>
        </w:tabs>
        <w:autoSpaceDE w:val="0"/>
        <w:autoSpaceDN w:val="0"/>
        <w:adjustRightInd w:val="0"/>
        <w:snapToGrid w:val="0"/>
        <w:spacing w:line="600" w:lineRule="exact"/>
        <w:ind w:firstLine="321" w:firstLineChars="100"/>
        <w:jc w:val="center"/>
        <w:rPr>
          <w:rFonts w:hint="eastAsia" w:ascii="宋体" w:hAnsi="宋体" w:cs="宋体"/>
          <w:b/>
          <w:color w:val="auto"/>
          <w:sz w:val="32"/>
          <w:szCs w:val="30"/>
          <w:highlight w:val="none"/>
        </w:rPr>
      </w:pPr>
      <w:r>
        <w:rPr>
          <w:rFonts w:hint="eastAsia" w:ascii="宋体" w:hAnsi="宋体" w:cs="宋体"/>
          <w:b/>
          <w:color w:val="auto"/>
          <w:sz w:val="32"/>
          <w:szCs w:val="30"/>
          <w:highlight w:val="none"/>
        </w:rPr>
        <w:t>取用水档案管理提升项目竞争性</w:t>
      </w:r>
      <w:bookmarkStart w:id="141" w:name="_Toc484452031"/>
      <w:r>
        <w:rPr>
          <w:rFonts w:hint="eastAsia" w:ascii="宋体" w:hAnsi="宋体" w:cs="宋体"/>
          <w:b/>
          <w:color w:val="auto"/>
          <w:sz w:val="32"/>
          <w:szCs w:val="30"/>
          <w:highlight w:val="none"/>
        </w:rPr>
        <w:t>磋商</w:t>
      </w:r>
    </w:p>
    <w:p w14:paraId="220A384C">
      <w:pPr>
        <w:tabs>
          <w:tab w:val="left" w:pos="2410"/>
        </w:tabs>
        <w:autoSpaceDE w:val="0"/>
        <w:autoSpaceDN w:val="0"/>
        <w:adjustRightInd w:val="0"/>
        <w:snapToGrid w:val="0"/>
        <w:spacing w:line="600" w:lineRule="exact"/>
        <w:ind w:firstLine="321" w:firstLineChars="100"/>
        <w:jc w:val="center"/>
        <w:rPr>
          <w:rFonts w:hint="eastAsia" w:ascii="宋体" w:hAnsi="宋体" w:cs="宋体"/>
          <w:b/>
          <w:color w:val="auto"/>
          <w:sz w:val="32"/>
          <w:szCs w:val="30"/>
          <w:highlight w:val="none"/>
        </w:rPr>
      </w:pPr>
      <w:r>
        <w:rPr>
          <w:rFonts w:hint="eastAsia" w:ascii="宋体" w:hAnsi="宋体" w:cs="宋体"/>
          <w:b/>
          <w:color w:val="auto"/>
          <w:sz w:val="32"/>
          <w:szCs w:val="30"/>
          <w:highlight w:val="none"/>
        </w:rPr>
        <w:t>二轮报价表</w:t>
      </w:r>
      <w:bookmarkEnd w:id="141"/>
    </w:p>
    <w:p w14:paraId="07183CD7">
      <w:pPr>
        <w:ind w:firstLine="480" w:firstLineChars="200"/>
        <w:rPr>
          <w:rFonts w:hint="eastAsia" w:ascii="宋体" w:hAnsi="宋体" w:cs="宋体"/>
          <w:color w:val="auto"/>
          <w:sz w:val="24"/>
          <w:highlight w:val="none"/>
        </w:rPr>
      </w:pPr>
    </w:p>
    <w:p w14:paraId="0AE0AFCB">
      <w:pPr>
        <w:pStyle w:val="2"/>
        <w:rPr>
          <w:rFonts w:hint="eastAsia" w:ascii="宋体" w:hAnsi="宋体" w:cs="宋体"/>
          <w:color w:val="auto"/>
          <w:highlight w:val="none"/>
        </w:rPr>
      </w:pPr>
    </w:p>
    <w:p w14:paraId="54558C9F">
      <w:pPr>
        <w:spacing w:line="64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采购人)</w:t>
      </w:r>
    </w:p>
    <w:p w14:paraId="7D59CD76">
      <w:pPr>
        <w:spacing w:line="64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1、我方最终报价为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元。如果我方有幸成为成交供应商，服务费用为所委托服务项目范围内全部服务工作，该费用不再调整。</w:t>
      </w:r>
    </w:p>
    <w:p w14:paraId="190F3F3E">
      <w:pPr>
        <w:spacing w:line="64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2、其他部分与响应文件内容一致。</w:t>
      </w:r>
    </w:p>
    <w:p w14:paraId="724EFEE5">
      <w:pPr>
        <w:pStyle w:val="2"/>
        <w:spacing w:line="240" w:lineRule="auto"/>
        <w:rPr>
          <w:rFonts w:hint="eastAsia"/>
        </w:rPr>
      </w:pPr>
    </w:p>
    <w:p w14:paraId="298C675D">
      <w:pPr>
        <w:spacing w:line="240" w:lineRule="auto"/>
        <w:ind w:left="5324" w:leftChars="1402" w:hanging="2380" w:hangingChars="85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供应商： </w:t>
      </w:r>
      <w:r>
        <w:rPr>
          <w:rFonts w:hint="eastAsia" w:ascii="宋体" w:hAnsi="宋体" w:cs="宋体"/>
          <w:color w:val="auto"/>
          <w:sz w:val="28"/>
          <w:szCs w:val="28"/>
          <w:highlight w:val="none"/>
          <w:u w:val="single"/>
        </w:rPr>
        <w:t xml:space="preserve">                （盖章）</w:t>
      </w:r>
    </w:p>
    <w:p w14:paraId="7DF71597">
      <w:pPr>
        <w:spacing w:line="240" w:lineRule="auto"/>
        <w:ind w:firstLine="2660" w:firstLineChars="950"/>
        <w:rPr>
          <w:rFonts w:hint="eastAsia" w:ascii="宋体" w:hAnsi="宋体" w:cs="宋体"/>
          <w:color w:val="auto"/>
          <w:sz w:val="28"/>
          <w:szCs w:val="28"/>
          <w:highlight w:val="none"/>
        </w:rPr>
      </w:pPr>
    </w:p>
    <w:p w14:paraId="2579B4B0">
      <w:pPr>
        <w:spacing w:line="240" w:lineRule="auto"/>
        <w:ind w:firstLine="1120" w:firstLineChars="400"/>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法定代表人或授权委托人：</w:t>
      </w:r>
      <w:r>
        <w:rPr>
          <w:rFonts w:hint="eastAsia" w:ascii="宋体" w:hAnsi="宋体" w:cs="宋体"/>
          <w:color w:val="auto"/>
          <w:sz w:val="28"/>
          <w:szCs w:val="28"/>
          <w:highlight w:val="none"/>
          <w:u w:val="single"/>
        </w:rPr>
        <w:t xml:space="preserve">         （签字或盖章）</w:t>
      </w:r>
    </w:p>
    <w:p w14:paraId="34F6927D">
      <w:pPr>
        <w:spacing w:line="24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p>
    <w:p w14:paraId="0A381FA4">
      <w:pPr>
        <w:wordWrap w:val="0"/>
        <w:spacing w:line="240" w:lineRule="auto"/>
        <w:ind w:right="68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日   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0017FC25">
      <w:pPr>
        <w:rPr>
          <w:rFonts w:hint="eastAsia" w:ascii="宋体" w:hAnsi="宋体" w:cs="宋体"/>
          <w:b/>
          <w:color w:val="auto"/>
          <w:sz w:val="28"/>
          <w:szCs w:val="28"/>
          <w:highlight w:val="none"/>
          <w:u w:val="double"/>
        </w:rPr>
      </w:pPr>
    </w:p>
    <w:p w14:paraId="67086E39">
      <w:pPr>
        <w:pStyle w:val="2"/>
        <w:tabs>
          <w:tab w:val="left" w:pos="1234"/>
        </w:tabs>
        <w:rPr>
          <w:rFonts w:hint="eastAsia" w:ascii="宋体" w:hAnsi="宋体" w:cs="宋体"/>
          <w:color w:val="auto"/>
          <w:highlight w:val="none"/>
        </w:rPr>
      </w:pPr>
      <w:r>
        <w:rPr>
          <w:rFonts w:hint="eastAsia" w:ascii="宋体" w:hAnsi="宋体" w:cs="宋体"/>
          <w:b/>
          <w:color w:val="auto"/>
          <w:sz w:val="28"/>
          <w:szCs w:val="28"/>
          <w:highlight w:val="none"/>
        </w:rPr>
        <w:t>（注：本表无需附在响应文件中，二轮报价只报总价，结算时按一、二轮报价下降比例同比例调整各分项单价（如有），二轮报价表提前填好加盖公章并单独密封）。</w:t>
      </w:r>
    </w:p>
    <w:sectPr>
      <w:headerReference r:id="rId8" w:type="default"/>
      <w:footerReference r:id="rId9"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Times New Roman"/>
    <w:panose1 w:val="020B0604020202020204"/>
    <w:charset w:val="00"/>
    <w:family w:val="roman"/>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7BF4">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72EC3">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3172EC3">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14:paraId="79DACBF5">
    <w:pPr>
      <w:spacing w:line="220" w:lineRule="auto"/>
      <w:ind w:left="3323"/>
      <w:rPr>
        <w:rFonts w:hint="eastAsia" w:ascii="宋体" w:hAnsi="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F8069">
    <w:pPr>
      <w:spacing w:line="220" w:lineRule="auto"/>
      <w:ind w:left="3323"/>
      <w:rPr>
        <w:rFonts w:hint="eastAsia"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659D0">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59659D0">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1534B">
    <w:pPr>
      <w:spacing w:line="174" w:lineRule="auto"/>
      <w:ind w:left="4449"/>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CB66D">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89CB66D">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23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0B5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EBFE5">
    <w:pPr>
      <w:pStyle w:val="3"/>
      <w:tabs>
        <w:tab w:val="left" w:pos="3017"/>
      </w:tabs>
      <w:spacing w:line="174" w:lineRule="aut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9C773"/>
    <w:multiLevelType w:val="singleLevel"/>
    <w:tmpl w:val="BCB9C773"/>
    <w:lvl w:ilvl="0" w:tentative="0">
      <w:start w:val="3"/>
      <w:numFmt w:val="decimal"/>
      <w:suff w:val="nothing"/>
      <w:lvlText w:val="%1、"/>
      <w:lvlJc w:val="left"/>
    </w:lvl>
  </w:abstractNum>
  <w:abstractNum w:abstractNumId="1">
    <w:nsid w:val="CA921B7E"/>
    <w:multiLevelType w:val="singleLevel"/>
    <w:tmpl w:val="CA921B7E"/>
    <w:lvl w:ilvl="0" w:tentative="0">
      <w:start w:val="3"/>
      <w:numFmt w:val="chineseCounting"/>
      <w:suff w:val="nothing"/>
      <w:lvlText w:val="%1、"/>
      <w:lvlJc w:val="left"/>
      <w:rPr>
        <w:rFonts w:hint="eastAsia"/>
      </w:rPr>
    </w:lvl>
  </w:abstractNum>
  <w:abstractNum w:abstractNumId="2">
    <w:nsid w:val="DFA7A120"/>
    <w:multiLevelType w:val="singleLevel"/>
    <w:tmpl w:val="DFA7A120"/>
    <w:lvl w:ilvl="0" w:tentative="0">
      <w:start w:val="1"/>
      <w:numFmt w:val="chineseCounting"/>
      <w:suff w:val="nothing"/>
      <w:lvlText w:val="%1、"/>
      <w:lvlJc w:val="left"/>
      <w:rPr>
        <w:rFonts w:hint="eastAsia"/>
      </w:rPr>
    </w:lvl>
  </w:abstractNum>
  <w:abstractNum w:abstractNumId="3">
    <w:nsid w:val="0470A11D"/>
    <w:multiLevelType w:val="singleLevel"/>
    <w:tmpl w:val="0470A11D"/>
    <w:lvl w:ilvl="0" w:tentative="0">
      <w:start w:val="1"/>
      <w:numFmt w:val="decimal"/>
      <w:suff w:val="nothing"/>
      <w:lvlText w:val="（%1）"/>
      <w:lvlJc w:val="left"/>
      <w:rPr>
        <w:rFonts w:hint="default" w:ascii="宋体" w:hAnsi="宋体" w:eastAsia="宋体" w:cs="宋体"/>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ZjYxMzlhZGQwNmZkNWVhNDQ4YjYwNjUwY2QxYWIifQ=="/>
    <w:docVar w:name="KSO_WPS_MARK_KEY" w:val="b775fdd8-7812-484c-8107-97b6cdbe1de1"/>
  </w:docVars>
  <w:rsids>
    <w:rsidRoot w:val="00F028DD"/>
    <w:rsid w:val="00052189"/>
    <w:rsid w:val="000534E4"/>
    <w:rsid w:val="00055A2E"/>
    <w:rsid w:val="00057D69"/>
    <w:rsid w:val="00063CBD"/>
    <w:rsid w:val="00065999"/>
    <w:rsid w:val="000B6261"/>
    <w:rsid w:val="0014225A"/>
    <w:rsid w:val="00155A97"/>
    <w:rsid w:val="00162959"/>
    <w:rsid w:val="00210E1F"/>
    <w:rsid w:val="00230A33"/>
    <w:rsid w:val="00257793"/>
    <w:rsid w:val="00287EAF"/>
    <w:rsid w:val="002909E7"/>
    <w:rsid w:val="00297164"/>
    <w:rsid w:val="002A3BC9"/>
    <w:rsid w:val="002E7694"/>
    <w:rsid w:val="00304E34"/>
    <w:rsid w:val="00317D1A"/>
    <w:rsid w:val="00372973"/>
    <w:rsid w:val="0037437E"/>
    <w:rsid w:val="00384D99"/>
    <w:rsid w:val="004411BE"/>
    <w:rsid w:val="00455CDF"/>
    <w:rsid w:val="00475484"/>
    <w:rsid w:val="004916D3"/>
    <w:rsid w:val="005944A9"/>
    <w:rsid w:val="005D5673"/>
    <w:rsid w:val="00665439"/>
    <w:rsid w:val="00707ADC"/>
    <w:rsid w:val="00745B32"/>
    <w:rsid w:val="0075032A"/>
    <w:rsid w:val="00773ED9"/>
    <w:rsid w:val="007B601B"/>
    <w:rsid w:val="007C08E5"/>
    <w:rsid w:val="008912A8"/>
    <w:rsid w:val="008E7A48"/>
    <w:rsid w:val="00903149"/>
    <w:rsid w:val="0099501E"/>
    <w:rsid w:val="009C7592"/>
    <w:rsid w:val="009D2425"/>
    <w:rsid w:val="00A0335C"/>
    <w:rsid w:val="00A35D61"/>
    <w:rsid w:val="00A51783"/>
    <w:rsid w:val="00A5620C"/>
    <w:rsid w:val="00A71BC7"/>
    <w:rsid w:val="00AA51A5"/>
    <w:rsid w:val="00B067B0"/>
    <w:rsid w:val="00B577DC"/>
    <w:rsid w:val="00B87C73"/>
    <w:rsid w:val="00BA48CA"/>
    <w:rsid w:val="00BA4C3F"/>
    <w:rsid w:val="00BB4319"/>
    <w:rsid w:val="00BC0532"/>
    <w:rsid w:val="00BC40D2"/>
    <w:rsid w:val="00BC7725"/>
    <w:rsid w:val="00C46FC3"/>
    <w:rsid w:val="00C52B97"/>
    <w:rsid w:val="00C728E8"/>
    <w:rsid w:val="00CE116F"/>
    <w:rsid w:val="00D33DA4"/>
    <w:rsid w:val="00D421C3"/>
    <w:rsid w:val="00D94226"/>
    <w:rsid w:val="00DA6678"/>
    <w:rsid w:val="00DB7880"/>
    <w:rsid w:val="00DC2EED"/>
    <w:rsid w:val="00DD2B8F"/>
    <w:rsid w:val="00DF3C43"/>
    <w:rsid w:val="00E64F40"/>
    <w:rsid w:val="00E92D73"/>
    <w:rsid w:val="00EC1E58"/>
    <w:rsid w:val="00EE425D"/>
    <w:rsid w:val="00EF7960"/>
    <w:rsid w:val="00F028DD"/>
    <w:rsid w:val="00F2098F"/>
    <w:rsid w:val="00F30EE6"/>
    <w:rsid w:val="00F75354"/>
    <w:rsid w:val="00F82B2E"/>
    <w:rsid w:val="00F95645"/>
    <w:rsid w:val="00FA2943"/>
    <w:rsid w:val="00FD56B3"/>
    <w:rsid w:val="00FF57EF"/>
    <w:rsid w:val="01324530"/>
    <w:rsid w:val="01CD7566"/>
    <w:rsid w:val="027D2D3A"/>
    <w:rsid w:val="02A4476B"/>
    <w:rsid w:val="02CC252C"/>
    <w:rsid w:val="03AF1619"/>
    <w:rsid w:val="048C54B6"/>
    <w:rsid w:val="04FD0162"/>
    <w:rsid w:val="06CE3597"/>
    <w:rsid w:val="070D0B30"/>
    <w:rsid w:val="07BE62CF"/>
    <w:rsid w:val="07D63618"/>
    <w:rsid w:val="080900D5"/>
    <w:rsid w:val="084542FA"/>
    <w:rsid w:val="090D306A"/>
    <w:rsid w:val="0919167A"/>
    <w:rsid w:val="0A36039E"/>
    <w:rsid w:val="0A621193"/>
    <w:rsid w:val="0B1F5B3C"/>
    <w:rsid w:val="0B304DED"/>
    <w:rsid w:val="0BB2614A"/>
    <w:rsid w:val="0BC33EB3"/>
    <w:rsid w:val="0BD47E6F"/>
    <w:rsid w:val="0C003EE3"/>
    <w:rsid w:val="0C3E65FB"/>
    <w:rsid w:val="0CFB767D"/>
    <w:rsid w:val="0D570D57"/>
    <w:rsid w:val="0D690A8B"/>
    <w:rsid w:val="0E0A5214"/>
    <w:rsid w:val="0EFD76DC"/>
    <w:rsid w:val="0EFF1C57"/>
    <w:rsid w:val="0F056591"/>
    <w:rsid w:val="0F557518"/>
    <w:rsid w:val="0F841BAC"/>
    <w:rsid w:val="11162CD7"/>
    <w:rsid w:val="1191235E"/>
    <w:rsid w:val="121865DB"/>
    <w:rsid w:val="12F232D0"/>
    <w:rsid w:val="13547AE7"/>
    <w:rsid w:val="13CE7899"/>
    <w:rsid w:val="145E6307"/>
    <w:rsid w:val="150A66AF"/>
    <w:rsid w:val="156C55BC"/>
    <w:rsid w:val="16247C45"/>
    <w:rsid w:val="17463BEB"/>
    <w:rsid w:val="187C5B16"/>
    <w:rsid w:val="18CC3693"/>
    <w:rsid w:val="19412DDD"/>
    <w:rsid w:val="197B5DCD"/>
    <w:rsid w:val="1ADA4D76"/>
    <w:rsid w:val="1ADF413A"/>
    <w:rsid w:val="1AF57E02"/>
    <w:rsid w:val="1B515D4A"/>
    <w:rsid w:val="1B966EEF"/>
    <w:rsid w:val="1BB50BB3"/>
    <w:rsid w:val="1C9D286A"/>
    <w:rsid w:val="1D0E0D07"/>
    <w:rsid w:val="1D994A74"/>
    <w:rsid w:val="1DB624A5"/>
    <w:rsid w:val="1E0565AE"/>
    <w:rsid w:val="1F6C10B1"/>
    <w:rsid w:val="1F882FF2"/>
    <w:rsid w:val="1FBE23C2"/>
    <w:rsid w:val="20D3029D"/>
    <w:rsid w:val="212A0BF1"/>
    <w:rsid w:val="214A41F2"/>
    <w:rsid w:val="21CA72E6"/>
    <w:rsid w:val="21E604A4"/>
    <w:rsid w:val="228F28EA"/>
    <w:rsid w:val="22FE4F4C"/>
    <w:rsid w:val="23ED32AA"/>
    <w:rsid w:val="24042E63"/>
    <w:rsid w:val="24262DDA"/>
    <w:rsid w:val="24594F5D"/>
    <w:rsid w:val="24952391"/>
    <w:rsid w:val="25115838"/>
    <w:rsid w:val="254479BB"/>
    <w:rsid w:val="270C275B"/>
    <w:rsid w:val="28520641"/>
    <w:rsid w:val="29B05CCB"/>
    <w:rsid w:val="29CE3CF8"/>
    <w:rsid w:val="2AE9690F"/>
    <w:rsid w:val="2B397896"/>
    <w:rsid w:val="2B7329E1"/>
    <w:rsid w:val="2C5A3F68"/>
    <w:rsid w:val="2C82701B"/>
    <w:rsid w:val="2CF00429"/>
    <w:rsid w:val="2D0363AE"/>
    <w:rsid w:val="2D216834"/>
    <w:rsid w:val="2D513C94"/>
    <w:rsid w:val="2D5E5392"/>
    <w:rsid w:val="2D870D8D"/>
    <w:rsid w:val="2DE954FC"/>
    <w:rsid w:val="2DFC3BFB"/>
    <w:rsid w:val="2F265668"/>
    <w:rsid w:val="2FAE52BB"/>
    <w:rsid w:val="30C220DC"/>
    <w:rsid w:val="31037A8C"/>
    <w:rsid w:val="31216E03"/>
    <w:rsid w:val="31833619"/>
    <w:rsid w:val="31F2254D"/>
    <w:rsid w:val="31FE0EF2"/>
    <w:rsid w:val="32B617CD"/>
    <w:rsid w:val="32F32A21"/>
    <w:rsid w:val="32FF4F22"/>
    <w:rsid w:val="339733AC"/>
    <w:rsid w:val="33C30F90"/>
    <w:rsid w:val="34337579"/>
    <w:rsid w:val="34E268A9"/>
    <w:rsid w:val="35130E5B"/>
    <w:rsid w:val="353A66E5"/>
    <w:rsid w:val="35935DF5"/>
    <w:rsid w:val="36AA789A"/>
    <w:rsid w:val="36B424C7"/>
    <w:rsid w:val="370E7E29"/>
    <w:rsid w:val="3749214E"/>
    <w:rsid w:val="37BB00B9"/>
    <w:rsid w:val="37C60704"/>
    <w:rsid w:val="387D5266"/>
    <w:rsid w:val="38877E93"/>
    <w:rsid w:val="389069FC"/>
    <w:rsid w:val="38F82B3F"/>
    <w:rsid w:val="3924229F"/>
    <w:rsid w:val="396B1563"/>
    <w:rsid w:val="39A24859"/>
    <w:rsid w:val="3A4678DA"/>
    <w:rsid w:val="3A8521B0"/>
    <w:rsid w:val="3AFFF382"/>
    <w:rsid w:val="3B5A188F"/>
    <w:rsid w:val="3C6D73A0"/>
    <w:rsid w:val="3CAB7EC8"/>
    <w:rsid w:val="3CB72D11"/>
    <w:rsid w:val="3CC03974"/>
    <w:rsid w:val="3E1722F3"/>
    <w:rsid w:val="3E271089"/>
    <w:rsid w:val="40063D93"/>
    <w:rsid w:val="408353E4"/>
    <w:rsid w:val="408A49C4"/>
    <w:rsid w:val="40C41559"/>
    <w:rsid w:val="416A2100"/>
    <w:rsid w:val="41C86D19"/>
    <w:rsid w:val="41DF489C"/>
    <w:rsid w:val="42415557"/>
    <w:rsid w:val="42521F85"/>
    <w:rsid w:val="430B346F"/>
    <w:rsid w:val="43217136"/>
    <w:rsid w:val="43754D8C"/>
    <w:rsid w:val="444035EC"/>
    <w:rsid w:val="445826E4"/>
    <w:rsid w:val="44A165CE"/>
    <w:rsid w:val="45F621B4"/>
    <w:rsid w:val="46220FE0"/>
    <w:rsid w:val="466028FC"/>
    <w:rsid w:val="47857C94"/>
    <w:rsid w:val="4847319B"/>
    <w:rsid w:val="49902920"/>
    <w:rsid w:val="49BA799D"/>
    <w:rsid w:val="4AA523FB"/>
    <w:rsid w:val="4B92472D"/>
    <w:rsid w:val="4C043151"/>
    <w:rsid w:val="4C15710C"/>
    <w:rsid w:val="4C6F4A6E"/>
    <w:rsid w:val="4C7E070F"/>
    <w:rsid w:val="4D6C7200"/>
    <w:rsid w:val="4D814A59"/>
    <w:rsid w:val="4F0B2954"/>
    <w:rsid w:val="4F4421E2"/>
    <w:rsid w:val="4F4949CF"/>
    <w:rsid w:val="4F7D56F4"/>
    <w:rsid w:val="4FB01626"/>
    <w:rsid w:val="51B178D7"/>
    <w:rsid w:val="52521594"/>
    <w:rsid w:val="525955CC"/>
    <w:rsid w:val="52E55A8A"/>
    <w:rsid w:val="53E53868"/>
    <w:rsid w:val="54414F42"/>
    <w:rsid w:val="54BF230B"/>
    <w:rsid w:val="562763BA"/>
    <w:rsid w:val="56F664B8"/>
    <w:rsid w:val="577F567C"/>
    <w:rsid w:val="57821AAA"/>
    <w:rsid w:val="5888314F"/>
    <w:rsid w:val="58BA52C3"/>
    <w:rsid w:val="58FC3B2E"/>
    <w:rsid w:val="59CF2FF0"/>
    <w:rsid w:val="5ACD5782"/>
    <w:rsid w:val="5B0311A3"/>
    <w:rsid w:val="5B1A64ED"/>
    <w:rsid w:val="5B8147BE"/>
    <w:rsid w:val="5B9462A0"/>
    <w:rsid w:val="5C3F445D"/>
    <w:rsid w:val="5C6C4B26"/>
    <w:rsid w:val="5E1B4A56"/>
    <w:rsid w:val="5E8545C5"/>
    <w:rsid w:val="5F076D88"/>
    <w:rsid w:val="5F73441E"/>
    <w:rsid w:val="5F835B76"/>
    <w:rsid w:val="5FD255E8"/>
    <w:rsid w:val="5FDA10CF"/>
    <w:rsid w:val="60567FC7"/>
    <w:rsid w:val="607B7A2E"/>
    <w:rsid w:val="60EE6452"/>
    <w:rsid w:val="62013F63"/>
    <w:rsid w:val="63051831"/>
    <w:rsid w:val="64300B2F"/>
    <w:rsid w:val="64BE438D"/>
    <w:rsid w:val="655B7E2E"/>
    <w:rsid w:val="65A23EC4"/>
    <w:rsid w:val="661E1587"/>
    <w:rsid w:val="66BC6592"/>
    <w:rsid w:val="673426E5"/>
    <w:rsid w:val="679338AF"/>
    <w:rsid w:val="67C24194"/>
    <w:rsid w:val="67D5211A"/>
    <w:rsid w:val="67E4235D"/>
    <w:rsid w:val="67FA392E"/>
    <w:rsid w:val="683C7AA3"/>
    <w:rsid w:val="689F35B5"/>
    <w:rsid w:val="68EC7CA2"/>
    <w:rsid w:val="697749B7"/>
    <w:rsid w:val="6A7F636D"/>
    <w:rsid w:val="6B673089"/>
    <w:rsid w:val="6B6C5A40"/>
    <w:rsid w:val="6CC91B21"/>
    <w:rsid w:val="6CCA7D73"/>
    <w:rsid w:val="6D54588F"/>
    <w:rsid w:val="6DF51360"/>
    <w:rsid w:val="6F5C6C7D"/>
    <w:rsid w:val="6F8D5088"/>
    <w:rsid w:val="708F6BDE"/>
    <w:rsid w:val="70C25205"/>
    <w:rsid w:val="729055BB"/>
    <w:rsid w:val="72CA3BE3"/>
    <w:rsid w:val="72DA05E4"/>
    <w:rsid w:val="74A472C5"/>
    <w:rsid w:val="74D86DA5"/>
    <w:rsid w:val="755328D0"/>
    <w:rsid w:val="75826D11"/>
    <w:rsid w:val="75ED6880"/>
    <w:rsid w:val="75FB0F9D"/>
    <w:rsid w:val="763444AF"/>
    <w:rsid w:val="76B255A9"/>
    <w:rsid w:val="77FB15CA"/>
    <w:rsid w:val="78591FAB"/>
    <w:rsid w:val="78905C18"/>
    <w:rsid w:val="7904460D"/>
    <w:rsid w:val="79A61220"/>
    <w:rsid w:val="79F3642F"/>
    <w:rsid w:val="7A716556"/>
    <w:rsid w:val="7A9B4AFD"/>
    <w:rsid w:val="7AE244DA"/>
    <w:rsid w:val="7B38059E"/>
    <w:rsid w:val="7B400839"/>
    <w:rsid w:val="7B7F61CD"/>
    <w:rsid w:val="7B8E1CAE"/>
    <w:rsid w:val="7C336FB7"/>
    <w:rsid w:val="7C482A62"/>
    <w:rsid w:val="7C975798"/>
    <w:rsid w:val="7D731D61"/>
    <w:rsid w:val="7DB14637"/>
    <w:rsid w:val="7DC139EB"/>
    <w:rsid w:val="7DDF7B13"/>
    <w:rsid w:val="7DF82266"/>
    <w:rsid w:val="7E635932"/>
    <w:rsid w:val="7EDA559E"/>
    <w:rsid w:val="7EE051D4"/>
    <w:rsid w:val="7EF40C80"/>
    <w:rsid w:val="977E84B2"/>
    <w:rsid w:val="EDF76D7B"/>
    <w:rsid w:val="F77FC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5">
    <w:name w:val="heading 2"/>
    <w:basedOn w:val="1"/>
    <w:next w:val="1"/>
    <w:link w:val="37"/>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spacing w:line="400" w:lineRule="atLeast"/>
      <w:ind w:firstLine="426"/>
    </w:pPr>
    <w:rPr>
      <w:sz w:val="24"/>
      <w:szCs w:val="20"/>
    </w:rPr>
  </w:style>
  <w:style w:type="paragraph" w:styleId="3">
    <w:name w:val="Body Text"/>
    <w:basedOn w:val="1"/>
    <w:next w:val="4"/>
    <w:qFormat/>
    <w:uiPriority w:val="0"/>
    <w:pPr>
      <w:spacing w:after="120"/>
    </w:pPr>
    <w:rPr>
      <w:szCs w:val="24"/>
    </w:rPr>
  </w:style>
  <w:style w:type="paragraph" w:customStyle="1" w:styleId="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styleId="6">
    <w:name w:val="Body Text Indent"/>
    <w:basedOn w:val="1"/>
    <w:next w:val="7"/>
    <w:qFormat/>
    <w:uiPriority w:val="0"/>
    <w:pPr>
      <w:spacing w:after="120"/>
      <w:ind w:left="200" w:leftChars="200"/>
    </w:pPr>
  </w:style>
  <w:style w:type="paragraph" w:styleId="7">
    <w:name w:val="envelope return"/>
    <w:basedOn w:val="1"/>
    <w:qFormat/>
    <w:uiPriority w:val="0"/>
    <w:pPr>
      <w:snapToGrid w:val="0"/>
    </w:pPr>
    <w:rPr>
      <w:rFonts w:ascii="Arial" w:hAnsi="Arial" w:cs="Arial"/>
      <w:b/>
      <w:bCs/>
      <w:color w:val="FF0000"/>
      <w:sz w:val="48"/>
      <w:szCs w:val="24"/>
    </w:rPr>
  </w:style>
  <w:style w:type="paragraph" w:styleId="8">
    <w:name w:val="Date"/>
    <w:basedOn w:val="1"/>
    <w:next w:val="1"/>
    <w:qFormat/>
    <w:uiPriority w:val="0"/>
    <w:rPr>
      <w:rFonts w:ascii="Arial" w:hAnsi="Arial" w:eastAsia="楷体_GB2312"/>
      <w:sz w:val="2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ind w:left="420" w:leftChars="200"/>
    </w:pPr>
  </w:style>
  <w:style w:type="paragraph" w:styleId="12">
    <w:name w:val="Body Text 2"/>
    <w:basedOn w:val="1"/>
    <w:qFormat/>
    <w:uiPriority w:val="0"/>
    <w:pPr>
      <w:spacing w:after="120" w:line="480" w:lineRule="auto"/>
    </w:pPr>
  </w:style>
  <w:style w:type="paragraph" w:styleId="13">
    <w:name w:val="Body Text First Indent 2"/>
    <w:basedOn w:val="6"/>
    <w:qFormat/>
    <w:uiPriority w:val="0"/>
    <w:pPr>
      <w:ind w:firstLine="420" w:firstLineChars="200"/>
    </w:pPr>
    <w:rPr>
      <w:kern w:val="0"/>
      <w:sz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FollowedHyperlink"/>
    <w:basedOn w:val="16"/>
    <w:qFormat/>
    <w:uiPriority w:val="0"/>
    <w:rPr>
      <w:color w:val="800080"/>
      <w:u w:val="none"/>
    </w:rPr>
  </w:style>
  <w:style w:type="character" w:styleId="19">
    <w:name w:val="HTML Definition"/>
    <w:basedOn w:val="16"/>
    <w:qFormat/>
    <w:uiPriority w:val="0"/>
  </w:style>
  <w:style w:type="character" w:styleId="20">
    <w:name w:val="HTML Typewriter"/>
    <w:basedOn w:val="16"/>
    <w:qFormat/>
    <w:uiPriority w:val="0"/>
    <w:rPr>
      <w:rFonts w:ascii="monospace" w:hAnsi="monospace" w:eastAsia="monospace" w:cs="monospace"/>
      <w:sz w:val="20"/>
    </w:rPr>
  </w:style>
  <w:style w:type="character" w:styleId="21">
    <w:name w:val="HTML Acronym"/>
    <w:basedOn w:val="16"/>
    <w:qFormat/>
    <w:uiPriority w:val="0"/>
  </w:style>
  <w:style w:type="character" w:styleId="22">
    <w:name w:val="HTML Variable"/>
    <w:basedOn w:val="16"/>
    <w:qFormat/>
    <w:uiPriority w:val="0"/>
  </w:style>
  <w:style w:type="character" w:styleId="23">
    <w:name w:val="Hyperlink"/>
    <w:basedOn w:val="16"/>
    <w:qFormat/>
    <w:uiPriority w:val="0"/>
    <w:rPr>
      <w:color w:val="0000FF"/>
      <w:u w:val="none"/>
    </w:rPr>
  </w:style>
  <w:style w:type="character" w:styleId="24">
    <w:name w:val="HTML Code"/>
    <w:basedOn w:val="16"/>
    <w:qFormat/>
    <w:uiPriority w:val="0"/>
    <w:rPr>
      <w:rFonts w:hint="default" w:ascii="monospace" w:hAnsi="monospace" w:eastAsia="monospace" w:cs="monospace"/>
      <w:sz w:val="20"/>
    </w:rPr>
  </w:style>
  <w:style w:type="character" w:styleId="25">
    <w:name w:val="HTML Cite"/>
    <w:basedOn w:val="16"/>
    <w:qFormat/>
    <w:uiPriority w:val="0"/>
  </w:style>
  <w:style w:type="character" w:styleId="26">
    <w:name w:val="HTML Keyboard"/>
    <w:basedOn w:val="16"/>
    <w:qFormat/>
    <w:uiPriority w:val="0"/>
    <w:rPr>
      <w:rFonts w:hint="default" w:ascii="monospace" w:hAnsi="monospace" w:eastAsia="monospace" w:cs="monospace"/>
      <w:sz w:val="20"/>
    </w:rPr>
  </w:style>
  <w:style w:type="character" w:styleId="27">
    <w:name w:val="HTML Sample"/>
    <w:basedOn w:val="16"/>
    <w:qFormat/>
    <w:uiPriority w:val="0"/>
    <w:rPr>
      <w:rFonts w:hint="default" w:ascii="monospace" w:hAnsi="monospace" w:eastAsia="monospace" w:cs="monospace"/>
    </w:rPr>
  </w:style>
  <w:style w:type="paragraph" w:customStyle="1" w:styleId="28">
    <w:name w:val="Default"/>
    <w:qFormat/>
    <w:uiPriority w:val="0"/>
    <w:pPr>
      <w:widowControl w:val="0"/>
      <w:autoSpaceDE w:val="0"/>
      <w:autoSpaceDN w:val="0"/>
      <w:adjustRightInd w:val="0"/>
      <w:spacing w:after="160" w:line="278" w:lineRule="auto"/>
    </w:pPr>
    <w:rPr>
      <w:rFonts w:ascii="黑体" w:hAnsi="Times New Roman" w:eastAsia="黑体" w:cs="Times New Roman"/>
      <w:lang w:val="en-US" w:eastAsia="zh-CN" w:bidi="ar-SA"/>
    </w:rPr>
  </w:style>
  <w:style w:type="paragraph" w:customStyle="1" w:styleId="29">
    <w:name w:val="No Spacing1"/>
    <w:basedOn w:val="1"/>
    <w:qFormat/>
    <w:uiPriority w:val="99"/>
    <w:pPr>
      <w:spacing w:line="400" w:lineRule="exact"/>
    </w:pPr>
    <w:rPr>
      <w:sz w:val="24"/>
    </w:rPr>
  </w:style>
  <w:style w:type="paragraph" w:customStyle="1" w:styleId="3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31">
    <w:name w:val="D&amp;L"/>
    <w:basedOn w:val="10"/>
    <w:qFormat/>
    <w:uiPriority w:val="99"/>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32">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szCs w:val="24"/>
      <w:lang w:eastAsia="en-US"/>
    </w:rPr>
  </w:style>
  <w:style w:type="table" w:customStyle="1" w:styleId="33">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34">
    <w:name w:val="Char Char Char Char Char Char Char1 Char"/>
    <w:basedOn w:val="1"/>
    <w:qFormat/>
    <w:uiPriority w:val="0"/>
    <w:rPr>
      <w:rFonts w:ascii="Tahoma" w:hAnsi="Tahoma"/>
      <w:sz w:val="24"/>
    </w:rPr>
  </w:style>
  <w:style w:type="paragraph" w:customStyle="1" w:styleId="35">
    <w:name w:val="Table Paragraph"/>
    <w:basedOn w:val="1"/>
    <w:qFormat/>
    <w:uiPriority w:val="99"/>
    <w:pPr>
      <w:jc w:val="left"/>
    </w:pPr>
    <w:rPr>
      <w:rFonts w:ascii="宋体" w:hAnsi="宋体" w:cs="宋体"/>
      <w:kern w:val="0"/>
      <w:sz w:val="22"/>
      <w:szCs w:val="22"/>
      <w:lang w:eastAsia="en-US"/>
    </w:rPr>
  </w:style>
  <w:style w:type="character" w:customStyle="1" w:styleId="36">
    <w:name w:val="NormalCharacter"/>
    <w:qFormat/>
    <w:uiPriority w:val="0"/>
  </w:style>
  <w:style w:type="character" w:customStyle="1" w:styleId="37">
    <w:name w:val="标题 2 字符"/>
    <w:basedOn w:val="16"/>
    <w:link w:val="5"/>
    <w:qFormat/>
    <w:uiPriority w:val="0"/>
    <w:rPr>
      <w:rFonts w:ascii="Arial" w:hAnsi="Arial" w:eastAsia="黑体"/>
      <w:b/>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13648</Words>
  <Characters>14319</Characters>
  <Lines>33</Lines>
  <Paragraphs>35</Paragraphs>
  <TotalTime>85</TotalTime>
  <ScaleCrop>false</ScaleCrop>
  <LinksUpToDate>false</LinksUpToDate>
  <CharactersWithSpaces>15370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2024-05-30T00:17:00Z</dcterms:created>
  <dc:creator>Administrator</dc:creator>
  <cp:lastModifiedBy>香草</cp:lastModifiedBy>
  <dcterms:modified xsi:type="dcterms:W3CDTF">2025-05-06T04:27:52Z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466ED95BF740445E8768DA1984E5B970_13</vt:lpwstr>
  </property>
  <property fmtid="{D5CDD505-2E9C-101B-9397-08002B2CF9AE}" pid="4" name="KSOTemplateDocerSaveRecord">
    <vt:lpwstr>eyJoZGlkIjoiZDZjY2Q5ZTU1ZTgzNjA4ZGIwOTQ3MjZiMzc1OWViZTMiLCJ1c2VySWQiOiI3NzQ2MTI3OTIifQ==</vt:lpwstr>
  </property>
</Properties>
</file>