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71123">
      <w:pPr>
        <w:tabs>
          <w:tab w:val="left" w:pos="420"/>
        </w:tabs>
        <w:spacing w:before="360" w:beforeLines="150" w:line="1700" w:lineRule="exact"/>
        <w:jc w:val="center"/>
        <w:rPr>
          <w:rFonts w:hint="eastAsia" w:ascii="宋体" w:hAnsi="宋体" w:eastAsia="宋体"/>
          <w:b/>
          <w:bCs/>
          <w:color w:val="auto"/>
          <w:sz w:val="52"/>
          <w:szCs w:val="52"/>
          <w:highlight w:val="none"/>
        </w:rPr>
      </w:pPr>
    </w:p>
    <w:p w14:paraId="3E513E0F">
      <w:pPr>
        <w:tabs>
          <w:tab w:val="left" w:pos="420"/>
        </w:tabs>
        <w:spacing w:before="360" w:beforeLines="150" w:line="1700" w:lineRule="exact"/>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竞争性谈判文件</w:t>
      </w:r>
    </w:p>
    <w:p w14:paraId="356E6797">
      <w:pPr>
        <w:tabs>
          <w:tab w:val="left" w:pos="315"/>
          <w:tab w:val="left" w:pos="882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（服务类）</w:t>
      </w:r>
    </w:p>
    <w:p w14:paraId="6CEAB229">
      <w:pPr>
        <w:pStyle w:val="32"/>
        <w:ind w:firstLine="0"/>
        <w:rPr>
          <w:rFonts w:hint="eastAsia" w:ascii="宋体" w:hAnsi="宋体" w:eastAsia="宋体" w:cs="宋体"/>
          <w:color w:val="auto"/>
          <w:sz w:val="28"/>
          <w:szCs w:val="28"/>
          <w:highlight w:val="none"/>
        </w:rPr>
      </w:pPr>
    </w:p>
    <w:p w14:paraId="6A2213A6">
      <w:pPr>
        <w:pStyle w:val="32"/>
        <w:rPr>
          <w:rFonts w:hint="eastAsia" w:ascii="宋体" w:hAnsi="宋体" w:eastAsia="宋体" w:cs="宋体"/>
          <w:b/>
          <w:color w:val="auto"/>
          <w:spacing w:val="20"/>
          <w:kern w:val="0"/>
          <w:sz w:val="32"/>
          <w:szCs w:val="32"/>
          <w:highlight w:val="none"/>
        </w:rPr>
      </w:pPr>
    </w:p>
    <w:p w14:paraId="4692AACF">
      <w:pPr>
        <w:pStyle w:val="32"/>
        <w:rPr>
          <w:rFonts w:hint="eastAsia" w:ascii="宋体" w:hAnsi="宋体" w:eastAsia="宋体" w:cs="宋体"/>
          <w:b/>
          <w:color w:val="auto"/>
          <w:spacing w:val="20"/>
          <w:kern w:val="0"/>
          <w:sz w:val="32"/>
          <w:szCs w:val="32"/>
          <w:highlight w:val="none"/>
        </w:rPr>
      </w:pPr>
    </w:p>
    <w:p w14:paraId="0C131430">
      <w:pPr>
        <w:pStyle w:val="32"/>
        <w:rPr>
          <w:rFonts w:hint="eastAsia" w:ascii="宋体" w:hAnsi="宋体" w:eastAsia="宋体" w:cs="宋体"/>
          <w:b/>
          <w:color w:val="auto"/>
          <w:spacing w:val="20"/>
          <w:kern w:val="0"/>
          <w:sz w:val="32"/>
          <w:szCs w:val="32"/>
          <w:highlight w:val="none"/>
        </w:rPr>
      </w:pPr>
    </w:p>
    <w:p w14:paraId="60DD2540">
      <w:pPr>
        <w:pStyle w:val="24"/>
        <w:rPr>
          <w:rFonts w:hint="eastAsia" w:ascii="宋体" w:hAnsi="宋体" w:eastAsia="宋体" w:cs="宋体"/>
          <w:b/>
          <w:color w:val="auto"/>
          <w:spacing w:val="20"/>
          <w:kern w:val="0"/>
          <w:sz w:val="32"/>
          <w:szCs w:val="32"/>
          <w:highlight w:val="none"/>
        </w:rPr>
      </w:pPr>
    </w:p>
    <w:p w14:paraId="18FA43D5">
      <w:pPr>
        <w:rPr>
          <w:rFonts w:hint="eastAsia" w:ascii="宋体" w:hAnsi="宋体" w:eastAsia="宋体" w:cs="宋体"/>
          <w:b/>
          <w:color w:val="auto"/>
          <w:spacing w:val="20"/>
          <w:kern w:val="0"/>
          <w:sz w:val="32"/>
          <w:szCs w:val="32"/>
          <w:highlight w:val="none"/>
        </w:rPr>
      </w:pPr>
    </w:p>
    <w:p w14:paraId="5E08EEB7">
      <w:pPr>
        <w:rPr>
          <w:rFonts w:hint="eastAsia" w:ascii="宋体" w:hAnsi="宋体" w:eastAsia="宋体" w:cs="宋体"/>
          <w:b/>
          <w:color w:val="auto"/>
          <w:spacing w:val="20"/>
          <w:kern w:val="0"/>
          <w:sz w:val="32"/>
          <w:szCs w:val="32"/>
          <w:highlight w:val="none"/>
        </w:rPr>
      </w:pPr>
    </w:p>
    <w:p w14:paraId="715803F3">
      <w:pPr>
        <w:pStyle w:val="32"/>
        <w:rPr>
          <w:rFonts w:hint="eastAsia" w:ascii="宋体" w:hAnsi="宋体" w:eastAsia="宋体" w:cs="宋体"/>
          <w:b/>
          <w:color w:val="auto"/>
          <w:spacing w:val="20"/>
          <w:kern w:val="0"/>
          <w:sz w:val="32"/>
          <w:szCs w:val="32"/>
          <w:highlight w:val="none"/>
        </w:rPr>
      </w:pPr>
    </w:p>
    <w:p w14:paraId="39C1E50B">
      <w:pPr>
        <w:pStyle w:val="32"/>
        <w:rPr>
          <w:rFonts w:hint="eastAsia" w:ascii="宋体" w:hAnsi="宋体" w:eastAsia="宋体" w:cs="宋体"/>
          <w:b/>
          <w:color w:val="auto"/>
          <w:spacing w:val="20"/>
          <w:kern w:val="0"/>
          <w:sz w:val="32"/>
          <w:szCs w:val="32"/>
          <w:highlight w:val="none"/>
        </w:rPr>
      </w:pPr>
    </w:p>
    <w:p w14:paraId="6C315727">
      <w:pPr>
        <w:pStyle w:val="32"/>
        <w:rPr>
          <w:rFonts w:hint="eastAsia" w:ascii="宋体" w:hAnsi="宋体" w:eastAsia="宋体" w:cs="宋体"/>
          <w:color w:val="auto"/>
          <w:highlight w:val="none"/>
        </w:rPr>
      </w:pPr>
    </w:p>
    <w:p w14:paraId="4417E1DC">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0" w:leftChars="0" w:firstLine="606" w:firstLineChars="200"/>
        <w:jc w:val="left"/>
        <w:textAlignment w:val="auto"/>
        <w:rPr>
          <w:rFonts w:hint="eastAsia" w:ascii="宋体" w:hAnsi="DotumChe" w:eastAsia="宋体" w:cs="宋体"/>
          <w:b/>
          <w:bCs w:val="0"/>
          <w:color w:val="auto"/>
          <w:spacing w:val="11"/>
          <w:kern w:val="0"/>
          <w:sz w:val="28"/>
          <w:szCs w:val="28"/>
          <w:highlight w:val="none"/>
        </w:rPr>
      </w:pPr>
      <w:r>
        <w:rPr>
          <w:rFonts w:hint="eastAsia" w:ascii="宋体" w:hAnsi="DotumChe" w:eastAsia="宋体" w:cs="宋体"/>
          <w:b/>
          <w:bCs w:val="0"/>
          <w:color w:val="auto"/>
          <w:spacing w:val="11"/>
          <w:kern w:val="0"/>
          <w:sz w:val="28"/>
          <w:szCs w:val="28"/>
          <w:highlight w:val="none"/>
        </w:rPr>
        <w:t>项目名称：</w:t>
      </w:r>
      <w:r>
        <w:rPr>
          <w:rFonts w:hint="eastAsia" w:ascii="宋体" w:hAnsi="DotumChe" w:cs="宋体"/>
          <w:b/>
          <w:bCs w:val="0"/>
          <w:color w:val="auto"/>
          <w:spacing w:val="11"/>
          <w:kern w:val="0"/>
          <w:sz w:val="28"/>
          <w:szCs w:val="28"/>
          <w:highlight w:val="none"/>
          <w:lang w:val="en-US" w:eastAsia="zh-CN"/>
        </w:rPr>
        <w:t>2024年</w:t>
      </w:r>
      <w:r>
        <w:rPr>
          <w:rFonts w:hint="eastAsia" w:ascii="宋体" w:hAnsi="DotumChe" w:eastAsia="宋体" w:cs="宋体"/>
          <w:b/>
          <w:bCs w:val="0"/>
          <w:color w:val="auto"/>
          <w:spacing w:val="11"/>
          <w:kern w:val="0"/>
          <w:sz w:val="28"/>
          <w:szCs w:val="28"/>
          <w:highlight w:val="none"/>
          <w:lang w:val="en-US" w:eastAsia="zh-CN"/>
        </w:rPr>
        <w:t>安全生产标准化现场问题整改及汛后维修养护</w:t>
      </w:r>
    </w:p>
    <w:p w14:paraId="736E6DCE">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0" w:leftChars="0" w:firstLine="606" w:firstLineChars="200"/>
        <w:jc w:val="left"/>
        <w:textAlignment w:val="auto"/>
        <w:rPr>
          <w:rFonts w:hint="default" w:ascii="宋体" w:hAnsi="DotumChe" w:eastAsia="宋体" w:cs="宋体"/>
          <w:b/>
          <w:bCs w:val="0"/>
          <w:color w:val="auto"/>
          <w:spacing w:val="11"/>
          <w:kern w:val="0"/>
          <w:sz w:val="28"/>
          <w:szCs w:val="28"/>
          <w:highlight w:val="none"/>
          <w:lang w:val="en-US" w:eastAsia="zh-CN"/>
        </w:rPr>
      </w:pPr>
      <w:r>
        <w:rPr>
          <w:rFonts w:hint="eastAsia" w:ascii="宋体" w:hAnsi="DotumChe" w:eastAsia="宋体" w:cs="宋体"/>
          <w:b/>
          <w:bCs w:val="0"/>
          <w:color w:val="auto"/>
          <w:spacing w:val="11"/>
          <w:kern w:val="0"/>
          <w:sz w:val="28"/>
          <w:szCs w:val="28"/>
          <w:highlight w:val="none"/>
        </w:rPr>
        <w:t>项目编号：</w:t>
      </w:r>
      <w:r>
        <w:rPr>
          <w:rFonts w:hint="eastAsia" w:ascii="宋体" w:hAnsi="DotumChe" w:cs="宋体"/>
          <w:b/>
          <w:spacing w:val="11"/>
          <w:kern w:val="0"/>
          <w:sz w:val="28"/>
          <w:szCs w:val="28"/>
          <w:highlight w:val="none"/>
          <w:lang w:val="en-US" w:eastAsia="zh-CN"/>
        </w:rPr>
        <w:t>AHZQ-F-20241129</w:t>
      </w:r>
    </w:p>
    <w:p w14:paraId="2F38B242">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0" w:leftChars="0" w:firstLine="606" w:firstLineChars="200"/>
        <w:jc w:val="left"/>
        <w:textAlignment w:val="auto"/>
        <w:rPr>
          <w:rFonts w:hint="eastAsia" w:ascii="宋体" w:hAnsi="DotumChe" w:eastAsia="宋体" w:cs="宋体"/>
          <w:b/>
          <w:bCs w:val="0"/>
          <w:color w:val="auto"/>
          <w:spacing w:val="11"/>
          <w:kern w:val="0"/>
          <w:sz w:val="28"/>
          <w:szCs w:val="28"/>
          <w:highlight w:val="none"/>
          <w:lang w:eastAsia="zh-CN"/>
        </w:rPr>
      </w:pPr>
      <w:r>
        <w:rPr>
          <w:rFonts w:hint="eastAsia" w:ascii="宋体" w:hAnsi="DotumChe" w:eastAsia="宋体" w:cs="宋体"/>
          <w:b/>
          <w:bCs w:val="0"/>
          <w:color w:val="auto"/>
          <w:spacing w:val="11"/>
          <w:kern w:val="0"/>
          <w:sz w:val="28"/>
          <w:szCs w:val="28"/>
          <w:highlight w:val="none"/>
        </w:rPr>
        <w:t>采 购 人：</w:t>
      </w:r>
      <w:r>
        <w:rPr>
          <w:rFonts w:hint="eastAsia" w:ascii="宋体" w:hAnsi="DotumChe" w:eastAsia="宋体" w:cs="宋体"/>
          <w:b/>
          <w:bCs w:val="0"/>
          <w:color w:val="auto"/>
          <w:spacing w:val="11"/>
          <w:kern w:val="0"/>
          <w:sz w:val="28"/>
          <w:szCs w:val="28"/>
          <w:highlight w:val="none"/>
          <w:lang w:eastAsia="zh-CN"/>
        </w:rPr>
        <w:t>六安市</w:t>
      </w:r>
      <w:r>
        <w:rPr>
          <w:rFonts w:hint="eastAsia" w:ascii="宋体" w:hAnsi="DotumChe" w:eastAsia="宋体" w:cs="宋体"/>
          <w:b/>
          <w:bCs w:val="0"/>
          <w:color w:val="auto"/>
          <w:spacing w:val="11"/>
          <w:kern w:val="0"/>
          <w:sz w:val="28"/>
          <w:szCs w:val="28"/>
          <w:highlight w:val="none"/>
          <w:lang w:val="en-US" w:eastAsia="zh-CN"/>
        </w:rPr>
        <w:t>水利局</w:t>
      </w:r>
    </w:p>
    <w:p w14:paraId="2784B057">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0" w:leftChars="0" w:firstLine="606" w:firstLineChars="200"/>
        <w:jc w:val="left"/>
        <w:textAlignment w:val="auto"/>
        <w:rPr>
          <w:rFonts w:hint="eastAsia" w:ascii="宋体" w:hAnsi="DotumChe" w:eastAsia="宋体" w:cs="宋体"/>
          <w:b/>
          <w:bCs w:val="0"/>
          <w:color w:val="auto"/>
          <w:spacing w:val="11"/>
          <w:kern w:val="0"/>
          <w:sz w:val="28"/>
          <w:szCs w:val="28"/>
          <w:highlight w:val="none"/>
        </w:rPr>
      </w:pPr>
      <w:r>
        <w:rPr>
          <w:rFonts w:hint="eastAsia" w:ascii="宋体" w:hAnsi="DotumChe" w:eastAsia="宋体" w:cs="宋体"/>
          <w:b/>
          <w:bCs w:val="0"/>
          <w:color w:val="auto"/>
          <w:spacing w:val="11"/>
          <w:kern w:val="0"/>
          <w:sz w:val="28"/>
          <w:szCs w:val="28"/>
          <w:highlight w:val="none"/>
        </w:rPr>
        <w:t>采购代理机构：</w:t>
      </w:r>
      <w:r>
        <w:rPr>
          <w:rFonts w:hint="eastAsia" w:ascii="宋体" w:hAnsi="DotumChe" w:cs="宋体"/>
          <w:b/>
          <w:spacing w:val="11"/>
          <w:kern w:val="0"/>
          <w:sz w:val="28"/>
          <w:szCs w:val="28"/>
          <w:highlight w:val="none"/>
          <w:lang w:val="en-US" w:eastAsia="zh-CN"/>
        </w:rPr>
        <w:t>安徽振启建设项目管理有限公司</w:t>
      </w:r>
    </w:p>
    <w:p w14:paraId="07B5BB30">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0" w:leftChars="0" w:firstLine="606" w:firstLineChars="200"/>
        <w:jc w:val="left"/>
        <w:textAlignment w:val="auto"/>
        <w:rPr>
          <w:rFonts w:hint="eastAsia" w:ascii="宋体" w:hAnsi="DotumChe" w:eastAsia="宋体" w:cs="宋体"/>
          <w:b/>
          <w:bCs w:val="0"/>
          <w:color w:val="auto"/>
          <w:spacing w:val="11"/>
          <w:kern w:val="0"/>
          <w:sz w:val="28"/>
          <w:szCs w:val="28"/>
          <w:highlight w:val="none"/>
        </w:rPr>
      </w:pPr>
      <w:r>
        <w:rPr>
          <w:rFonts w:hint="eastAsia" w:ascii="宋体" w:hAnsi="DotumChe" w:eastAsia="宋体" w:cs="宋体"/>
          <w:b/>
          <w:bCs w:val="0"/>
          <w:color w:val="auto"/>
          <w:spacing w:val="11"/>
          <w:kern w:val="0"/>
          <w:sz w:val="28"/>
          <w:szCs w:val="28"/>
          <w:highlight w:val="none"/>
        </w:rPr>
        <w:t>采购时间：202</w:t>
      </w:r>
      <w:r>
        <w:rPr>
          <w:rFonts w:hint="eastAsia" w:ascii="宋体" w:hAnsi="DotumChe" w:cs="宋体"/>
          <w:b/>
          <w:bCs w:val="0"/>
          <w:color w:val="auto"/>
          <w:spacing w:val="11"/>
          <w:kern w:val="0"/>
          <w:sz w:val="28"/>
          <w:szCs w:val="28"/>
          <w:highlight w:val="none"/>
          <w:lang w:val="en-US" w:eastAsia="zh-CN"/>
        </w:rPr>
        <w:t>4</w:t>
      </w:r>
      <w:r>
        <w:rPr>
          <w:rFonts w:hint="eastAsia" w:ascii="宋体" w:hAnsi="DotumChe" w:eastAsia="宋体" w:cs="宋体"/>
          <w:b/>
          <w:bCs w:val="0"/>
          <w:color w:val="auto"/>
          <w:spacing w:val="11"/>
          <w:kern w:val="0"/>
          <w:sz w:val="28"/>
          <w:szCs w:val="28"/>
          <w:highlight w:val="none"/>
        </w:rPr>
        <w:t>年</w:t>
      </w:r>
      <w:r>
        <w:rPr>
          <w:rFonts w:hint="eastAsia" w:ascii="宋体" w:hAnsi="DotumChe" w:eastAsia="宋体" w:cs="宋体"/>
          <w:b/>
          <w:bCs w:val="0"/>
          <w:color w:val="auto"/>
          <w:spacing w:val="11"/>
          <w:kern w:val="0"/>
          <w:sz w:val="28"/>
          <w:szCs w:val="28"/>
          <w:highlight w:val="none"/>
          <w:lang w:val="en-US" w:eastAsia="zh-CN"/>
        </w:rPr>
        <w:t>1</w:t>
      </w:r>
      <w:r>
        <w:rPr>
          <w:rFonts w:hint="eastAsia" w:ascii="宋体" w:hAnsi="DotumChe" w:cs="宋体"/>
          <w:b/>
          <w:bCs w:val="0"/>
          <w:color w:val="auto"/>
          <w:spacing w:val="11"/>
          <w:kern w:val="0"/>
          <w:sz w:val="28"/>
          <w:szCs w:val="28"/>
          <w:highlight w:val="none"/>
          <w:lang w:val="en-US" w:eastAsia="zh-CN"/>
        </w:rPr>
        <w:t>2</w:t>
      </w:r>
      <w:r>
        <w:rPr>
          <w:rFonts w:hint="eastAsia" w:ascii="宋体" w:hAnsi="DotumChe" w:eastAsia="宋体" w:cs="宋体"/>
          <w:b/>
          <w:bCs w:val="0"/>
          <w:color w:val="auto"/>
          <w:spacing w:val="11"/>
          <w:kern w:val="0"/>
          <w:sz w:val="28"/>
          <w:szCs w:val="28"/>
          <w:highlight w:val="none"/>
        </w:rPr>
        <w:t xml:space="preserve">月 </w:t>
      </w:r>
    </w:p>
    <w:p w14:paraId="2437FD87">
      <w:pPr>
        <w:spacing w:line="360" w:lineRule="auto"/>
        <w:rPr>
          <w:rFonts w:hint="eastAsia" w:ascii="宋体" w:hAnsi="宋体" w:eastAsia="宋体" w:cs="宋体"/>
          <w:color w:val="auto"/>
          <w:sz w:val="32"/>
          <w:szCs w:val="32"/>
          <w:highlight w:val="none"/>
        </w:rPr>
      </w:pPr>
    </w:p>
    <w:p w14:paraId="10D27C90">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563C619">
      <w:pPr>
        <w:jc w:val="center"/>
        <w:rPr>
          <w:rFonts w:hint="eastAsia" w:ascii="宋体" w:hAnsi="宋体" w:eastAsia="宋体" w:cs="宋体"/>
          <w:b/>
          <w:color w:val="auto"/>
          <w:sz w:val="36"/>
          <w:szCs w:val="36"/>
          <w:highlight w:val="none"/>
        </w:rPr>
      </w:pPr>
    </w:p>
    <w:p w14:paraId="416AC95E">
      <w:pPr>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目  录</w:t>
      </w:r>
    </w:p>
    <w:p w14:paraId="150FCACD">
      <w:pPr>
        <w:pStyle w:val="26"/>
        <w:tabs>
          <w:tab w:val="right" w:leader="dot" w:pos="8844"/>
        </w:tabs>
        <w:spacing w:line="420" w:lineRule="exact"/>
        <w:ind w:left="0" w:leftChars="0" w:firstLine="420" w:firstLineChars="150"/>
        <w:rPr>
          <w:rFonts w:hint="eastAsia" w:ascii="宋体" w:hAnsi="宋体" w:eastAsia="宋体" w:cs="宋体"/>
          <w:b/>
          <w:bCs/>
          <w:color w:val="auto"/>
          <w:sz w:val="24"/>
          <w:szCs w:val="22"/>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"1-3" \h \z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"_Toc11748" </w:instrText>
      </w:r>
      <w:r>
        <w:rPr>
          <w:rFonts w:hint="eastAsia" w:ascii="宋体" w:hAnsi="宋体" w:eastAsia="宋体" w:cs="宋体"/>
          <w:color w:val="auto"/>
          <w:highlight w:val="none"/>
        </w:rPr>
        <w:fldChar w:fldCharType="separate"/>
      </w:r>
      <w:r>
        <w:rPr>
          <w:rFonts w:hint="eastAsia" w:ascii="宋体" w:hAnsi="宋体" w:cs="宋体"/>
          <w:b/>
          <w:bCs/>
          <w:color w:val="auto"/>
          <w:sz w:val="24"/>
          <w:szCs w:val="36"/>
          <w:highlight w:val="none"/>
          <w:lang w:eastAsia="zh-CN"/>
        </w:rPr>
        <w:t>谈判</w:t>
      </w:r>
      <w:r>
        <w:rPr>
          <w:rFonts w:hint="eastAsia" w:ascii="宋体" w:hAnsi="宋体" w:cs="宋体"/>
          <w:b/>
          <w:bCs/>
          <w:color w:val="auto"/>
          <w:sz w:val="24"/>
          <w:szCs w:val="36"/>
          <w:highlight w:val="none"/>
          <w:lang w:val="en-US" w:eastAsia="zh-CN"/>
        </w:rPr>
        <w:t>公告</w:t>
      </w:r>
      <w:r>
        <w:rPr>
          <w:rFonts w:hint="eastAsia" w:ascii="宋体" w:hAnsi="宋体" w:eastAsia="宋体" w:cs="宋体"/>
          <w:b/>
          <w:bCs/>
          <w:color w:val="auto"/>
          <w:sz w:val="24"/>
          <w:szCs w:val="22"/>
          <w:highlight w:val="none"/>
        </w:rPr>
        <w:tab/>
      </w:r>
      <w:r>
        <w:rPr>
          <w:rFonts w:hint="eastAsia" w:ascii="宋体" w:hAnsi="宋体" w:cs="宋体"/>
          <w:b/>
          <w:bCs/>
          <w:color w:val="auto"/>
          <w:sz w:val="24"/>
          <w:szCs w:val="22"/>
          <w:highlight w:val="none"/>
          <w:lang w:val="en-US" w:eastAsia="zh-CN"/>
        </w:rPr>
        <w:t>3</w:t>
      </w:r>
      <w:r>
        <w:rPr>
          <w:rFonts w:hint="eastAsia" w:ascii="宋体" w:hAnsi="宋体" w:eastAsia="宋体" w:cs="宋体"/>
          <w:b/>
          <w:bCs/>
          <w:color w:val="auto"/>
          <w:sz w:val="24"/>
          <w:szCs w:val="22"/>
          <w:highlight w:val="none"/>
        </w:rPr>
        <w:fldChar w:fldCharType="end"/>
      </w:r>
    </w:p>
    <w:p w14:paraId="2B9F4A75">
      <w:pPr>
        <w:pStyle w:val="26"/>
        <w:tabs>
          <w:tab w:val="right" w:leader="dot" w:pos="8844"/>
        </w:tabs>
        <w:spacing w:line="420" w:lineRule="exact"/>
        <w:ind w:left="0" w:leftChars="0" w:firstLine="420" w:firstLineChars="200"/>
        <w:rPr>
          <w:rFonts w:hint="eastAsia" w:ascii="宋体" w:hAnsi="宋体" w:eastAsia="宋体" w:cs="宋体"/>
          <w:b/>
          <w:bCs/>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"_Toc6167"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36"/>
          <w:highlight w:val="none"/>
        </w:rPr>
        <w:t>一、供应商须知</w:t>
      </w:r>
      <w:r>
        <w:rPr>
          <w:rFonts w:hint="eastAsia" w:ascii="宋体" w:hAnsi="宋体" w:eastAsia="宋体" w:cs="宋体"/>
          <w:b/>
          <w:bCs/>
          <w:color w:val="auto"/>
          <w:sz w:val="24"/>
          <w:szCs w:val="22"/>
          <w:highlight w:val="none"/>
        </w:rPr>
        <w:tab/>
      </w:r>
      <w:r>
        <w:rPr>
          <w:rFonts w:hint="eastAsia" w:ascii="宋体" w:hAnsi="宋体" w:cs="宋体"/>
          <w:b/>
          <w:bCs/>
          <w:color w:val="auto"/>
          <w:sz w:val="24"/>
          <w:szCs w:val="22"/>
          <w:highlight w:val="none"/>
          <w:lang w:val="en-US" w:eastAsia="zh-CN"/>
        </w:rPr>
        <w:t>6</w:t>
      </w:r>
      <w:r>
        <w:rPr>
          <w:rFonts w:hint="eastAsia" w:ascii="宋体" w:hAnsi="宋体" w:eastAsia="宋体" w:cs="宋体"/>
          <w:b/>
          <w:bCs/>
          <w:color w:val="auto"/>
          <w:sz w:val="24"/>
          <w:szCs w:val="22"/>
          <w:highlight w:val="none"/>
        </w:rPr>
        <w:fldChar w:fldCharType="end"/>
      </w:r>
    </w:p>
    <w:p w14:paraId="718C1364">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"_Toc30850"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（一）须知前附表</w:t>
      </w:r>
      <w:r>
        <w:rPr>
          <w:rFonts w:hint="eastAsia" w:ascii="宋体" w:hAnsi="宋体" w:eastAsia="宋体" w:cs="宋体"/>
          <w:color w:val="auto"/>
          <w:sz w:val="24"/>
          <w:szCs w:val="22"/>
          <w:highlight w:val="none"/>
        </w:rPr>
        <w:tab/>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rPr>
        <w:fldChar w:fldCharType="end"/>
      </w:r>
    </w:p>
    <w:p w14:paraId="2AE714C4">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"_Toc7480"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（二）供应商资格</w:t>
      </w:r>
      <w:r>
        <w:rPr>
          <w:rFonts w:hint="eastAsia" w:ascii="宋体" w:hAnsi="宋体" w:eastAsia="宋体" w:cs="宋体"/>
          <w:color w:val="auto"/>
          <w:sz w:val="24"/>
          <w:szCs w:val="22"/>
          <w:highlight w:val="none"/>
        </w:rPr>
        <w:tab/>
      </w:r>
      <w:r>
        <w:rPr>
          <w:rFonts w:hint="eastAsia" w:ascii="宋体" w:hAnsi="宋体" w:cs="宋体"/>
          <w:color w:val="auto"/>
          <w:sz w:val="24"/>
          <w:szCs w:val="22"/>
          <w:highlight w:val="none"/>
          <w:lang w:val="en-US" w:eastAsia="zh-CN"/>
        </w:rPr>
        <w:t>9</w:t>
      </w:r>
      <w:r>
        <w:rPr>
          <w:rFonts w:hint="eastAsia" w:ascii="宋体" w:hAnsi="宋体" w:eastAsia="宋体" w:cs="宋体"/>
          <w:color w:val="auto"/>
          <w:sz w:val="24"/>
          <w:szCs w:val="22"/>
          <w:highlight w:val="none"/>
        </w:rPr>
        <w:fldChar w:fldCharType="end"/>
      </w:r>
    </w:p>
    <w:p w14:paraId="68838F55">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"_Toc24351"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（三）供应商必须提交的响应文件内容</w:t>
      </w:r>
      <w:r>
        <w:rPr>
          <w:rFonts w:hint="eastAsia" w:ascii="宋体" w:hAnsi="宋体" w:eastAsia="宋体" w:cs="宋体"/>
          <w:color w:val="auto"/>
          <w:sz w:val="24"/>
          <w:szCs w:val="22"/>
          <w:highlight w:val="none"/>
        </w:rPr>
        <w:tab/>
      </w:r>
      <w:r>
        <w:rPr>
          <w:rFonts w:hint="eastAsia" w:ascii="宋体" w:hAnsi="宋体" w:cs="宋体"/>
          <w:color w:val="auto"/>
          <w:sz w:val="24"/>
          <w:szCs w:val="22"/>
          <w:highlight w:val="none"/>
          <w:lang w:val="en-US" w:eastAsia="zh-CN"/>
        </w:rPr>
        <w:t>9</w:t>
      </w:r>
      <w:r>
        <w:rPr>
          <w:rFonts w:hint="eastAsia" w:ascii="宋体" w:hAnsi="宋体" w:eastAsia="宋体" w:cs="宋体"/>
          <w:color w:val="auto"/>
          <w:sz w:val="24"/>
          <w:szCs w:val="22"/>
          <w:highlight w:val="none"/>
        </w:rPr>
        <w:fldChar w:fldCharType="end"/>
      </w:r>
    </w:p>
    <w:p w14:paraId="68061577">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"_Toc10637"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（四）响应文件的提交</w:t>
      </w:r>
      <w:r>
        <w:rPr>
          <w:rFonts w:hint="eastAsia" w:ascii="宋体" w:hAnsi="宋体" w:eastAsia="宋体" w:cs="宋体"/>
          <w:color w:val="auto"/>
          <w:sz w:val="24"/>
          <w:szCs w:val="22"/>
          <w:highlight w:val="none"/>
        </w:rPr>
        <w:tab/>
      </w:r>
      <w:r>
        <w:rPr>
          <w:rFonts w:hint="eastAsia" w:ascii="宋体" w:hAnsi="宋体" w:cs="宋体"/>
          <w:color w:val="auto"/>
          <w:sz w:val="24"/>
          <w:szCs w:val="22"/>
          <w:highlight w:val="none"/>
          <w:lang w:val="en-US" w:eastAsia="zh-CN"/>
        </w:rPr>
        <w:t>9</w:t>
      </w:r>
      <w:r>
        <w:rPr>
          <w:rFonts w:hint="eastAsia" w:ascii="宋体" w:hAnsi="宋体" w:eastAsia="宋体" w:cs="宋体"/>
          <w:color w:val="auto"/>
          <w:sz w:val="24"/>
          <w:szCs w:val="22"/>
          <w:highlight w:val="none"/>
        </w:rPr>
        <w:fldChar w:fldCharType="end"/>
      </w:r>
    </w:p>
    <w:p w14:paraId="7DFD029E">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"_Toc32094"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（五）谈判程序</w:t>
      </w:r>
      <w:r>
        <w:rPr>
          <w:rFonts w:hint="eastAsia" w:ascii="宋体" w:hAnsi="宋体" w:eastAsia="宋体" w:cs="宋体"/>
          <w:color w:val="auto"/>
          <w:sz w:val="24"/>
          <w:szCs w:val="22"/>
          <w:highlight w:val="none"/>
        </w:rPr>
        <w:tab/>
      </w:r>
      <w:r>
        <w:rPr>
          <w:rFonts w:hint="eastAsia" w:ascii="宋体" w:hAnsi="宋体" w:cs="宋体"/>
          <w:color w:val="auto"/>
          <w:sz w:val="24"/>
          <w:szCs w:val="22"/>
          <w:highlight w:val="none"/>
          <w:lang w:val="en-US" w:eastAsia="zh-CN"/>
        </w:rPr>
        <w:t>9</w:t>
      </w:r>
      <w:r>
        <w:rPr>
          <w:rFonts w:hint="eastAsia" w:ascii="宋体" w:hAnsi="宋体" w:eastAsia="宋体" w:cs="宋体"/>
          <w:color w:val="auto"/>
          <w:sz w:val="24"/>
          <w:szCs w:val="22"/>
          <w:highlight w:val="none"/>
        </w:rPr>
        <w:fldChar w:fldCharType="end"/>
      </w:r>
    </w:p>
    <w:p w14:paraId="4C4B9D4B">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"_Toc23066"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（六）评审及异常情况处理</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_Toc23066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0</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754DD5A0">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"_Toc8290"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（七）报价响应及答疑</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_Toc8290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0</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3E3A7C5D">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"_Toc30358"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（八）合同的签订</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_Toc30358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1</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1EE3A1EB">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"_Toc20485"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（九）澄清及变更</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_Toc20485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1</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12690DED">
      <w:pPr>
        <w:pStyle w:val="26"/>
        <w:tabs>
          <w:tab w:val="right" w:leader="dot" w:pos="8844"/>
        </w:tabs>
        <w:spacing w:line="420" w:lineRule="exact"/>
        <w:ind w:left="0" w:leftChars="0" w:firstLine="420" w:firstLineChars="200"/>
        <w:rPr>
          <w:rFonts w:hint="eastAsia" w:ascii="宋体" w:hAnsi="宋体" w:eastAsia="宋体" w:cs="宋体"/>
          <w:b/>
          <w:bCs/>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"_Toc32519"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36"/>
          <w:highlight w:val="none"/>
        </w:rPr>
        <w:t>二、采购合同</w:t>
      </w:r>
      <w:r>
        <w:rPr>
          <w:rFonts w:hint="eastAsia" w:ascii="宋体" w:hAnsi="宋体" w:eastAsia="宋体" w:cs="宋体"/>
          <w:b/>
          <w:bCs/>
          <w:color w:val="auto"/>
          <w:sz w:val="24"/>
          <w:szCs w:val="22"/>
          <w:highlight w:val="none"/>
        </w:rPr>
        <w:tab/>
      </w:r>
      <w:r>
        <w:rPr>
          <w:rFonts w:hint="eastAsia" w:ascii="宋体" w:hAnsi="宋体" w:eastAsia="宋体" w:cs="宋体"/>
          <w:b/>
          <w:bCs/>
          <w:color w:val="auto"/>
          <w:sz w:val="24"/>
          <w:szCs w:val="22"/>
          <w:highlight w:val="none"/>
        </w:rPr>
        <w:fldChar w:fldCharType="begin"/>
      </w:r>
      <w:r>
        <w:rPr>
          <w:rFonts w:hint="eastAsia" w:ascii="宋体" w:hAnsi="宋体" w:eastAsia="宋体" w:cs="宋体"/>
          <w:b/>
          <w:bCs/>
          <w:color w:val="auto"/>
          <w:sz w:val="24"/>
          <w:szCs w:val="22"/>
          <w:highlight w:val="none"/>
        </w:rPr>
        <w:instrText xml:space="preserve"> PAGEREF _Toc32519 \h </w:instrText>
      </w:r>
      <w:r>
        <w:rPr>
          <w:rFonts w:hint="eastAsia" w:ascii="宋体" w:hAnsi="宋体" w:eastAsia="宋体" w:cs="宋体"/>
          <w:b/>
          <w:bCs/>
          <w:color w:val="auto"/>
          <w:sz w:val="24"/>
          <w:szCs w:val="22"/>
          <w:highlight w:val="none"/>
        </w:rPr>
        <w:fldChar w:fldCharType="separate"/>
      </w:r>
      <w:r>
        <w:rPr>
          <w:rFonts w:hint="eastAsia" w:ascii="宋体" w:hAnsi="宋体" w:eastAsia="宋体" w:cs="宋体"/>
          <w:b/>
          <w:bCs/>
          <w:color w:val="auto"/>
          <w:sz w:val="24"/>
          <w:szCs w:val="22"/>
          <w:highlight w:val="none"/>
        </w:rPr>
        <w:t>1</w:t>
      </w:r>
      <w:r>
        <w:rPr>
          <w:rFonts w:hint="eastAsia" w:ascii="宋体" w:hAnsi="宋体" w:cs="宋体"/>
          <w:b/>
          <w:bCs/>
          <w:color w:val="auto"/>
          <w:sz w:val="24"/>
          <w:szCs w:val="22"/>
          <w:highlight w:val="none"/>
          <w:lang w:val="en-US" w:eastAsia="zh-CN"/>
        </w:rPr>
        <w:t>2</w:t>
      </w:r>
      <w:r>
        <w:rPr>
          <w:rFonts w:hint="eastAsia" w:ascii="宋体" w:hAnsi="宋体" w:eastAsia="宋体" w:cs="宋体"/>
          <w:b/>
          <w:bCs/>
          <w:color w:val="auto"/>
          <w:sz w:val="24"/>
          <w:szCs w:val="22"/>
          <w:highlight w:val="none"/>
        </w:rPr>
        <w:fldChar w:fldCharType="end"/>
      </w:r>
      <w:r>
        <w:rPr>
          <w:rFonts w:hint="eastAsia" w:ascii="宋体" w:hAnsi="宋体" w:eastAsia="宋体" w:cs="宋体"/>
          <w:b/>
          <w:bCs/>
          <w:color w:val="auto"/>
          <w:sz w:val="24"/>
          <w:szCs w:val="22"/>
          <w:highlight w:val="none"/>
        </w:rPr>
        <w:fldChar w:fldCharType="end"/>
      </w:r>
    </w:p>
    <w:p w14:paraId="4036BB41">
      <w:pPr>
        <w:pStyle w:val="26"/>
        <w:tabs>
          <w:tab w:val="right" w:leader="dot" w:pos="8844"/>
        </w:tabs>
        <w:spacing w:line="420" w:lineRule="exact"/>
        <w:ind w:left="0" w:leftChars="0" w:firstLine="420" w:firstLineChars="200"/>
        <w:rPr>
          <w:rFonts w:hint="eastAsia" w:ascii="宋体" w:hAnsi="宋体" w:eastAsia="宋体" w:cs="宋体"/>
          <w:b/>
          <w:bCs/>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"_Toc10203"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36"/>
          <w:highlight w:val="none"/>
        </w:rPr>
        <w:t>三、采购需求</w:t>
      </w:r>
      <w:r>
        <w:rPr>
          <w:rFonts w:hint="eastAsia" w:ascii="宋体" w:hAnsi="宋体" w:eastAsia="宋体" w:cs="宋体"/>
          <w:b/>
          <w:bCs/>
          <w:color w:val="auto"/>
          <w:sz w:val="24"/>
          <w:szCs w:val="22"/>
          <w:highlight w:val="none"/>
        </w:rPr>
        <w:tab/>
      </w:r>
      <w:r>
        <w:rPr>
          <w:rFonts w:hint="eastAsia" w:ascii="宋体" w:hAnsi="宋体" w:eastAsia="宋体" w:cs="宋体"/>
          <w:b/>
          <w:bCs/>
          <w:color w:val="auto"/>
          <w:sz w:val="24"/>
          <w:szCs w:val="22"/>
          <w:highlight w:val="none"/>
        </w:rPr>
        <w:fldChar w:fldCharType="begin"/>
      </w:r>
      <w:r>
        <w:rPr>
          <w:rFonts w:hint="eastAsia" w:ascii="宋体" w:hAnsi="宋体" w:eastAsia="宋体" w:cs="宋体"/>
          <w:b/>
          <w:bCs/>
          <w:color w:val="auto"/>
          <w:sz w:val="24"/>
          <w:szCs w:val="22"/>
          <w:highlight w:val="none"/>
        </w:rPr>
        <w:instrText xml:space="preserve"> PAGEREF _Toc10203 \h </w:instrText>
      </w:r>
      <w:r>
        <w:rPr>
          <w:rFonts w:hint="eastAsia" w:ascii="宋体" w:hAnsi="宋体" w:eastAsia="宋体" w:cs="宋体"/>
          <w:b/>
          <w:bCs/>
          <w:color w:val="auto"/>
          <w:sz w:val="24"/>
          <w:szCs w:val="22"/>
          <w:highlight w:val="none"/>
        </w:rPr>
        <w:fldChar w:fldCharType="separate"/>
      </w:r>
      <w:r>
        <w:rPr>
          <w:rFonts w:hint="eastAsia" w:ascii="宋体" w:hAnsi="宋体" w:cs="宋体"/>
          <w:b/>
          <w:bCs/>
          <w:color w:val="auto"/>
          <w:sz w:val="24"/>
          <w:szCs w:val="22"/>
          <w:highlight w:val="none"/>
          <w:lang w:val="en-US" w:eastAsia="zh-CN"/>
        </w:rPr>
        <w:t>21</w:t>
      </w:r>
      <w:r>
        <w:rPr>
          <w:rFonts w:hint="eastAsia" w:ascii="宋体" w:hAnsi="宋体" w:eastAsia="宋体" w:cs="宋体"/>
          <w:b/>
          <w:bCs/>
          <w:color w:val="auto"/>
          <w:sz w:val="24"/>
          <w:szCs w:val="22"/>
          <w:highlight w:val="none"/>
        </w:rPr>
        <w:fldChar w:fldCharType="end"/>
      </w:r>
      <w:r>
        <w:rPr>
          <w:rFonts w:hint="eastAsia" w:ascii="宋体" w:hAnsi="宋体" w:eastAsia="宋体" w:cs="宋体"/>
          <w:b/>
          <w:bCs/>
          <w:color w:val="auto"/>
          <w:sz w:val="24"/>
          <w:szCs w:val="22"/>
          <w:highlight w:val="none"/>
        </w:rPr>
        <w:fldChar w:fldCharType="end"/>
      </w:r>
    </w:p>
    <w:p w14:paraId="69E8E1D9">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"_Toc16717"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36"/>
          <w:highlight w:val="none"/>
        </w:rPr>
        <w:t>四、响应文件格式</w:t>
      </w:r>
      <w:r>
        <w:rPr>
          <w:rFonts w:hint="eastAsia" w:ascii="宋体" w:hAnsi="宋体" w:eastAsia="宋体" w:cs="宋体"/>
          <w:b/>
          <w:bCs/>
          <w:color w:val="auto"/>
          <w:sz w:val="24"/>
          <w:szCs w:val="22"/>
          <w:highlight w:val="none"/>
        </w:rPr>
        <w:tab/>
      </w:r>
      <w:r>
        <w:rPr>
          <w:rFonts w:hint="eastAsia" w:ascii="宋体" w:hAnsi="宋体" w:eastAsia="宋体" w:cs="宋体"/>
          <w:b/>
          <w:bCs/>
          <w:color w:val="auto"/>
          <w:sz w:val="24"/>
          <w:szCs w:val="22"/>
          <w:highlight w:val="none"/>
        </w:rPr>
        <w:fldChar w:fldCharType="begin"/>
      </w:r>
      <w:r>
        <w:rPr>
          <w:rFonts w:hint="eastAsia" w:ascii="宋体" w:hAnsi="宋体" w:eastAsia="宋体" w:cs="宋体"/>
          <w:b/>
          <w:bCs/>
          <w:color w:val="auto"/>
          <w:sz w:val="24"/>
          <w:szCs w:val="22"/>
          <w:highlight w:val="none"/>
        </w:rPr>
        <w:instrText xml:space="preserve"> PAGEREF _Toc16717 \h </w:instrText>
      </w:r>
      <w:r>
        <w:rPr>
          <w:rFonts w:hint="eastAsia" w:ascii="宋体" w:hAnsi="宋体" w:eastAsia="宋体" w:cs="宋体"/>
          <w:b/>
          <w:bCs/>
          <w:color w:val="auto"/>
          <w:sz w:val="24"/>
          <w:szCs w:val="22"/>
          <w:highlight w:val="none"/>
        </w:rPr>
        <w:fldChar w:fldCharType="separate"/>
      </w:r>
      <w:r>
        <w:rPr>
          <w:rFonts w:hint="eastAsia" w:ascii="宋体" w:hAnsi="宋体" w:eastAsia="宋体" w:cs="宋体"/>
          <w:b/>
          <w:bCs/>
          <w:color w:val="auto"/>
          <w:sz w:val="24"/>
          <w:szCs w:val="22"/>
          <w:highlight w:val="none"/>
        </w:rPr>
        <w:t>2</w:t>
      </w:r>
      <w:r>
        <w:rPr>
          <w:rFonts w:hint="eastAsia" w:ascii="宋体" w:hAnsi="宋体" w:cs="宋体"/>
          <w:b/>
          <w:bCs/>
          <w:color w:val="auto"/>
          <w:sz w:val="24"/>
          <w:szCs w:val="22"/>
          <w:highlight w:val="none"/>
          <w:lang w:val="en-US" w:eastAsia="zh-CN"/>
        </w:rPr>
        <w:t>4</w:t>
      </w:r>
      <w:r>
        <w:rPr>
          <w:rFonts w:hint="eastAsia" w:ascii="宋体" w:hAnsi="宋体" w:eastAsia="宋体" w:cs="宋体"/>
          <w:b/>
          <w:bCs/>
          <w:color w:val="auto"/>
          <w:sz w:val="24"/>
          <w:szCs w:val="22"/>
          <w:highlight w:val="none"/>
        </w:rPr>
        <w:fldChar w:fldCharType="end"/>
      </w:r>
      <w:r>
        <w:rPr>
          <w:rFonts w:hint="eastAsia" w:ascii="宋体" w:hAnsi="宋体" w:eastAsia="宋体" w:cs="宋体"/>
          <w:b/>
          <w:bCs/>
          <w:color w:val="auto"/>
          <w:sz w:val="24"/>
          <w:szCs w:val="22"/>
          <w:highlight w:val="none"/>
        </w:rPr>
        <w:fldChar w:fldCharType="end"/>
      </w:r>
    </w:p>
    <w:p w14:paraId="77F5E14B">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"_Toc219"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响应文件资料清单</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_Toc219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2</w:t>
      </w:r>
      <w:r>
        <w:rPr>
          <w:rFonts w:hint="eastAsia" w:ascii="宋体" w:hAnsi="宋体" w:cs="宋体"/>
          <w:color w:val="auto"/>
          <w:sz w:val="24"/>
          <w:szCs w:val="22"/>
          <w:highlight w:val="none"/>
          <w:lang w:val="en-US" w:eastAsia="zh-CN"/>
        </w:rPr>
        <w:t>5</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23280816">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"_Toc10531"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附件一 报价单</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_Toc10531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2</w:t>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2C5442B0">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"_Toc20862"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附件二 供应商基本信息</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_Toc20862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2</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2BC47C9F">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"_Toc18811"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附件三 谈判授权书</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_Toc18811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2</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1A65D325">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"_Toc22863"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附件四 谈判响应函</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_Toc22863 \h </w:instrText>
      </w:r>
      <w:r>
        <w:rPr>
          <w:rFonts w:hint="eastAsia" w:ascii="宋体" w:hAnsi="宋体" w:eastAsia="宋体" w:cs="宋体"/>
          <w:color w:val="auto"/>
          <w:sz w:val="24"/>
          <w:szCs w:val="22"/>
          <w:highlight w:val="none"/>
        </w:rPr>
        <w:fldChar w:fldCharType="separate"/>
      </w:r>
      <w:r>
        <w:rPr>
          <w:rFonts w:hint="eastAsia" w:ascii="宋体" w:hAnsi="宋体" w:cs="宋体"/>
          <w:color w:val="auto"/>
          <w:sz w:val="24"/>
          <w:szCs w:val="22"/>
          <w:highlight w:val="none"/>
          <w:lang w:val="en-US" w:eastAsia="zh-CN"/>
        </w:rPr>
        <w:t>28</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1F8FD6E3">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"_Toc1914"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 xml:space="preserve">附件五 </w:t>
      </w:r>
      <w:r>
        <w:rPr>
          <w:rFonts w:hint="eastAsia" w:ascii="宋体" w:hAnsi="宋体" w:eastAsia="宋体" w:cs="宋体"/>
          <w:color w:val="auto"/>
          <w:sz w:val="24"/>
          <w:szCs w:val="32"/>
          <w:highlight w:val="none"/>
          <w:lang w:val="zh-CN"/>
        </w:rPr>
        <w:t>无重大违法记录声明函、无不良信用记录承诺函</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_Toc1914 \h </w:instrText>
      </w:r>
      <w:r>
        <w:rPr>
          <w:rFonts w:hint="eastAsia" w:ascii="宋体" w:hAnsi="宋体" w:eastAsia="宋体" w:cs="宋体"/>
          <w:color w:val="auto"/>
          <w:sz w:val="24"/>
          <w:szCs w:val="22"/>
          <w:highlight w:val="none"/>
        </w:rPr>
        <w:fldChar w:fldCharType="separate"/>
      </w:r>
      <w:r>
        <w:rPr>
          <w:rFonts w:hint="eastAsia" w:ascii="宋体" w:hAnsi="宋体" w:cs="宋体"/>
          <w:color w:val="auto"/>
          <w:sz w:val="24"/>
          <w:szCs w:val="22"/>
          <w:highlight w:val="none"/>
          <w:lang w:val="en-US" w:eastAsia="zh-CN"/>
        </w:rPr>
        <w:t>29</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40B95CF3">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"_Toc4299"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 xml:space="preserve">附件六 </w:t>
      </w:r>
      <w:r>
        <w:rPr>
          <w:rFonts w:hint="eastAsia" w:ascii="宋体" w:hAnsi="宋体" w:eastAsia="宋体" w:cs="宋体"/>
          <w:color w:val="auto"/>
          <w:sz w:val="24"/>
          <w:szCs w:val="32"/>
          <w:highlight w:val="none"/>
          <w:lang w:val="zh-CN"/>
        </w:rPr>
        <w:t>响应情况表</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_Toc4299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3</w:t>
      </w:r>
      <w:r>
        <w:rPr>
          <w:rFonts w:hint="eastAsia" w:ascii="宋体" w:hAnsi="宋体" w:cs="宋体"/>
          <w:color w:val="auto"/>
          <w:sz w:val="24"/>
          <w:szCs w:val="22"/>
          <w:highlight w:val="none"/>
          <w:lang w:val="en-US" w:eastAsia="zh-CN"/>
        </w:rPr>
        <w:t>0</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0089D803">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"_Toc13301"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附件</w:t>
      </w:r>
      <w:r>
        <w:rPr>
          <w:rFonts w:hint="eastAsia" w:ascii="宋体" w:hAnsi="宋体" w:eastAsia="宋体" w:cs="宋体"/>
          <w:color w:val="auto"/>
          <w:sz w:val="24"/>
          <w:szCs w:val="32"/>
          <w:highlight w:val="none"/>
          <w:lang w:val="en-US" w:eastAsia="zh-CN"/>
        </w:rPr>
        <w:t>七</w:t>
      </w:r>
      <w:r>
        <w:rPr>
          <w:rFonts w:hint="eastAsia" w:ascii="宋体" w:hAnsi="宋体" w:eastAsia="宋体" w:cs="宋体"/>
          <w:color w:val="auto"/>
          <w:sz w:val="24"/>
          <w:szCs w:val="32"/>
          <w:highlight w:val="none"/>
        </w:rPr>
        <w:t xml:space="preserve"> </w:t>
      </w:r>
      <w:r>
        <w:rPr>
          <w:rFonts w:hint="eastAsia" w:ascii="宋体" w:hAnsi="宋体" w:eastAsia="宋体" w:cs="宋体"/>
          <w:bCs/>
          <w:color w:val="auto"/>
          <w:sz w:val="24"/>
          <w:szCs w:val="32"/>
          <w:highlight w:val="none"/>
        </w:rPr>
        <w:t>谈判文件要求和供应商认为需要提供的其它说明和资料</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_Toc13301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3</w:t>
      </w:r>
      <w:r>
        <w:rPr>
          <w:rFonts w:hint="eastAsia" w:ascii="宋体" w:hAnsi="宋体" w:cs="宋体"/>
          <w:color w:val="auto"/>
          <w:sz w:val="24"/>
          <w:szCs w:val="22"/>
          <w:highlight w:val="none"/>
          <w:lang w:val="en-US" w:eastAsia="zh-CN"/>
        </w:rPr>
        <w:t>1</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3B55B71C">
      <w:pPr>
        <w:pStyle w:val="26"/>
        <w:tabs>
          <w:tab w:val="right" w:leader="dot" w:pos="8778"/>
        </w:tabs>
        <w:spacing w:line="420" w:lineRule="exact"/>
        <w:ind w:left="0" w:leftChars="0" w:firstLine="42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Cs w:val="28"/>
          <w:highlight w:val="none"/>
        </w:rPr>
        <w:fldChar w:fldCharType="end"/>
      </w:r>
    </w:p>
    <w:p w14:paraId="2FC97A3C">
      <w:pPr>
        <w:pStyle w:val="63"/>
        <w:ind w:firstLine="2923" w:firstLineChars="1040"/>
        <w:rPr>
          <w:rFonts w:hint="eastAsia" w:ascii="宋体" w:hAnsi="宋体" w:eastAsia="宋体" w:cs="宋体"/>
          <w:color w:val="auto"/>
          <w:sz w:val="28"/>
          <w:szCs w:val="28"/>
          <w:highlight w:val="none"/>
        </w:rPr>
      </w:pPr>
      <w:bookmarkStart w:id="0" w:name="_Toc216158623"/>
      <w:bookmarkStart w:id="1" w:name="_Toc363199264"/>
      <w:r>
        <w:rPr>
          <w:rFonts w:hint="eastAsia" w:ascii="宋体" w:hAnsi="宋体" w:eastAsia="宋体" w:cs="宋体"/>
          <w:color w:val="auto"/>
          <w:sz w:val="28"/>
          <w:szCs w:val="28"/>
          <w:highlight w:val="none"/>
        </w:rPr>
        <w:br w:type="page"/>
      </w:r>
    </w:p>
    <w:p w14:paraId="277877F3">
      <w:pPr>
        <w:tabs>
          <w:tab w:val="left" w:pos="2410"/>
        </w:tabs>
        <w:autoSpaceDE w:val="0"/>
        <w:autoSpaceDN w:val="0"/>
        <w:adjustRightInd w:val="0"/>
        <w:snapToGrid w:val="0"/>
        <w:spacing w:line="600" w:lineRule="exact"/>
        <w:jc w:val="center"/>
        <w:rPr>
          <w:rFonts w:hint="eastAsia" w:ascii="方正小标宋简体" w:hAnsi="方正小标宋简体" w:eastAsia="方正小标宋简体" w:cs="方正小标宋简体"/>
          <w:b w:val="0"/>
          <w:bCs/>
          <w:sz w:val="44"/>
          <w:szCs w:val="44"/>
          <w:highlight w:val="none"/>
        </w:rPr>
      </w:pPr>
      <w:r>
        <w:rPr>
          <w:rFonts w:hint="eastAsia" w:ascii="宋体" w:hAnsi="宋体" w:eastAsia="宋体" w:cs="宋体"/>
          <w:b/>
          <w:bCs w:val="0"/>
          <w:color w:val="auto"/>
          <w:kern w:val="2"/>
          <w:sz w:val="36"/>
          <w:szCs w:val="36"/>
          <w:highlight w:val="none"/>
          <w:lang w:val="en-US" w:eastAsia="zh-CN" w:bidi="ar-SA"/>
        </w:rPr>
        <w:t>2024年安全生产标准化现场问题整改及汛后维修养护竞争性谈判采购公告</w:t>
      </w:r>
    </w:p>
    <w:p w14:paraId="50300151">
      <w:pPr>
        <w:pBdr>
          <w:top w:val="single" w:color="auto" w:sz="4" w:space="1"/>
          <w:left w:val="single" w:color="auto" w:sz="4" w:space="4"/>
          <w:bottom w:val="single" w:color="auto" w:sz="4" w:space="1"/>
          <w:right w:val="single" w:color="auto" w:sz="4" w:space="4"/>
        </w:pBd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r>
        <w:rPr>
          <w:rFonts w:hint="eastAsia" w:ascii="宋体" w:hAnsi="宋体" w:eastAsia="宋体" w:cs="宋体"/>
          <w:sz w:val="24"/>
          <w:szCs w:val="24"/>
          <w:highlight w:val="none"/>
          <w:u w:val="single"/>
          <w:lang w:val="en-US" w:eastAsia="zh-CN"/>
        </w:rPr>
        <w:t>2024年安全生产标准化现场问题整改及汛后维修养护</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项目编号：</w:t>
      </w:r>
      <w:r>
        <w:rPr>
          <w:rFonts w:hint="eastAsia" w:ascii="宋体" w:hAnsi="宋体" w:cs="宋体"/>
          <w:sz w:val="24"/>
          <w:szCs w:val="24"/>
          <w:highlight w:val="none"/>
          <w:u w:val="single"/>
          <w:lang w:val="en-US" w:eastAsia="zh-CN"/>
        </w:rPr>
        <w:t>AHZQ-F-20241129</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的潜在供应商应于</w:t>
      </w:r>
      <w:r>
        <w:rPr>
          <w:rFonts w:hint="eastAsia" w:ascii="宋体" w:hAnsi="宋体" w:eastAsia="宋体" w:cs="宋体"/>
          <w:sz w:val="24"/>
          <w:szCs w:val="24"/>
          <w:highlight w:val="none"/>
          <w:u w:val="single"/>
        </w:rPr>
        <w:t>2024</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05 </w:t>
      </w:r>
      <w:r>
        <w:rPr>
          <w:rFonts w:hint="eastAsia" w:ascii="宋体" w:hAnsi="宋体" w:eastAsia="宋体" w:cs="宋体"/>
          <w:sz w:val="24"/>
          <w:szCs w:val="24"/>
          <w:highlight w:val="none"/>
        </w:rPr>
        <w:t>日前</w:t>
      </w:r>
      <w:r>
        <w:rPr>
          <w:rFonts w:hint="eastAsia" w:ascii="宋体" w:hAnsi="宋体" w:eastAsia="宋体" w:cs="宋体"/>
          <w:sz w:val="24"/>
          <w:szCs w:val="24"/>
          <w:highlight w:val="none"/>
          <w:lang w:val="en-US" w:eastAsia="zh-CN"/>
        </w:rPr>
        <w:t>线上</w:t>
      </w:r>
      <w:r>
        <w:rPr>
          <w:rFonts w:hint="eastAsia" w:ascii="宋体" w:hAnsi="宋体" w:eastAsia="宋体" w:cs="宋体"/>
          <w:sz w:val="24"/>
          <w:szCs w:val="24"/>
          <w:highlight w:val="none"/>
        </w:rPr>
        <w:t>获取</w:t>
      </w:r>
      <w:r>
        <w:rPr>
          <w:rFonts w:hint="eastAsia" w:ascii="宋体" w:hAnsi="宋体" w:eastAsia="宋体" w:cs="宋体"/>
          <w:sz w:val="24"/>
          <w:szCs w:val="24"/>
          <w:highlight w:val="none"/>
          <w:lang w:eastAsia="zh-CN"/>
        </w:rPr>
        <w:t>竞争性</w:t>
      </w:r>
      <w:r>
        <w:rPr>
          <w:rFonts w:hint="eastAsia" w:ascii="宋体" w:hAnsi="宋体" w:cs="宋体"/>
          <w:sz w:val="24"/>
          <w:szCs w:val="24"/>
          <w:highlight w:val="none"/>
          <w:lang w:val="en-US" w:eastAsia="zh-CN"/>
        </w:rPr>
        <w:t>谈判</w:t>
      </w:r>
      <w:r>
        <w:rPr>
          <w:rFonts w:hint="eastAsia" w:ascii="宋体" w:hAnsi="宋体" w:eastAsia="宋体" w:cs="宋体"/>
          <w:sz w:val="24"/>
          <w:szCs w:val="24"/>
          <w:highlight w:val="none"/>
        </w:rPr>
        <w:t>文件，并于</w:t>
      </w:r>
      <w:r>
        <w:rPr>
          <w:rFonts w:hint="eastAsia" w:ascii="宋体" w:hAnsi="宋体" w:eastAsia="宋体" w:cs="宋体"/>
          <w:sz w:val="24"/>
          <w:szCs w:val="24"/>
          <w:highlight w:val="none"/>
          <w:u w:val="single"/>
        </w:rPr>
        <w:t>2024</w:t>
      </w: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12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05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lang w:val="en-US" w:eastAsia="zh-CN"/>
        </w:rPr>
        <w:t xml:space="preserve"> 9 </w:t>
      </w:r>
      <w:r>
        <w:rPr>
          <w:rFonts w:hint="eastAsia" w:ascii="宋体" w:hAnsi="宋体" w:eastAsia="宋体" w:cs="宋体"/>
          <w:sz w:val="24"/>
          <w:szCs w:val="24"/>
          <w:highlight w:val="none"/>
        </w:rPr>
        <w:t>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30 </w:t>
      </w:r>
      <w:r>
        <w:rPr>
          <w:rFonts w:hint="eastAsia" w:ascii="宋体" w:hAnsi="宋体" w:eastAsia="宋体" w:cs="宋体"/>
          <w:sz w:val="24"/>
          <w:szCs w:val="24"/>
          <w:highlight w:val="none"/>
        </w:rPr>
        <w:t xml:space="preserve"> 分（北京时间）前提交响应文件。</w:t>
      </w:r>
    </w:p>
    <w:p w14:paraId="64B8B444">
      <w:pPr>
        <w:tabs>
          <w:tab w:val="left" w:pos="720"/>
        </w:tabs>
        <w:spacing w:line="600" w:lineRule="exact"/>
        <w:ind w:firstLine="602" w:firstLineChars="2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一、项目名称及内容</w:t>
      </w:r>
    </w:p>
    <w:p w14:paraId="033F2816">
      <w:pPr>
        <w:tabs>
          <w:tab w:val="left" w:pos="720"/>
        </w:tabs>
        <w:spacing w:line="600" w:lineRule="exact"/>
        <w:ind w:left="479" w:leftChars="228" w:right="-273" w:rightChars="-130" w:firstLine="120" w:firstLineChars="5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1、项目编号：</w:t>
      </w:r>
      <w:r>
        <w:rPr>
          <w:rFonts w:hint="eastAsia" w:ascii="宋体" w:hAnsi="宋体" w:eastAsia="宋体" w:cs="宋体"/>
          <w:color w:val="auto"/>
          <w:sz w:val="24"/>
          <w:szCs w:val="24"/>
          <w:highlight w:val="none"/>
          <w:lang w:val="en-US" w:eastAsia="zh-CN"/>
        </w:rPr>
        <w:t>AHZQ-F-202411</w:t>
      </w:r>
      <w:r>
        <w:rPr>
          <w:rFonts w:hint="eastAsia" w:ascii="宋体" w:hAnsi="宋体" w:cs="宋体"/>
          <w:color w:val="auto"/>
          <w:sz w:val="24"/>
          <w:szCs w:val="24"/>
          <w:highlight w:val="none"/>
          <w:lang w:val="en-US" w:eastAsia="zh-CN"/>
        </w:rPr>
        <w:t>29</w:t>
      </w:r>
    </w:p>
    <w:p w14:paraId="254AF952">
      <w:pPr>
        <w:tabs>
          <w:tab w:val="left" w:pos="720"/>
        </w:tabs>
        <w:spacing w:line="600" w:lineRule="exact"/>
        <w:ind w:left="479" w:leftChars="228" w:right="-273" w:rightChars="-130" w:firstLine="126" w:firstLineChars="50"/>
        <w:jc w:val="left"/>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2、项目名称：</w:t>
      </w:r>
      <w:r>
        <w:rPr>
          <w:rFonts w:hint="eastAsia" w:ascii="宋体" w:hAnsi="宋体" w:eastAsia="宋体" w:cs="宋体"/>
          <w:color w:val="auto"/>
          <w:spacing w:val="6"/>
          <w:sz w:val="24"/>
          <w:szCs w:val="24"/>
          <w:highlight w:val="none"/>
          <w:lang w:val="en-US" w:eastAsia="zh-CN"/>
        </w:rPr>
        <w:t>2024年安全生产标准化现场问题整改及汛后维修养护</w:t>
      </w:r>
    </w:p>
    <w:p w14:paraId="563328B4">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3、项目实施主体（发包人）：</w:t>
      </w:r>
      <w:r>
        <w:rPr>
          <w:rFonts w:hint="eastAsia" w:ascii="宋体" w:hAnsi="宋体" w:cs="宋体"/>
          <w:color w:val="auto"/>
          <w:sz w:val="24"/>
          <w:szCs w:val="24"/>
          <w:highlight w:val="none"/>
          <w:lang w:val="en-US" w:eastAsia="zh-CN"/>
        </w:rPr>
        <w:t>六安市水利局</w:t>
      </w:r>
    </w:p>
    <w:p w14:paraId="677E8F96">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4、项目实施主体（发包人）地址：</w:t>
      </w:r>
      <w:r>
        <w:rPr>
          <w:rFonts w:hint="eastAsia" w:ascii="宋体" w:hAnsi="宋体" w:cs="宋体"/>
          <w:color w:val="auto"/>
          <w:sz w:val="24"/>
          <w:szCs w:val="24"/>
          <w:highlight w:val="none"/>
          <w:lang w:eastAsia="zh-CN"/>
        </w:rPr>
        <w:t>六安市金安区皖西大道1513号</w:t>
      </w:r>
    </w:p>
    <w:p w14:paraId="7AA5963A">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5、项目类型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工程类</w:t>
      </w:r>
      <w:r>
        <w:rPr>
          <w:rFonts w:hint="eastAsia" w:ascii="宋体" w:hAnsi="宋体" w:eastAsia="宋体" w:cs="宋体"/>
          <w:color w:val="auto"/>
          <w:sz w:val="24"/>
          <w:szCs w:val="24"/>
          <w:highlight w:val="none"/>
        </w:rPr>
        <w:t xml:space="preserve"> </w:t>
      </w:r>
    </w:p>
    <w:p w14:paraId="09591DB2">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6、资金来源</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财政资金</w:t>
      </w:r>
    </w:p>
    <w:p w14:paraId="504A1EEC">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7、项目预算：</w:t>
      </w:r>
      <w:r>
        <w:rPr>
          <w:rFonts w:hint="eastAsia" w:ascii="宋体" w:hAnsi="宋体" w:cs="宋体"/>
          <w:color w:val="auto"/>
          <w:sz w:val="24"/>
          <w:szCs w:val="24"/>
          <w:highlight w:val="none"/>
          <w:lang w:val="en-US" w:eastAsia="zh-CN"/>
        </w:rPr>
        <w:t>16.8</w:t>
      </w:r>
      <w:r>
        <w:rPr>
          <w:rFonts w:hint="eastAsia" w:ascii="宋体" w:hAnsi="宋体" w:eastAsia="宋体" w:cs="宋体"/>
          <w:color w:val="auto"/>
          <w:sz w:val="24"/>
          <w:szCs w:val="24"/>
          <w:highlight w:val="none"/>
          <w:lang w:val="en-US" w:eastAsia="zh-CN"/>
        </w:rPr>
        <w:t>万元</w:t>
      </w:r>
    </w:p>
    <w:p w14:paraId="3A06C397">
      <w:pPr>
        <w:tabs>
          <w:tab w:val="left" w:pos="720"/>
        </w:tabs>
        <w:spacing w:line="600" w:lineRule="exact"/>
        <w:ind w:left="479" w:leftChars="228" w:right="-273" w:rightChars="-130" w:firstLine="120" w:firstLineChars="5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最高限价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16.8万元</w:t>
      </w:r>
    </w:p>
    <w:p w14:paraId="4CEC53F9">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、标段（包别）划分：不划分</w:t>
      </w:r>
    </w:p>
    <w:p w14:paraId="53F9664F">
      <w:pPr>
        <w:tabs>
          <w:tab w:val="left" w:pos="720"/>
        </w:tabs>
        <w:spacing w:line="600" w:lineRule="exact"/>
        <w:ind w:left="19" w:leftChars="9" w:right="-273" w:rightChars="-130" w:firstLine="578" w:firstLineChars="241"/>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采购需求：根据省安全生产标准化现场考核以及2024年度直管工程汛后检查情况，4座排涝站还存在一些影响工程安全运行的问题，为切实保障直管工程安全运行，需开展现场问题整改及维修养护工作。具体详见清单及采购需求。</w:t>
      </w:r>
    </w:p>
    <w:p w14:paraId="718BF6BE">
      <w:pPr>
        <w:tabs>
          <w:tab w:val="left" w:pos="720"/>
        </w:tabs>
        <w:spacing w:line="600" w:lineRule="exact"/>
        <w:ind w:left="19" w:leftChars="9" w:right="-273" w:rightChars="-130" w:firstLine="578" w:firstLineChars="241"/>
        <w:jc w:val="left"/>
        <w:rPr>
          <w:rFonts w:hint="default"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11、合同履行期限：12月15日前完成全部内容并组织验收</w:t>
      </w:r>
      <w:r>
        <w:rPr>
          <w:rFonts w:hint="eastAsia" w:ascii="宋体" w:hAnsi="宋体" w:eastAsia="宋体" w:cs="宋体"/>
          <w:color w:val="auto"/>
          <w:kern w:val="2"/>
          <w:sz w:val="24"/>
          <w:szCs w:val="24"/>
          <w:highlight w:val="none"/>
          <w:lang w:val="en-US" w:eastAsia="zh-CN" w:bidi="ar-SA"/>
        </w:rPr>
        <w:t>，成交供应商每延期一天. 采购人从成交供应商结算工程款中扣除未完成工程量的1%/每天</w:t>
      </w:r>
      <w:r>
        <w:rPr>
          <w:rFonts w:hint="default" w:ascii="宋体" w:hAnsi="宋体" w:eastAsia="宋体" w:cs="宋体"/>
          <w:b w:val="0"/>
          <w:bCs w:val="0"/>
          <w:color w:val="auto"/>
          <w:sz w:val="24"/>
          <w:szCs w:val="24"/>
          <w:highlight w:val="none"/>
          <w:lang w:val="en-US" w:eastAsia="zh-CN"/>
        </w:rPr>
        <w:t>。</w:t>
      </w:r>
    </w:p>
    <w:p w14:paraId="533FFEA4">
      <w:pPr>
        <w:tabs>
          <w:tab w:val="left" w:pos="720"/>
        </w:tabs>
        <w:spacing w:line="600" w:lineRule="exact"/>
        <w:ind w:left="479" w:leftChars="228" w:right="-273" w:rightChars="-130" w:firstLine="120" w:firstLineChars="5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12、是否接受联合体：本项目不接受联合体。</w:t>
      </w:r>
    </w:p>
    <w:p w14:paraId="2D22B230">
      <w:pPr>
        <w:tabs>
          <w:tab w:val="left" w:pos="720"/>
        </w:tabs>
        <w:spacing w:line="600" w:lineRule="exact"/>
        <w:ind w:firstLine="602" w:firstLineChars="2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二、供应商资格</w:t>
      </w:r>
    </w:p>
    <w:p w14:paraId="248FA4CD">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7EAC82C5">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2、落实政府采购政策需满足的资格要求：无</w:t>
      </w:r>
    </w:p>
    <w:p w14:paraId="3855E1FA">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3、本项目的特定资格要求：具有有效的水利水电工程施工总承包三级及以上资质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具有有效的安全生产许可证。</w:t>
      </w:r>
    </w:p>
    <w:p w14:paraId="01C9D62E">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4、供应商存在以下不良信用记录情形之一的，不得通过资格审查：</w:t>
      </w:r>
    </w:p>
    <w:p w14:paraId="0D8A0753">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（1）供应商被人民法院列入失信被执行人的；</w:t>
      </w:r>
    </w:p>
    <w:p w14:paraId="496EEDAD">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（2）供应商或其法定代表人或拟派项目负责人被人民检察院列入行贿犯罪档案的；</w:t>
      </w:r>
    </w:p>
    <w:p w14:paraId="5FA9EA1D">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（3）供应商被市场监督管理部门列入企业经营异常名录的；</w:t>
      </w:r>
    </w:p>
    <w:p w14:paraId="59C77AE3">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（4）供应商被税务部门列入重大税收违法案件当事人名单的；</w:t>
      </w:r>
    </w:p>
    <w:p w14:paraId="5B2B626D">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（5）供应商被政府采购监管部门列入政府采购严重违法失信行为记录名单的（处罚决定规定的时间和地域范围内）</w:t>
      </w:r>
      <w:r>
        <w:rPr>
          <w:rFonts w:hint="eastAsia" w:ascii="宋体" w:hAnsi="宋体" w:cs="宋体"/>
          <w:color w:val="auto"/>
          <w:sz w:val="24"/>
          <w:szCs w:val="24"/>
          <w:highlight w:val="none"/>
          <w:lang w:val="en-US" w:eastAsia="zh-CN"/>
        </w:rPr>
        <w:t>。</w:t>
      </w:r>
    </w:p>
    <w:p w14:paraId="00C9604F">
      <w:pPr>
        <w:tabs>
          <w:tab w:val="left" w:pos="720"/>
        </w:tabs>
        <w:spacing w:line="600" w:lineRule="exact"/>
        <w:ind w:firstLine="602" w:firstLineChars="2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w:t>
      </w:r>
      <w:r>
        <w:rPr>
          <w:rFonts w:hint="eastAsia" w:ascii="宋体" w:hAnsi="宋体" w:cs="宋体"/>
          <w:b/>
          <w:bCs/>
          <w:color w:val="auto"/>
          <w:sz w:val="24"/>
          <w:szCs w:val="24"/>
          <w:highlight w:val="none"/>
          <w:lang w:val="en-US" w:eastAsia="zh-CN"/>
        </w:rPr>
        <w:t>谈判</w:t>
      </w:r>
      <w:r>
        <w:rPr>
          <w:rFonts w:hint="eastAsia" w:ascii="宋体" w:hAnsi="宋体" w:eastAsia="宋体" w:cs="宋体"/>
          <w:b/>
          <w:bCs/>
          <w:color w:val="auto"/>
          <w:sz w:val="24"/>
          <w:szCs w:val="24"/>
          <w:highlight w:val="none"/>
        </w:rPr>
        <w:t>文件</w:t>
      </w:r>
    </w:p>
    <w:p w14:paraId="16C28471">
      <w:pPr>
        <w:tabs>
          <w:tab w:val="left" w:pos="720"/>
        </w:tabs>
        <w:spacing w:line="60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1、时间：2024年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rPr>
        <w:t>日至2024年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日；</w:t>
      </w:r>
    </w:p>
    <w:p w14:paraId="2B2D17C3">
      <w:pPr>
        <w:tabs>
          <w:tab w:val="left" w:pos="720"/>
        </w:tabs>
        <w:spacing w:line="60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2、获取方式：供应商在获取时间内线上获取；</w:t>
      </w:r>
    </w:p>
    <w:p w14:paraId="41D1C663">
      <w:pPr>
        <w:tabs>
          <w:tab w:val="left" w:pos="720"/>
        </w:tabs>
        <w:spacing w:line="60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3、网址： https://slj.luan.gov.cn；</w:t>
      </w:r>
    </w:p>
    <w:p w14:paraId="75122A24">
      <w:pPr>
        <w:tabs>
          <w:tab w:val="left" w:pos="720"/>
        </w:tabs>
        <w:spacing w:line="600" w:lineRule="exact"/>
        <w:ind w:left="479" w:leftChars="228" w:firstLine="120" w:firstLineChars="50"/>
        <w:jc w:val="left"/>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四、</w:t>
      </w:r>
      <w:r>
        <w:rPr>
          <w:rFonts w:hint="eastAsia" w:ascii="宋体" w:hAnsi="宋体" w:cs="宋体"/>
          <w:b/>
          <w:bCs/>
          <w:color w:val="auto"/>
          <w:sz w:val="24"/>
          <w:szCs w:val="24"/>
          <w:highlight w:val="none"/>
          <w:lang w:val="en-US" w:eastAsia="zh-CN"/>
        </w:rPr>
        <w:t>响应文件提交</w:t>
      </w:r>
    </w:p>
    <w:p w14:paraId="3606D5E5">
      <w:pPr>
        <w:tabs>
          <w:tab w:val="left" w:pos="720"/>
        </w:tabs>
        <w:spacing w:line="600" w:lineRule="exact"/>
        <w:ind w:firstLine="600" w:firstLineChars="2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1、截止时间：2024年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日 9点30分（北京时间）</w:t>
      </w:r>
    </w:p>
    <w:p w14:paraId="50E3DE7B">
      <w:pPr>
        <w:tabs>
          <w:tab w:val="left" w:pos="720"/>
        </w:tabs>
        <w:spacing w:line="600" w:lineRule="exact"/>
        <w:ind w:firstLine="600" w:firstLineChars="2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2、地点：六安市水利局6楼606会议室</w:t>
      </w:r>
    </w:p>
    <w:p w14:paraId="07796B72">
      <w:pPr>
        <w:tabs>
          <w:tab w:val="left" w:pos="720"/>
        </w:tabs>
        <w:spacing w:line="600" w:lineRule="exact"/>
        <w:ind w:firstLine="600" w:firstLineChars="2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3、响应文件提交方式：现场递交纸质响应文件。逾期送达的或者未送达指定地点的响应文件，采购人不予受理。</w:t>
      </w:r>
    </w:p>
    <w:p w14:paraId="68AF4365">
      <w:pPr>
        <w:tabs>
          <w:tab w:val="left" w:pos="720"/>
        </w:tabs>
        <w:spacing w:line="600" w:lineRule="exact"/>
        <w:ind w:left="479" w:leftChars="228" w:firstLine="120" w:firstLineChars="50"/>
        <w:jc w:val="left"/>
        <w:rPr>
          <w:rFonts w:hint="default" w:ascii="宋体" w:hAnsi="宋体" w:eastAsia="宋体" w:cs="宋体"/>
          <w:b/>
          <w:bCs/>
          <w:color w:val="auto"/>
          <w:sz w:val="24"/>
          <w:szCs w:val="24"/>
          <w:highlight w:val="none"/>
        </w:rPr>
      </w:pPr>
      <w:r>
        <w:rPr>
          <w:rFonts w:hint="default" w:ascii="宋体" w:hAnsi="宋体" w:eastAsia="宋体" w:cs="宋体"/>
          <w:b/>
          <w:bCs/>
          <w:color w:val="auto"/>
          <w:sz w:val="24"/>
          <w:szCs w:val="24"/>
          <w:highlight w:val="none"/>
        </w:rPr>
        <w:t>五、响应文件开启</w:t>
      </w:r>
    </w:p>
    <w:p w14:paraId="14CC172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1、时间：</w:t>
      </w:r>
      <w:r>
        <w:rPr>
          <w:rFonts w:hint="eastAsia" w:ascii="宋体" w:hAnsi="宋体" w:eastAsia="宋体" w:cs="宋体"/>
          <w:bCs/>
          <w:sz w:val="24"/>
          <w:szCs w:val="24"/>
          <w:highlight w:val="none"/>
          <w:u w:val="single"/>
        </w:rPr>
        <w:t>202</w:t>
      </w:r>
      <w:r>
        <w:rPr>
          <w:rFonts w:hint="eastAsia" w:ascii="宋体" w:hAnsi="宋体" w:eastAsia="宋体" w:cs="宋体"/>
          <w:bCs/>
          <w:sz w:val="24"/>
          <w:szCs w:val="24"/>
          <w:highlight w:val="none"/>
          <w:u w:val="single"/>
          <w:lang w:val="en-US" w:eastAsia="zh-CN"/>
        </w:rPr>
        <w:t>4</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cs="宋体"/>
          <w:bCs/>
          <w:sz w:val="24"/>
          <w:szCs w:val="24"/>
          <w:highlight w:val="none"/>
          <w:u w:val="single"/>
          <w:lang w:val="en-US" w:eastAsia="zh-CN"/>
        </w:rPr>
        <w:t xml:space="preserve">12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cs="宋体"/>
          <w:bCs/>
          <w:sz w:val="24"/>
          <w:szCs w:val="24"/>
          <w:highlight w:val="none"/>
          <w:u w:val="single"/>
          <w:lang w:val="en-US" w:eastAsia="zh-CN"/>
        </w:rPr>
        <w:t xml:space="preserve">05 </w:t>
      </w:r>
      <w:r>
        <w:rPr>
          <w:rFonts w:hint="eastAsia" w:ascii="宋体" w:hAnsi="宋体" w:eastAsia="宋体" w:cs="宋体"/>
          <w:bCs/>
          <w:sz w:val="24"/>
          <w:szCs w:val="24"/>
          <w:highlight w:val="none"/>
        </w:rPr>
        <w:t>日</w:t>
      </w:r>
      <w:r>
        <w:rPr>
          <w:rFonts w:hint="eastAsia" w:ascii="宋体" w:hAnsi="宋体" w:eastAsia="宋体" w:cs="宋体"/>
          <w:bCs/>
          <w:sz w:val="24"/>
          <w:szCs w:val="24"/>
          <w:highlight w:val="none"/>
          <w:u w:val="single"/>
          <w:lang w:val="en-US" w:eastAsia="zh-CN"/>
        </w:rPr>
        <w:t xml:space="preserve"> 9</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30 </w:t>
      </w:r>
      <w:r>
        <w:rPr>
          <w:rFonts w:hint="eastAsia" w:ascii="宋体" w:hAnsi="宋体" w:eastAsia="宋体" w:cs="宋体"/>
          <w:bCs/>
          <w:sz w:val="24"/>
          <w:szCs w:val="24"/>
          <w:highlight w:val="none"/>
        </w:rPr>
        <w:t>分</w:t>
      </w:r>
      <w:r>
        <w:rPr>
          <w:rFonts w:hint="eastAsia" w:ascii="宋体" w:hAnsi="宋体" w:eastAsia="宋体" w:cs="宋体"/>
          <w:sz w:val="24"/>
          <w:szCs w:val="24"/>
          <w:highlight w:val="none"/>
        </w:rPr>
        <w:t>（北京时间）</w:t>
      </w:r>
    </w:p>
    <w:p w14:paraId="3DF2D3AB">
      <w:pPr>
        <w:pStyle w:val="32"/>
        <w:keepNext w:val="0"/>
        <w:keepLines w:val="0"/>
        <w:pageBreakBefore w:val="0"/>
        <w:widowControl w:val="0"/>
        <w:kinsoku/>
        <w:wordWrap/>
        <w:overflowPunct/>
        <w:topLinePunct w:val="0"/>
        <w:autoSpaceDE/>
        <w:autoSpaceDN/>
        <w:bidi w:val="0"/>
        <w:adjustRightInd/>
        <w:snapToGrid/>
        <w:spacing w:after="0" w:line="6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2、地点：六安市水利局6楼606会议室</w:t>
      </w:r>
      <w:bookmarkStart w:id="93" w:name="_GoBack"/>
      <w:bookmarkEnd w:id="93"/>
    </w:p>
    <w:p w14:paraId="7E8C0C2D">
      <w:pPr>
        <w:tabs>
          <w:tab w:val="left" w:pos="720"/>
        </w:tabs>
        <w:spacing w:line="600" w:lineRule="exact"/>
        <w:ind w:left="479" w:leftChars="228" w:firstLine="120" w:firstLineChars="50"/>
        <w:jc w:val="left"/>
        <w:rPr>
          <w:rFonts w:hint="default" w:ascii="宋体" w:hAnsi="宋体" w:eastAsia="宋体" w:cs="宋体"/>
          <w:b/>
          <w:bCs/>
          <w:color w:val="auto"/>
          <w:sz w:val="24"/>
          <w:szCs w:val="24"/>
          <w:highlight w:val="none"/>
        </w:rPr>
      </w:pPr>
      <w:bookmarkStart w:id="2" w:name="_Toc35393634"/>
      <w:bookmarkStart w:id="3" w:name="_Toc35393803"/>
      <w:bookmarkStart w:id="4" w:name="_Toc28359017"/>
      <w:bookmarkStart w:id="5" w:name="_Toc28359094"/>
      <w:bookmarkStart w:id="6" w:name="_Toc6439"/>
      <w:r>
        <w:rPr>
          <w:rFonts w:hint="default" w:ascii="宋体" w:hAnsi="宋体" w:eastAsia="宋体" w:cs="宋体"/>
          <w:b/>
          <w:bCs/>
          <w:color w:val="auto"/>
          <w:sz w:val="24"/>
          <w:szCs w:val="24"/>
          <w:highlight w:val="none"/>
        </w:rPr>
        <w:t>六、公告期限</w:t>
      </w:r>
      <w:bookmarkEnd w:id="2"/>
      <w:bookmarkEnd w:id="3"/>
      <w:bookmarkEnd w:id="4"/>
      <w:bookmarkEnd w:id="5"/>
      <w:bookmarkEnd w:id="6"/>
    </w:p>
    <w:p w14:paraId="306A692F">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自本公告发布之日起3个工作日。</w:t>
      </w:r>
    </w:p>
    <w:p w14:paraId="5C27E891">
      <w:pPr>
        <w:tabs>
          <w:tab w:val="left" w:pos="720"/>
        </w:tabs>
        <w:spacing w:line="600" w:lineRule="exact"/>
        <w:ind w:left="479" w:leftChars="228" w:firstLine="120" w:firstLineChars="50"/>
        <w:jc w:val="left"/>
        <w:rPr>
          <w:rFonts w:hint="default" w:ascii="宋体" w:hAnsi="宋体" w:eastAsia="宋体" w:cs="宋体"/>
          <w:b/>
          <w:bCs/>
          <w:color w:val="auto"/>
          <w:sz w:val="24"/>
          <w:szCs w:val="24"/>
          <w:highlight w:val="none"/>
        </w:rPr>
      </w:pPr>
      <w:r>
        <w:rPr>
          <w:rFonts w:hint="default" w:ascii="宋体" w:hAnsi="宋体" w:eastAsia="宋体" w:cs="宋体"/>
          <w:b/>
          <w:bCs/>
          <w:color w:val="auto"/>
          <w:sz w:val="24"/>
          <w:szCs w:val="24"/>
          <w:highlight w:val="none"/>
        </w:rPr>
        <w:t>七、</w:t>
      </w:r>
      <w:bookmarkStart w:id="7" w:name="_Toc35393804"/>
      <w:bookmarkStart w:id="8" w:name="_Toc35393635"/>
      <w:r>
        <w:rPr>
          <w:rFonts w:hint="default" w:ascii="宋体" w:hAnsi="宋体" w:eastAsia="宋体" w:cs="宋体"/>
          <w:b/>
          <w:bCs/>
          <w:color w:val="auto"/>
          <w:sz w:val="24"/>
          <w:szCs w:val="24"/>
          <w:highlight w:val="none"/>
        </w:rPr>
        <w:t>其他事宜</w:t>
      </w:r>
      <w:bookmarkEnd w:id="7"/>
      <w:bookmarkEnd w:id="8"/>
      <w:bookmarkStart w:id="9" w:name="_Toc28359095"/>
      <w:bookmarkStart w:id="10" w:name="_Toc28359018"/>
      <w:bookmarkStart w:id="11" w:name="_Toc35393805"/>
      <w:bookmarkStart w:id="12" w:name="_Toc35393636"/>
    </w:p>
    <w:p w14:paraId="19B91B9B">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响应保证金：本项目无需提供。</w:t>
      </w:r>
    </w:p>
    <w:p w14:paraId="6EB500B8">
      <w:pPr>
        <w:tabs>
          <w:tab w:val="left" w:pos="720"/>
        </w:tabs>
        <w:spacing w:line="600" w:lineRule="exact"/>
        <w:ind w:left="479" w:leftChars="228" w:firstLine="120" w:firstLineChars="50"/>
        <w:jc w:val="left"/>
        <w:rPr>
          <w:rFonts w:hint="default" w:ascii="宋体" w:hAnsi="宋体" w:eastAsia="宋体" w:cs="宋体"/>
          <w:b/>
          <w:bCs/>
          <w:color w:val="auto"/>
          <w:sz w:val="24"/>
          <w:szCs w:val="24"/>
          <w:highlight w:val="none"/>
        </w:rPr>
      </w:pPr>
      <w:bookmarkStart w:id="13" w:name="_Toc7807"/>
      <w:bookmarkStart w:id="14" w:name="_Toc21256"/>
      <w:r>
        <w:rPr>
          <w:rFonts w:hint="default" w:ascii="宋体" w:hAnsi="宋体" w:eastAsia="宋体" w:cs="宋体"/>
          <w:b/>
          <w:bCs/>
          <w:color w:val="auto"/>
          <w:sz w:val="24"/>
          <w:szCs w:val="24"/>
          <w:highlight w:val="none"/>
        </w:rPr>
        <w:t>八、凡对本次采购提出询问，请按以下方式联系。</w:t>
      </w:r>
      <w:bookmarkEnd w:id="9"/>
      <w:bookmarkEnd w:id="10"/>
      <w:bookmarkEnd w:id="11"/>
      <w:bookmarkEnd w:id="12"/>
      <w:bookmarkEnd w:id="13"/>
      <w:bookmarkEnd w:id="14"/>
    </w:p>
    <w:p w14:paraId="4AE5C693">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bookmarkStart w:id="15" w:name="_Toc28359019"/>
      <w:bookmarkStart w:id="16" w:name="_Toc12167"/>
      <w:bookmarkStart w:id="17" w:name="_Toc28359096"/>
      <w:bookmarkStart w:id="18" w:name="_Toc35393637"/>
      <w:bookmarkStart w:id="19" w:name="_Toc35393806"/>
      <w:bookmarkStart w:id="20" w:name="_Toc24687"/>
      <w:r>
        <w:rPr>
          <w:rFonts w:hint="default" w:ascii="宋体" w:hAnsi="宋体" w:eastAsia="宋体" w:cs="宋体"/>
          <w:color w:val="auto"/>
          <w:sz w:val="24"/>
          <w:szCs w:val="24"/>
          <w:highlight w:val="none"/>
          <w:lang w:val="en-US" w:eastAsia="zh-CN"/>
        </w:rPr>
        <w:t>1、采购人信息</w:t>
      </w:r>
      <w:bookmarkEnd w:id="15"/>
      <w:bookmarkEnd w:id="16"/>
      <w:bookmarkEnd w:id="17"/>
      <w:bookmarkEnd w:id="18"/>
      <w:bookmarkEnd w:id="19"/>
      <w:bookmarkEnd w:id="20"/>
    </w:p>
    <w:p w14:paraId="7FF54D45">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名    称：六安市水利局</w:t>
      </w:r>
    </w:p>
    <w:p w14:paraId="566F07EA">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地    址：六安市皖西大道1513号</w:t>
      </w:r>
    </w:p>
    <w:p w14:paraId="20F7706A">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联系方式：</w:t>
      </w:r>
      <w:bookmarkStart w:id="21" w:name="_Toc28359020"/>
      <w:bookmarkStart w:id="22" w:name="_Toc28359097"/>
      <w:bookmarkStart w:id="23" w:name="_Toc35393638"/>
      <w:bookmarkStart w:id="24" w:name="_Toc35393807"/>
      <w:r>
        <w:rPr>
          <w:rFonts w:hint="eastAsia" w:ascii="宋体" w:hAnsi="宋体" w:eastAsia="宋体" w:cs="宋体"/>
          <w:color w:val="auto"/>
          <w:sz w:val="24"/>
          <w:szCs w:val="24"/>
          <w:highlight w:val="none"/>
          <w:lang w:val="en-US" w:eastAsia="zh-CN"/>
        </w:rPr>
        <w:t>0564-3371611</w:t>
      </w:r>
    </w:p>
    <w:p w14:paraId="18F3676E">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2、采购代理机构信息</w:t>
      </w:r>
      <w:bookmarkEnd w:id="21"/>
      <w:bookmarkEnd w:id="22"/>
      <w:bookmarkEnd w:id="23"/>
      <w:bookmarkEnd w:id="24"/>
      <w:bookmarkStart w:id="25" w:name="_Toc28359021"/>
      <w:bookmarkStart w:id="26" w:name="_Toc28359098"/>
      <w:bookmarkStart w:id="27" w:name="_Toc35393808"/>
      <w:bookmarkStart w:id="28" w:name="_Toc35393639"/>
    </w:p>
    <w:p w14:paraId="7B5FD9BA">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名 称：安徽振启建设项目管理有限公司  </w:t>
      </w:r>
    </w:p>
    <w:p w14:paraId="51CF5695">
      <w:pPr>
        <w:tabs>
          <w:tab w:val="left" w:pos="720"/>
        </w:tabs>
        <w:spacing w:line="600" w:lineRule="exact"/>
        <w:ind w:firstLine="600" w:firstLineChars="250"/>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cs="宋体"/>
          <w:color w:val="auto"/>
          <w:sz w:val="24"/>
          <w:szCs w:val="24"/>
          <w:highlight w:val="none"/>
          <w:lang w:val="en-US" w:eastAsia="zh-CN"/>
        </w:rPr>
        <w:t>安徽省六安市金安区长安南路与梅山路交叉口东250米银波大厦16楼</w:t>
      </w:r>
    </w:p>
    <w:p w14:paraId="3817C5FE">
      <w:pPr>
        <w:tabs>
          <w:tab w:val="left" w:pos="720"/>
        </w:tabs>
        <w:spacing w:line="600" w:lineRule="exact"/>
        <w:ind w:firstLine="600" w:firstLineChars="2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杨</w:t>
      </w:r>
      <w:r>
        <w:rPr>
          <w:rFonts w:hint="eastAsia" w:ascii="宋体" w:hAnsi="宋体" w:eastAsia="宋体" w:cs="宋体"/>
          <w:color w:val="auto"/>
          <w:sz w:val="24"/>
          <w:szCs w:val="24"/>
          <w:highlight w:val="none"/>
          <w:lang w:val="en-US" w:eastAsia="zh-CN"/>
        </w:rPr>
        <w:t xml:space="preserve">工             </w:t>
      </w:r>
    </w:p>
    <w:p w14:paraId="7F952A27">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电话：0564-3</w:t>
      </w:r>
      <w:r>
        <w:rPr>
          <w:rFonts w:hint="eastAsia" w:ascii="宋体" w:hAnsi="宋体" w:cs="宋体"/>
          <w:color w:val="auto"/>
          <w:sz w:val="24"/>
          <w:szCs w:val="24"/>
          <w:highlight w:val="none"/>
          <w:lang w:val="en-US" w:eastAsia="zh-CN"/>
        </w:rPr>
        <w:t>213011</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 xml:space="preserve"> </w:t>
      </w:r>
    </w:p>
    <w:p w14:paraId="0FCB10CD">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项目联系方式</w:t>
      </w:r>
      <w:bookmarkEnd w:id="25"/>
      <w:bookmarkEnd w:id="26"/>
      <w:bookmarkEnd w:id="27"/>
      <w:bookmarkEnd w:id="28"/>
    </w:p>
    <w:p w14:paraId="3E9F33D2">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项目联系人：</w:t>
      </w:r>
      <w:r>
        <w:rPr>
          <w:rFonts w:hint="eastAsia" w:ascii="宋体" w:hAnsi="宋体" w:cs="宋体"/>
          <w:color w:val="auto"/>
          <w:sz w:val="24"/>
          <w:szCs w:val="24"/>
          <w:highlight w:val="none"/>
          <w:lang w:val="en-US" w:eastAsia="zh-CN"/>
        </w:rPr>
        <w:t>杨</w:t>
      </w:r>
      <w:r>
        <w:rPr>
          <w:rFonts w:hint="eastAsia" w:ascii="宋体" w:hAnsi="宋体" w:eastAsia="宋体" w:cs="宋体"/>
          <w:color w:val="auto"/>
          <w:sz w:val="24"/>
          <w:szCs w:val="24"/>
          <w:highlight w:val="none"/>
          <w:lang w:val="en-US" w:eastAsia="zh-CN"/>
        </w:rPr>
        <w:t>工</w:t>
      </w:r>
      <w:r>
        <w:rPr>
          <w:rFonts w:hint="default" w:ascii="宋体" w:hAnsi="宋体" w:eastAsia="宋体" w:cs="宋体"/>
          <w:color w:val="auto"/>
          <w:sz w:val="24"/>
          <w:szCs w:val="24"/>
          <w:highlight w:val="none"/>
          <w:lang w:val="en-US" w:eastAsia="zh-CN"/>
        </w:rPr>
        <w:t xml:space="preserve"> </w:t>
      </w:r>
    </w:p>
    <w:p w14:paraId="36DD7CA9">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电　   话： </w:t>
      </w:r>
      <w:r>
        <w:rPr>
          <w:rFonts w:hint="eastAsia" w:ascii="宋体" w:hAnsi="宋体" w:eastAsia="宋体" w:cs="宋体"/>
          <w:color w:val="auto"/>
          <w:sz w:val="24"/>
          <w:szCs w:val="24"/>
          <w:highlight w:val="none"/>
          <w:lang w:val="en-US" w:eastAsia="zh-CN"/>
        </w:rPr>
        <w:t>0564-3</w:t>
      </w:r>
      <w:r>
        <w:rPr>
          <w:rFonts w:hint="eastAsia" w:ascii="宋体" w:hAnsi="宋体" w:cs="宋体"/>
          <w:color w:val="auto"/>
          <w:sz w:val="24"/>
          <w:szCs w:val="24"/>
          <w:highlight w:val="none"/>
          <w:lang w:val="en-US" w:eastAsia="zh-CN"/>
        </w:rPr>
        <w:t>213011</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 xml:space="preserve"> </w:t>
      </w:r>
    </w:p>
    <w:p w14:paraId="3DACD06A">
      <w:pPr>
        <w:widowControl/>
        <w:spacing w:line="540" w:lineRule="exact"/>
        <w:ind w:firstLine="560" w:firstLineChars="200"/>
        <w:rPr>
          <w:rFonts w:hint="default" w:ascii="Times New Roman" w:hAnsi="Times New Roman" w:eastAsia="仿宋_GB2312" w:cs="Times New Roman"/>
          <w:bCs/>
          <w:sz w:val="28"/>
          <w:szCs w:val="28"/>
          <w:highlight w:val="none"/>
        </w:rPr>
      </w:pPr>
    </w:p>
    <w:p w14:paraId="1DC1D113">
      <w:pPr>
        <w:pStyle w:val="32"/>
        <w:spacing w:line="520" w:lineRule="exact"/>
        <w:ind w:firstLine="0"/>
        <w:rPr>
          <w:rFonts w:hint="default" w:ascii="Times New Roman" w:hAnsi="Times New Roman" w:eastAsia="仿宋_GB2312" w:cs="Times New Roman"/>
          <w:bCs/>
          <w:sz w:val="28"/>
          <w:szCs w:val="28"/>
          <w:highlight w:val="none"/>
        </w:rPr>
      </w:pPr>
    </w:p>
    <w:p w14:paraId="39EBF2D2">
      <w:pPr>
        <w:spacing w:line="520" w:lineRule="exact"/>
        <w:jc w:val="right"/>
        <w:rPr>
          <w:rFonts w:hint="eastAsia" w:ascii="宋体" w:hAnsi="宋体" w:eastAsia="宋体" w:cs="宋体"/>
          <w:bCs/>
          <w:sz w:val="24"/>
          <w:szCs w:val="24"/>
          <w:highlight w:val="none"/>
        </w:rPr>
      </w:pPr>
      <w:r>
        <w:rPr>
          <w:rFonts w:hint="eastAsia" w:ascii="宋体" w:hAnsi="宋体" w:eastAsia="宋体" w:cs="宋体"/>
          <w:bCs/>
          <w:sz w:val="24"/>
          <w:szCs w:val="24"/>
          <w:highlight w:val="none"/>
        </w:rPr>
        <w:t>202</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月</w:t>
      </w:r>
      <w:r>
        <w:rPr>
          <w:rFonts w:hint="eastAsia" w:ascii="宋体" w:hAnsi="宋体" w:cs="宋体"/>
          <w:bCs/>
          <w:sz w:val="24"/>
          <w:szCs w:val="24"/>
          <w:highlight w:val="none"/>
          <w:lang w:val="en-US" w:eastAsia="zh-CN"/>
        </w:rPr>
        <w:t>02</w:t>
      </w:r>
      <w:r>
        <w:rPr>
          <w:rFonts w:hint="eastAsia" w:ascii="宋体" w:hAnsi="宋体" w:eastAsia="宋体" w:cs="宋体"/>
          <w:bCs/>
          <w:sz w:val="24"/>
          <w:szCs w:val="24"/>
          <w:highlight w:val="none"/>
        </w:rPr>
        <w:t>日</w:t>
      </w:r>
    </w:p>
    <w:p w14:paraId="0E7ABBE3">
      <w:pP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br w:type="page"/>
      </w:r>
    </w:p>
    <w:p w14:paraId="14893696">
      <w:pPr>
        <w:pStyle w:val="3"/>
        <w:spacing w:before="120" w:beforeLines="50" w:after="120" w:afterLines="50" w:line="560" w:lineRule="exact"/>
        <w:jc w:val="center"/>
        <w:rPr>
          <w:rFonts w:hint="eastAsia" w:ascii="宋体" w:hAnsi="宋体" w:eastAsia="宋体" w:cs="宋体"/>
          <w:color w:val="auto"/>
          <w:sz w:val="28"/>
          <w:szCs w:val="28"/>
          <w:highlight w:val="none"/>
        </w:rPr>
      </w:pPr>
      <w:bookmarkStart w:id="29" w:name="_Toc6167"/>
      <w:r>
        <w:rPr>
          <w:rFonts w:hint="eastAsia" w:ascii="宋体" w:hAnsi="宋体" w:eastAsia="宋体" w:cs="宋体"/>
          <w:color w:val="auto"/>
          <w:sz w:val="28"/>
          <w:szCs w:val="28"/>
          <w:highlight w:val="none"/>
        </w:rPr>
        <w:t>一、供应商须知</w:t>
      </w:r>
      <w:bookmarkEnd w:id="0"/>
      <w:bookmarkEnd w:id="1"/>
      <w:bookmarkEnd w:id="29"/>
    </w:p>
    <w:p w14:paraId="76C297EA">
      <w:pPr>
        <w:pStyle w:val="3"/>
        <w:spacing w:before="0" w:after="0" w:line="560" w:lineRule="exact"/>
        <w:jc w:val="center"/>
        <w:rPr>
          <w:rFonts w:hint="eastAsia" w:ascii="宋体" w:hAnsi="宋体" w:eastAsia="宋体" w:cs="宋体"/>
          <w:color w:val="auto"/>
          <w:sz w:val="24"/>
          <w:szCs w:val="24"/>
          <w:highlight w:val="none"/>
        </w:rPr>
      </w:pPr>
      <w:bookmarkStart w:id="30" w:name="_Toc30850"/>
      <w:r>
        <w:rPr>
          <w:rFonts w:hint="eastAsia" w:ascii="宋体" w:hAnsi="宋体" w:eastAsia="宋体" w:cs="宋体"/>
          <w:color w:val="auto"/>
          <w:sz w:val="24"/>
          <w:szCs w:val="24"/>
          <w:highlight w:val="none"/>
        </w:rPr>
        <w:t>（一）须知前附表</w:t>
      </w:r>
      <w:bookmarkEnd w:id="30"/>
    </w:p>
    <w:tbl>
      <w:tblPr>
        <w:tblStyle w:val="34"/>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43"/>
        <w:gridCol w:w="1676"/>
        <w:gridCol w:w="7195"/>
      </w:tblGrid>
      <w:tr w14:paraId="4FC7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43" w:type="dxa"/>
            <w:vAlign w:val="center"/>
          </w:tcPr>
          <w:p w14:paraId="180951A2">
            <w:pPr>
              <w:spacing w:line="440" w:lineRule="exact"/>
              <w:jc w:val="center"/>
              <w:rPr>
                <w:rFonts w:hint="eastAsia" w:ascii="宋体" w:hAnsi="宋体" w:eastAsia="宋体" w:cs="宋体"/>
                <w:b/>
                <w:color w:val="auto"/>
                <w:sz w:val="24"/>
                <w:szCs w:val="24"/>
                <w:highlight w:val="none"/>
              </w:rPr>
            </w:pPr>
            <w:bookmarkStart w:id="31" w:name="_Toc363199267"/>
            <w:bookmarkStart w:id="32" w:name="_Toc438107743"/>
            <w:bookmarkStart w:id="33" w:name="_Toc216158627"/>
            <w:r>
              <w:rPr>
                <w:rFonts w:hint="eastAsia" w:ascii="宋体" w:hAnsi="宋体" w:eastAsia="宋体" w:cs="宋体"/>
                <w:b/>
                <w:color w:val="auto"/>
                <w:sz w:val="24"/>
                <w:szCs w:val="24"/>
                <w:highlight w:val="none"/>
              </w:rPr>
              <w:t>序号</w:t>
            </w:r>
          </w:p>
        </w:tc>
        <w:tc>
          <w:tcPr>
            <w:tcW w:w="1676" w:type="dxa"/>
            <w:vAlign w:val="center"/>
          </w:tcPr>
          <w:p w14:paraId="6CB757BD">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7195" w:type="dxa"/>
            <w:vAlign w:val="center"/>
          </w:tcPr>
          <w:p w14:paraId="2FA6E73D">
            <w:pPr>
              <w:pStyle w:val="96"/>
              <w:widowControl w:val="0"/>
              <w:spacing w:before="0" w:beforeAutospacing="0" w:after="0" w:afterAutospacing="0" w:line="440" w:lineRule="exact"/>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说明与要求</w:t>
            </w:r>
          </w:p>
        </w:tc>
      </w:tr>
      <w:tr w14:paraId="6D50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743" w:type="dxa"/>
            <w:vAlign w:val="center"/>
          </w:tcPr>
          <w:p w14:paraId="7758B971">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1</w:t>
            </w:r>
          </w:p>
        </w:tc>
        <w:tc>
          <w:tcPr>
            <w:tcW w:w="1676" w:type="dxa"/>
            <w:vAlign w:val="center"/>
          </w:tcPr>
          <w:p w14:paraId="06AE995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采购人</w:t>
            </w:r>
          </w:p>
        </w:tc>
        <w:tc>
          <w:tcPr>
            <w:tcW w:w="7195" w:type="dxa"/>
            <w:vAlign w:val="center"/>
          </w:tcPr>
          <w:p w14:paraId="69ED6C04">
            <w:pPr>
              <w:spacing w:line="440" w:lineRule="exact"/>
              <w:rPr>
                <w:rFonts w:hint="eastAsia" w:ascii="宋体" w:hAnsi="宋体" w:eastAsia="宋体" w:cs="宋体"/>
                <w:color w:val="auto"/>
                <w:sz w:val="24"/>
                <w:szCs w:val="24"/>
                <w:highlight w:val="none"/>
                <w:lang w:eastAsia="zh-CN"/>
              </w:rPr>
            </w:pPr>
            <w:r>
              <w:rPr>
                <w:rFonts w:hint="eastAsia" w:ascii="宋体" w:hAnsi="宋体" w:cs="Times New Roman"/>
                <w:bCs/>
                <w:color w:val="auto"/>
                <w:sz w:val="24"/>
                <w:szCs w:val="24"/>
                <w:highlight w:val="none"/>
                <w:lang w:eastAsia="zh-CN"/>
              </w:rPr>
              <w:t>六安市</w:t>
            </w:r>
            <w:r>
              <w:rPr>
                <w:rFonts w:hint="eastAsia" w:ascii="宋体" w:hAnsi="宋体" w:cs="Times New Roman"/>
                <w:bCs/>
                <w:color w:val="auto"/>
                <w:sz w:val="24"/>
                <w:szCs w:val="24"/>
                <w:highlight w:val="none"/>
                <w:lang w:val="en-US" w:eastAsia="zh-CN"/>
              </w:rPr>
              <w:t>水利局</w:t>
            </w:r>
          </w:p>
        </w:tc>
      </w:tr>
      <w:tr w14:paraId="27FF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743" w:type="dxa"/>
            <w:vAlign w:val="center"/>
          </w:tcPr>
          <w:p w14:paraId="335AC90B">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2</w:t>
            </w:r>
          </w:p>
        </w:tc>
        <w:tc>
          <w:tcPr>
            <w:tcW w:w="1676" w:type="dxa"/>
            <w:vAlign w:val="center"/>
          </w:tcPr>
          <w:p w14:paraId="79FB7A56">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采购代理机构</w:t>
            </w:r>
          </w:p>
        </w:tc>
        <w:tc>
          <w:tcPr>
            <w:tcW w:w="7195" w:type="dxa"/>
            <w:vAlign w:val="center"/>
          </w:tcPr>
          <w:p w14:paraId="3A682F68">
            <w:pPr>
              <w:spacing w:line="440" w:lineRule="exact"/>
              <w:jc w:val="left"/>
              <w:rPr>
                <w:rFonts w:hint="eastAsia" w:ascii="宋体" w:hAnsi="宋体"/>
                <w:color w:val="auto"/>
                <w:sz w:val="24"/>
                <w:szCs w:val="24"/>
                <w:highlight w:val="none"/>
              </w:rPr>
            </w:pPr>
            <w:r>
              <w:rPr>
                <w:rFonts w:hint="eastAsia" w:ascii="宋体" w:hAnsi="宋体"/>
                <w:color w:val="auto"/>
                <w:sz w:val="24"/>
                <w:szCs w:val="24"/>
                <w:highlight w:val="none"/>
              </w:rPr>
              <w:t>名称：</w:t>
            </w:r>
            <w:r>
              <w:rPr>
                <w:rFonts w:hint="default" w:ascii="宋体" w:hAnsi="宋体" w:eastAsia="宋体" w:cs="宋体"/>
                <w:color w:val="auto"/>
                <w:sz w:val="24"/>
                <w:szCs w:val="24"/>
                <w:highlight w:val="none"/>
                <w:lang w:val="en-US" w:eastAsia="zh-CN"/>
              </w:rPr>
              <w:t>安徽振启建设项目管理有限公司</w:t>
            </w:r>
          </w:p>
          <w:p w14:paraId="6AD75D91">
            <w:pPr>
              <w:tabs>
                <w:tab w:val="left" w:pos="720"/>
              </w:tabs>
              <w:spacing w:line="600" w:lineRule="exact"/>
              <w:jc w:val="left"/>
              <w:rPr>
                <w:rFonts w:hint="eastAsia" w:ascii="宋体" w:hAnsi="宋体" w:eastAsia="宋体" w:cs="宋体"/>
                <w:b/>
                <w:bCs/>
                <w:color w:val="auto"/>
                <w:sz w:val="24"/>
                <w:szCs w:val="24"/>
                <w:highlight w:val="none"/>
                <w:lang w:eastAsia="zh-CN"/>
              </w:rPr>
            </w:pPr>
            <w:r>
              <w:rPr>
                <w:rFonts w:hint="eastAsia" w:ascii="宋体" w:hAnsi="宋体"/>
                <w:color w:val="auto"/>
                <w:sz w:val="24"/>
                <w:szCs w:val="24"/>
                <w:highlight w:val="none"/>
              </w:rPr>
              <w:t>地址：</w:t>
            </w:r>
            <w:r>
              <w:rPr>
                <w:rFonts w:hint="eastAsia" w:ascii="宋体" w:hAnsi="宋体" w:cs="宋体"/>
                <w:color w:val="auto"/>
                <w:sz w:val="24"/>
                <w:szCs w:val="24"/>
                <w:highlight w:val="none"/>
                <w:lang w:val="en-US" w:eastAsia="zh-CN"/>
              </w:rPr>
              <w:t>安徽省六安市金安区长安南路与梅山路交叉口东250米银波大厦16楼</w:t>
            </w:r>
          </w:p>
        </w:tc>
      </w:tr>
      <w:tr w14:paraId="5A8C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3" w:type="dxa"/>
            <w:vAlign w:val="center"/>
          </w:tcPr>
          <w:p w14:paraId="5FEFC5A1">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3</w:t>
            </w:r>
          </w:p>
        </w:tc>
        <w:tc>
          <w:tcPr>
            <w:tcW w:w="1676" w:type="dxa"/>
            <w:vAlign w:val="center"/>
          </w:tcPr>
          <w:p w14:paraId="68917EA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谈判有效期</w:t>
            </w:r>
          </w:p>
        </w:tc>
        <w:tc>
          <w:tcPr>
            <w:tcW w:w="7195" w:type="dxa"/>
            <w:vAlign w:val="center"/>
          </w:tcPr>
          <w:p w14:paraId="0E71BFD7">
            <w:pPr>
              <w:pStyle w:val="96"/>
              <w:widowControl w:val="0"/>
              <w:spacing w:before="0" w:beforeAutospacing="0" w:after="0" w:afterAutospacing="0" w:line="44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响应文件提交截止日后30天</w:t>
            </w:r>
          </w:p>
        </w:tc>
      </w:tr>
      <w:tr w14:paraId="688B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3" w:type="dxa"/>
            <w:vAlign w:val="center"/>
          </w:tcPr>
          <w:p w14:paraId="5ED99520">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4</w:t>
            </w:r>
          </w:p>
        </w:tc>
        <w:tc>
          <w:tcPr>
            <w:tcW w:w="1676" w:type="dxa"/>
            <w:vAlign w:val="center"/>
          </w:tcPr>
          <w:p w14:paraId="7AE2ECB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项目类型</w:t>
            </w:r>
          </w:p>
        </w:tc>
        <w:tc>
          <w:tcPr>
            <w:tcW w:w="7195" w:type="dxa"/>
            <w:vAlign w:val="center"/>
          </w:tcPr>
          <w:p w14:paraId="09D4C3D2">
            <w:pPr>
              <w:pStyle w:val="96"/>
              <w:widowControl w:val="0"/>
              <w:spacing w:before="0" w:beforeAutospacing="0" w:after="0" w:afterAutospacing="0" w:line="440" w:lineRule="exact"/>
              <w:jc w:val="both"/>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工程类</w:t>
            </w:r>
          </w:p>
        </w:tc>
      </w:tr>
      <w:tr w14:paraId="78B3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3" w:type="dxa"/>
            <w:vAlign w:val="center"/>
          </w:tcPr>
          <w:p w14:paraId="49211145">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5</w:t>
            </w:r>
          </w:p>
        </w:tc>
        <w:tc>
          <w:tcPr>
            <w:tcW w:w="1676" w:type="dxa"/>
            <w:vAlign w:val="center"/>
          </w:tcPr>
          <w:p w14:paraId="13E017C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195" w:type="dxa"/>
            <w:vAlign w:val="center"/>
          </w:tcPr>
          <w:p w14:paraId="2E9D1DAC">
            <w:pPr>
              <w:spacing w:line="520" w:lineRule="exac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2024年安全生产标准化现场问题整改及汛后维修养护</w:t>
            </w:r>
          </w:p>
        </w:tc>
      </w:tr>
      <w:tr w14:paraId="4BF9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743" w:type="dxa"/>
            <w:vAlign w:val="center"/>
          </w:tcPr>
          <w:p w14:paraId="528CB587">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6</w:t>
            </w:r>
          </w:p>
        </w:tc>
        <w:tc>
          <w:tcPr>
            <w:tcW w:w="1676" w:type="dxa"/>
            <w:vAlign w:val="center"/>
          </w:tcPr>
          <w:p w14:paraId="220D608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195" w:type="dxa"/>
            <w:vAlign w:val="center"/>
          </w:tcPr>
          <w:p w14:paraId="76C4ADF1">
            <w:pPr>
              <w:pStyle w:val="96"/>
              <w:widowControl w:val="0"/>
              <w:spacing w:before="0" w:beforeAutospacing="0" w:after="0" w:afterAutospacing="0" w:line="440" w:lineRule="exact"/>
              <w:jc w:val="both"/>
              <w:rPr>
                <w:rFonts w:hint="default" w:ascii="宋体" w:hAnsi="宋体" w:eastAsia="宋体" w:cs="宋体"/>
                <w:color w:val="auto"/>
                <w:sz w:val="24"/>
                <w:szCs w:val="24"/>
                <w:highlight w:val="none"/>
                <w:lang w:val="en-US"/>
              </w:rPr>
            </w:pPr>
            <w:r>
              <w:rPr>
                <w:rFonts w:hint="eastAsia" w:cs="宋体"/>
                <w:color w:val="auto"/>
                <w:sz w:val="24"/>
                <w:szCs w:val="24"/>
                <w:highlight w:val="none"/>
                <w:lang w:val="en-US" w:eastAsia="zh-CN"/>
              </w:rPr>
              <w:t>AHZQ-F-20241129</w:t>
            </w:r>
          </w:p>
        </w:tc>
      </w:tr>
      <w:tr w14:paraId="7C9D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21" w:hRule="atLeast"/>
          <w:jc w:val="center"/>
        </w:trPr>
        <w:tc>
          <w:tcPr>
            <w:tcW w:w="743" w:type="dxa"/>
            <w:vAlign w:val="center"/>
          </w:tcPr>
          <w:p w14:paraId="66BC7D15">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7</w:t>
            </w:r>
          </w:p>
        </w:tc>
        <w:tc>
          <w:tcPr>
            <w:tcW w:w="1676" w:type="dxa"/>
            <w:vAlign w:val="center"/>
          </w:tcPr>
          <w:p w14:paraId="74FFD89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195" w:type="dxa"/>
            <w:vAlign w:val="center"/>
          </w:tcPr>
          <w:p w14:paraId="4CCB0FA1">
            <w:pPr>
              <w:pStyle w:val="96"/>
              <w:widowControl w:val="0"/>
              <w:spacing w:before="0" w:beforeAutospacing="0" w:after="0" w:afterAutospacing="0" w:line="440" w:lineRule="exact"/>
              <w:jc w:val="both"/>
              <w:rPr>
                <w:rFonts w:hint="eastAsia" w:cs="宋体"/>
                <w:b w:val="0"/>
                <w:bCs w:val="0"/>
                <w:color w:val="auto"/>
                <w:sz w:val="24"/>
                <w:szCs w:val="24"/>
                <w:highlight w:val="none"/>
                <w:lang w:eastAsia="zh-CN"/>
              </w:rPr>
            </w:pPr>
            <w:r>
              <w:rPr>
                <w:rFonts w:hint="eastAsia" w:cs="宋体"/>
                <w:b w:val="0"/>
                <w:bCs w:val="0"/>
                <w:color w:val="auto"/>
                <w:sz w:val="24"/>
                <w:szCs w:val="24"/>
                <w:highlight w:val="none"/>
                <w:lang w:val="en-US" w:eastAsia="zh-CN"/>
              </w:rPr>
              <w:t>所有维修养护工作完成并验收合格后，一次性支付98%合同款，剩余2%作为质保金一年后支付</w:t>
            </w:r>
            <w:r>
              <w:rPr>
                <w:rFonts w:hint="eastAsia" w:cs="宋体"/>
                <w:b w:val="0"/>
                <w:bCs w:val="0"/>
                <w:color w:val="auto"/>
                <w:sz w:val="24"/>
                <w:szCs w:val="24"/>
                <w:highlight w:val="none"/>
                <w:lang w:eastAsia="zh-CN"/>
              </w:rPr>
              <w:t>。</w:t>
            </w:r>
          </w:p>
          <w:p w14:paraId="0CF7715C">
            <w:pPr>
              <w:pStyle w:val="96"/>
              <w:widowControl w:val="0"/>
              <w:spacing w:before="0" w:beforeAutospacing="0" w:after="0" w:afterAutospacing="0" w:line="44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（供应商提交的响应文件中如有关于付款条件的表述与</w:t>
            </w:r>
            <w:r>
              <w:rPr>
                <w:rFonts w:hint="eastAsia"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文件规定不符，将被视为实质性不响应，将导致响应无效）</w:t>
            </w:r>
          </w:p>
        </w:tc>
      </w:tr>
      <w:tr w14:paraId="1A79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3" w:type="dxa"/>
            <w:vAlign w:val="center"/>
          </w:tcPr>
          <w:p w14:paraId="767DCB1E">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8</w:t>
            </w:r>
          </w:p>
        </w:tc>
        <w:tc>
          <w:tcPr>
            <w:tcW w:w="1676" w:type="dxa"/>
            <w:vAlign w:val="center"/>
          </w:tcPr>
          <w:p w14:paraId="63AC647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c>
          <w:tcPr>
            <w:tcW w:w="7195" w:type="dxa"/>
            <w:vAlign w:val="center"/>
          </w:tcPr>
          <w:p w14:paraId="22D13E8E">
            <w:pPr>
              <w:spacing w:line="520" w:lineRule="exac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12月15日前完成全部内容并组织验收</w:t>
            </w:r>
            <w:r>
              <w:rPr>
                <w:rFonts w:hint="eastAsia" w:ascii="宋体" w:hAnsi="宋体" w:eastAsia="宋体" w:cs="宋体"/>
                <w:color w:val="auto"/>
                <w:kern w:val="2"/>
                <w:sz w:val="24"/>
                <w:szCs w:val="24"/>
                <w:highlight w:val="none"/>
                <w:lang w:val="en-US" w:eastAsia="zh-CN" w:bidi="ar-SA"/>
              </w:rPr>
              <w:t>，成交供应商每延期一天. 采购人从成交供应商结算工程款中扣除未完成工程量的1%/每天。</w:t>
            </w:r>
          </w:p>
        </w:tc>
      </w:tr>
      <w:tr w14:paraId="5E8F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3" w:type="dxa"/>
            <w:vAlign w:val="center"/>
          </w:tcPr>
          <w:p w14:paraId="7A31A295">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9</w:t>
            </w:r>
          </w:p>
        </w:tc>
        <w:tc>
          <w:tcPr>
            <w:tcW w:w="1676" w:type="dxa"/>
            <w:vAlign w:val="center"/>
          </w:tcPr>
          <w:p w14:paraId="20F1AD89">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color w:val="auto"/>
                <w:szCs w:val="24"/>
                <w:highlight w:val="none"/>
              </w:rPr>
            </w:pPr>
            <w:r>
              <w:rPr>
                <w:rFonts w:hint="eastAsia" w:ascii="宋体" w:hAnsi="宋体" w:cs="宋体"/>
                <w:bCs/>
                <w:color w:val="auto"/>
                <w:kern w:val="2"/>
                <w:szCs w:val="24"/>
                <w:highlight w:val="none"/>
                <w:lang w:val="en-US" w:eastAsia="zh-CN"/>
              </w:rPr>
              <w:t>代理</w:t>
            </w:r>
            <w:r>
              <w:rPr>
                <w:rFonts w:hint="eastAsia" w:ascii="宋体" w:hAnsi="宋体" w:eastAsia="宋体" w:cs="宋体"/>
                <w:bCs/>
                <w:color w:val="auto"/>
                <w:kern w:val="2"/>
                <w:szCs w:val="24"/>
                <w:highlight w:val="none"/>
              </w:rPr>
              <w:t>服务费</w:t>
            </w:r>
          </w:p>
        </w:tc>
        <w:tc>
          <w:tcPr>
            <w:tcW w:w="7195" w:type="dxa"/>
            <w:vAlign w:val="center"/>
          </w:tcPr>
          <w:p w14:paraId="26D37C35">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kern w:val="2"/>
                <w:sz w:val="24"/>
                <w:szCs w:val="24"/>
                <w:highlight w:val="none"/>
                <w:lang w:val="en-US" w:eastAsia="zh-CN"/>
              </w:rPr>
            </w:pPr>
            <w:r>
              <w:rPr>
                <w:rFonts w:hint="eastAsia" w:ascii="宋体" w:hAnsi="宋体" w:eastAsia="宋体" w:cs="宋体"/>
                <w:bCs/>
                <w:color w:val="000000"/>
                <w:kern w:val="2"/>
                <w:sz w:val="24"/>
                <w:szCs w:val="24"/>
                <w:highlight w:val="none"/>
              </w:rPr>
              <w:t>本项目代理服务费和专家评审费由成交</w:t>
            </w:r>
            <w:r>
              <w:rPr>
                <w:rFonts w:hint="eastAsia" w:ascii="宋体" w:hAnsi="宋体" w:eastAsia="宋体" w:cs="宋体"/>
                <w:bCs/>
                <w:color w:val="000000"/>
                <w:kern w:val="2"/>
                <w:sz w:val="24"/>
                <w:szCs w:val="24"/>
                <w:highlight w:val="none"/>
                <w:lang w:val="en-US"/>
              </w:rPr>
              <w:t>供应商</w:t>
            </w:r>
            <w:r>
              <w:rPr>
                <w:rFonts w:hint="eastAsia" w:ascii="宋体" w:hAnsi="宋体" w:eastAsia="宋体" w:cs="宋体"/>
                <w:bCs/>
                <w:color w:val="000000"/>
                <w:kern w:val="2"/>
                <w:sz w:val="24"/>
                <w:szCs w:val="24"/>
                <w:highlight w:val="none"/>
              </w:rPr>
              <w:t>支付，成交</w:t>
            </w:r>
            <w:r>
              <w:rPr>
                <w:rFonts w:hint="eastAsia" w:ascii="宋体" w:hAnsi="宋体" w:eastAsia="宋体" w:cs="宋体"/>
                <w:bCs/>
                <w:color w:val="000000"/>
                <w:kern w:val="2"/>
                <w:sz w:val="24"/>
                <w:szCs w:val="24"/>
                <w:highlight w:val="none"/>
                <w:lang w:val="en-US"/>
              </w:rPr>
              <w:t>供应商</w:t>
            </w:r>
            <w:r>
              <w:rPr>
                <w:rFonts w:hint="eastAsia" w:ascii="宋体" w:hAnsi="宋体" w:eastAsia="宋体" w:cs="宋体"/>
                <w:bCs/>
                <w:color w:val="000000"/>
                <w:kern w:val="2"/>
                <w:sz w:val="24"/>
                <w:szCs w:val="24"/>
                <w:highlight w:val="none"/>
              </w:rPr>
              <w:t>在响应报价中需充分考虑本项目代理服务费和专家评审费等相关费用，成交</w:t>
            </w:r>
            <w:r>
              <w:rPr>
                <w:rFonts w:hint="eastAsia" w:ascii="宋体" w:hAnsi="宋体" w:eastAsia="宋体" w:cs="宋体"/>
                <w:bCs/>
                <w:color w:val="000000"/>
                <w:kern w:val="2"/>
                <w:sz w:val="24"/>
                <w:szCs w:val="24"/>
                <w:highlight w:val="none"/>
                <w:lang w:val="en-US"/>
              </w:rPr>
              <w:t>供应商</w:t>
            </w:r>
            <w:r>
              <w:rPr>
                <w:rFonts w:hint="eastAsia" w:ascii="宋体" w:hAnsi="宋体" w:eastAsia="宋体" w:cs="宋体"/>
                <w:bCs/>
                <w:color w:val="000000"/>
                <w:kern w:val="2"/>
                <w:sz w:val="24"/>
                <w:szCs w:val="24"/>
                <w:highlight w:val="none"/>
              </w:rPr>
              <w:t>领取成交通知书前一次性支付，代理服务费按</w:t>
            </w:r>
            <w:r>
              <w:rPr>
                <w:rFonts w:hint="eastAsia" w:ascii="宋体" w:hAnsi="宋体" w:eastAsia="宋体" w:cs="宋体"/>
                <w:bCs/>
                <w:kern w:val="2"/>
                <w:sz w:val="24"/>
                <w:szCs w:val="24"/>
                <w:highlight w:val="none"/>
              </w:rPr>
              <w:t>以</w:t>
            </w:r>
            <w:r>
              <w:rPr>
                <w:rFonts w:hint="eastAsia" w:ascii="宋体" w:hAnsi="宋体" w:eastAsia="宋体" w:cs="宋体"/>
                <w:bCs/>
                <w:kern w:val="2"/>
                <w:sz w:val="24"/>
                <w:szCs w:val="24"/>
                <w:highlight w:val="none"/>
                <w:lang w:val="en-US"/>
              </w:rPr>
              <w:t>成交</w:t>
            </w:r>
            <w:r>
              <w:rPr>
                <w:rFonts w:hint="eastAsia" w:ascii="宋体" w:hAnsi="宋体" w:eastAsia="宋体" w:cs="宋体"/>
                <w:bCs/>
                <w:kern w:val="2"/>
                <w:sz w:val="24"/>
                <w:szCs w:val="24"/>
                <w:highlight w:val="none"/>
              </w:rPr>
              <w:t>金额为计算基础，</w:t>
            </w:r>
            <w:r>
              <w:rPr>
                <w:rFonts w:hint="eastAsia" w:ascii="宋体" w:hAnsi="宋体" w:eastAsia="宋体" w:cs="宋体"/>
                <w:bCs/>
                <w:kern w:val="2"/>
                <w:sz w:val="24"/>
                <w:szCs w:val="24"/>
                <w:highlight w:val="none"/>
                <w:lang w:val="en-US"/>
              </w:rPr>
              <w:t>收费标准</w:t>
            </w:r>
            <w:r>
              <w:rPr>
                <w:rFonts w:hint="eastAsia" w:ascii="宋体" w:hAnsi="宋体" w:eastAsia="宋体" w:cs="宋体"/>
                <w:bCs/>
                <w:kern w:val="2"/>
                <w:sz w:val="24"/>
                <w:szCs w:val="24"/>
                <w:highlight w:val="none"/>
                <w:lang w:val="en-US" w:eastAsia="zh-CN"/>
              </w:rPr>
              <w:t>如下（按差额定率累进法）：</w:t>
            </w:r>
          </w:p>
          <w:tbl>
            <w:tblPr>
              <w:tblStyle w:val="35"/>
              <w:tblW w:w="7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1500"/>
              <w:gridCol w:w="1483"/>
              <w:gridCol w:w="1525"/>
            </w:tblGrid>
            <w:tr w14:paraId="5998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19569A4A">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rPr>
                  </w:pPr>
                  <w:r>
                    <w:rPr>
                      <w:rFonts w:hint="eastAsia" w:ascii="宋体" w:hAnsi="宋体" w:eastAsia="宋体" w:cs="宋体"/>
                      <w:b/>
                      <w:bCs/>
                      <w:color w:val="000000"/>
                      <w:kern w:val="0"/>
                      <w:sz w:val="24"/>
                      <w:szCs w:val="24"/>
                      <w:highlight w:val="none"/>
                      <w:lang w:val="en-US" w:eastAsia="zh-CN" w:bidi="ar"/>
                    </w:rPr>
                    <w:t>中标（成交）金额（万元）</w:t>
                  </w:r>
                </w:p>
              </w:tc>
              <w:tc>
                <w:tcPr>
                  <w:tcW w:w="1500" w:type="dxa"/>
                </w:tcPr>
                <w:p w14:paraId="3D80BCA1">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货物类项目</w:t>
                  </w:r>
                </w:p>
              </w:tc>
              <w:tc>
                <w:tcPr>
                  <w:tcW w:w="1483" w:type="dxa"/>
                </w:tcPr>
                <w:p w14:paraId="22A0B5F3">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服务类项目</w:t>
                  </w:r>
                </w:p>
              </w:tc>
              <w:tc>
                <w:tcPr>
                  <w:tcW w:w="1525" w:type="dxa"/>
                </w:tcPr>
                <w:p w14:paraId="70757CE4">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工程类项目</w:t>
                  </w:r>
                </w:p>
              </w:tc>
            </w:tr>
            <w:tr w14:paraId="32C4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44409174">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100以下</w:t>
                  </w:r>
                </w:p>
              </w:tc>
              <w:tc>
                <w:tcPr>
                  <w:tcW w:w="1500" w:type="dxa"/>
                </w:tcPr>
                <w:p w14:paraId="07561C55">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1.5%</w:t>
                  </w:r>
                </w:p>
              </w:tc>
              <w:tc>
                <w:tcPr>
                  <w:tcW w:w="1483" w:type="dxa"/>
                </w:tcPr>
                <w:p w14:paraId="1F632D10">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rPr>
                  </w:pPr>
                  <w:r>
                    <w:rPr>
                      <w:rFonts w:hint="eastAsia" w:ascii="宋体" w:hAnsi="宋体" w:eastAsia="宋体" w:cs="宋体"/>
                      <w:bCs/>
                      <w:color w:val="000000"/>
                      <w:kern w:val="2"/>
                      <w:sz w:val="24"/>
                      <w:szCs w:val="24"/>
                      <w:highlight w:val="none"/>
                      <w:vertAlign w:val="baseline"/>
                      <w:lang w:val="en-US" w:eastAsia="zh-CN"/>
                    </w:rPr>
                    <w:t>1.5%</w:t>
                  </w:r>
                </w:p>
              </w:tc>
              <w:tc>
                <w:tcPr>
                  <w:tcW w:w="1525" w:type="dxa"/>
                </w:tcPr>
                <w:p w14:paraId="14EC6A03">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rPr>
                  </w:pPr>
                  <w:r>
                    <w:rPr>
                      <w:rFonts w:hint="eastAsia" w:ascii="宋体" w:hAnsi="宋体" w:eastAsia="宋体" w:cs="宋体"/>
                      <w:bCs/>
                      <w:color w:val="000000"/>
                      <w:kern w:val="2"/>
                      <w:sz w:val="24"/>
                      <w:szCs w:val="24"/>
                      <w:highlight w:val="none"/>
                      <w:vertAlign w:val="baseline"/>
                      <w:lang w:val="en-US" w:eastAsia="zh-CN"/>
                    </w:rPr>
                    <w:t>1.0%</w:t>
                  </w:r>
                </w:p>
              </w:tc>
            </w:tr>
            <w:tr w14:paraId="364D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22941D27">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100-500</w:t>
                  </w:r>
                </w:p>
              </w:tc>
              <w:tc>
                <w:tcPr>
                  <w:tcW w:w="1500" w:type="dxa"/>
                </w:tcPr>
                <w:p w14:paraId="2C802F3F">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1.1%</w:t>
                  </w:r>
                </w:p>
              </w:tc>
              <w:tc>
                <w:tcPr>
                  <w:tcW w:w="1483" w:type="dxa"/>
                </w:tcPr>
                <w:p w14:paraId="1BD3F217">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0.8%</w:t>
                  </w:r>
                </w:p>
              </w:tc>
              <w:tc>
                <w:tcPr>
                  <w:tcW w:w="1525" w:type="dxa"/>
                </w:tcPr>
                <w:p w14:paraId="3FC6468B">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0.7%</w:t>
                  </w:r>
                </w:p>
              </w:tc>
            </w:tr>
            <w:tr w14:paraId="6645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552CCD3F">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500-1000</w:t>
                  </w:r>
                </w:p>
              </w:tc>
              <w:tc>
                <w:tcPr>
                  <w:tcW w:w="1500" w:type="dxa"/>
                </w:tcPr>
                <w:p w14:paraId="38C900D7">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0.8%</w:t>
                  </w:r>
                </w:p>
              </w:tc>
              <w:tc>
                <w:tcPr>
                  <w:tcW w:w="1483" w:type="dxa"/>
                </w:tcPr>
                <w:p w14:paraId="4DABB427">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0.45%</w:t>
                  </w:r>
                </w:p>
              </w:tc>
              <w:tc>
                <w:tcPr>
                  <w:tcW w:w="1525" w:type="dxa"/>
                </w:tcPr>
                <w:p w14:paraId="667D981C">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0.55%</w:t>
                  </w:r>
                </w:p>
              </w:tc>
            </w:tr>
            <w:tr w14:paraId="6FB5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6DF1B987">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1000-5000</w:t>
                  </w:r>
                </w:p>
              </w:tc>
              <w:tc>
                <w:tcPr>
                  <w:tcW w:w="1500" w:type="dxa"/>
                </w:tcPr>
                <w:p w14:paraId="51CB7784">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0.5%</w:t>
                  </w:r>
                </w:p>
              </w:tc>
              <w:tc>
                <w:tcPr>
                  <w:tcW w:w="1483" w:type="dxa"/>
                </w:tcPr>
                <w:p w14:paraId="1598A87E">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0.25%</w:t>
                  </w:r>
                </w:p>
              </w:tc>
              <w:tc>
                <w:tcPr>
                  <w:tcW w:w="1525" w:type="dxa"/>
                </w:tcPr>
                <w:p w14:paraId="53A834B3">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0.35%</w:t>
                  </w:r>
                </w:p>
              </w:tc>
            </w:tr>
            <w:tr w14:paraId="2527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2D1F5BD2">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5000-10000</w:t>
                  </w:r>
                </w:p>
              </w:tc>
              <w:tc>
                <w:tcPr>
                  <w:tcW w:w="1500" w:type="dxa"/>
                </w:tcPr>
                <w:p w14:paraId="5CA355A5">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0.25%</w:t>
                  </w:r>
                </w:p>
              </w:tc>
              <w:tc>
                <w:tcPr>
                  <w:tcW w:w="1483" w:type="dxa"/>
                </w:tcPr>
                <w:p w14:paraId="5EB5D7C0">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0.1%</w:t>
                  </w:r>
                </w:p>
              </w:tc>
              <w:tc>
                <w:tcPr>
                  <w:tcW w:w="1525" w:type="dxa"/>
                </w:tcPr>
                <w:p w14:paraId="5BA0E905">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0.2%</w:t>
                  </w:r>
                </w:p>
              </w:tc>
            </w:tr>
            <w:tr w14:paraId="51E8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592BB49D">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10000-100000</w:t>
                  </w:r>
                </w:p>
              </w:tc>
              <w:tc>
                <w:tcPr>
                  <w:tcW w:w="1500" w:type="dxa"/>
                </w:tcPr>
                <w:p w14:paraId="65055F90">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0.05%</w:t>
                  </w:r>
                </w:p>
              </w:tc>
              <w:tc>
                <w:tcPr>
                  <w:tcW w:w="1483" w:type="dxa"/>
                </w:tcPr>
                <w:p w14:paraId="01270ADB">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0.05%</w:t>
                  </w:r>
                </w:p>
              </w:tc>
              <w:tc>
                <w:tcPr>
                  <w:tcW w:w="1525" w:type="dxa"/>
                </w:tcPr>
                <w:p w14:paraId="5D9CB8D5">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0.05%</w:t>
                  </w:r>
                </w:p>
              </w:tc>
            </w:tr>
            <w:tr w14:paraId="1F61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7C4F2E4C">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100000以上</w:t>
                  </w:r>
                </w:p>
              </w:tc>
              <w:tc>
                <w:tcPr>
                  <w:tcW w:w="1500" w:type="dxa"/>
                </w:tcPr>
                <w:p w14:paraId="1368322F">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0.01%</w:t>
                  </w:r>
                </w:p>
              </w:tc>
              <w:tc>
                <w:tcPr>
                  <w:tcW w:w="1483" w:type="dxa"/>
                </w:tcPr>
                <w:p w14:paraId="4BCBB5EB">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0.01%</w:t>
                  </w:r>
                </w:p>
              </w:tc>
              <w:tc>
                <w:tcPr>
                  <w:tcW w:w="1525" w:type="dxa"/>
                </w:tcPr>
                <w:p w14:paraId="172217E5">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000000"/>
                      <w:kern w:val="2"/>
                      <w:sz w:val="24"/>
                      <w:szCs w:val="24"/>
                      <w:highlight w:val="none"/>
                      <w:vertAlign w:val="baseline"/>
                      <w:lang w:val="en-US" w:eastAsia="zh-CN"/>
                    </w:rPr>
                  </w:pPr>
                  <w:r>
                    <w:rPr>
                      <w:rFonts w:hint="eastAsia" w:ascii="宋体" w:hAnsi="宋体" w:eastAsia="宋体" w:cs="宋体"/>
                      <w:bCs/>
                      <w:color w:val="000000"/>
                      <w:kern w:val="2"/>
                      <w:sz w:val="24"/>
                      <w:szCs w:val="24"/>
                      <w:highlight w:val="none"/>
                      <w:vertAlign w:val="baseline"/>
                      <w:lang w:val="en-US" w:eastAsia="zh-CN"/>
                    </w:rPr>
                    <w:t>0.01%</w:t>
                  </w:r>
                </w:p>
              </w:tc>
            </w:tr>
          </w:tbl>
          <w:p w14:paraId="23D14A6A">
            <w:pPr>
              <w:pStyle w:val="96"/>
              <w:keepNext w:val="0"/>
              <w:keepLines w:val="0"/>
              <w:pageBreakBefore w:val="0"/>
              <w:widowControl w:val="0"/>
              <w:kinsoku/>
              <w:wordWrap/>
              <w:overflowPunct/>
              <w:topLinePunct/>
              <w:autoSpaceDE/>
              <w:autoSpaceDN/>
              <w:bidi w:val="0"/>
              <w:adjustRightInd/>
              <w:snapToGrid/>
              <w:spacing w:before="0" w:beforeAutospacing="0" w:after="0" w:afterAutospacing="0" w:line="440" w:lineRule="exact"/>
              <w:jc w:val="both"/>
              <w:textAlignment w:val="auto"/>
              <w:rPr>
                <w:rFonts w:hint="eastAsia" w:ascii="宋体" w:hAnsi="宋体" w:eastAsia="宋体" w:cs="宋体"/>
                <w:bCs/>
                <w:color w:val="auto"/>
                <w:szCs w:val="24"/>
                <w:highlight w:val="none"/>
                <w:lang w:val="en-US"/>
              </w:rPr>
            </w:pPr>
            <w:r>
              <w:rPr>
                <w:rFonts w:hint="eastAsia" w:ascii="宋体" w:hAnsi="宋体" w:eastAsia="宋体" w:cs="宋体"/>
                <w:bCs/>
                <w:color w:val="000000"/>
                <w:kern w:val="2"/>
                <w:sz w:val="24"/>
                <w:szCs w:val="24"/>
                <w:highlight w:val="none"/>
                <w:lang w:val="en-US"/>
              </w:rPr>
              <w:t>，</w:t>
            </w:r>
            <w:r>
              <w:rPr>
                <w:rFonts w:hint="eastAsia" w:ascii="宋体" w:hAnsi="宋体" w:eastAsia="宋体" w:cs="宋体"/>
                <w:b w:val="0"/>
                <w:bCs w:val="0"/>
                <w:color w:val="auto"/>
                <w:sz w:val="24"/>
                <w:szCs w:val="24"/>
                <w:highlight w:val="none"/>
              </w:rPr>
              <w:t>不足3000元的按3000元固定标准收费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Cs/>
                <w:color w:val="000000"/>
                <w:kern w:val="2"/>
                <w:sz w:val="24"/>
                <w:szCs w:val="24"/>
                <w:highlight w:val="none"/>
                <w:lang w:val="en-US"/>
              </w:rPr>
              <w:t>专家评审费按实收取</w:t>
            </w:r>
            <w:r>
              <w:rPr>
                <w:rFonts w:hint="eastAsia" w:ascii="宋体" w:hAnsi="宋体" w:eastAsia="宋体" w:cs="宋体"/>
                <w:bCs/>
                <w:color w:val="000000"/>
                <w:kern w:val="2"/>
                <w:sz w:val="24"/>
                <w:szCs w:val="24"/>
                <w:highlight w:val="none"/>
              </w:rPr>
              <w:t>。</w:t>
            </w:r>
            <w:r>
              <w:rPr>
                <w:rFonts w:hint="eastAsia" w:ascii="宋体" w:hAnsi="宋体" w:eastAsia="宋体" w:cs="宋体"/>
                <w:sz w:val="24"/>
                <w:szCs w:val="24"/>
                <w:highlight w:val="none"/>
              </w:rPr>
              <w:t>此项费用无需单列，供应商综合考虑到报价中。</w:t>
            </w:r>
          </w:p>
        </w:tc>
      </w:tr>
      <w:tr w14:paraId="7DA4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3" w:type="dxa"/>
            <w:vAlign w:val="center"/>
          </w:tcPr>
          <w:p w14:paraId="5C32819E">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10</w:t>
            </w:r>
          </w:p>
        </w:tc>
        <w:tc>
          <w:tcPr>
            <w:tcW w:w="1676" w:type="dxa"/>
            <w:vAlign w:val="center"/>
          </w:tcPr>
          <w:p w14:paraId="432E6FE0">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履约保证金</w:t>
            </w:r>
          </w:p>
        </w:tc>
        <w:tc>
          <w:tcPr>
            <w:tcW w:w="7195" w:type="dxa"/>
            <w:vAlign w:val="center"/>
          </w:tcPr>
          <w:p w14:paraId="75A6AFB4">
            <w:pPr>
              <w:pStyle w:val="32"/>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本项目不作要求。</w:t>
            </w:r>
          </w:p>
        </w:tc>
      </w:tr>
      <w:tr w14:paraId="383E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743" w:type="dxa"/>
            <w:vAlign w:val="center"/>
          </w:tcPr>
          <w:p w14:paraId="337868CC">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11</w:t>
            </w:r>
          </w:p>
        </w:tc>
        <w:tc>
          <w:tcPr>
            <w:tcW w:w="1676" w:type="dxa"/>
            <w:vAlign w:val="center"/>
          </w:tcPr>
          <w:p w14:paraId="28B210DD">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勘察及对接</w:t>
            </w:r>
          </w:p>
        </w:tc>
        <w:tc>
          <w:tcPr>
            <w:tcW w:w="7195" w:type="dxa"/>
            <w:vAlign w:val="center"/>
          </w:tcPr>
          <w:p w14:paraId="1C028CB2">
            <w:pPr>
              <w:pStyle w:val="94"/>
              <w:pBdr>
                <w:bottom w:val="none" w:color="auto" w:sz="0" w:space="0"/>
              </w:pBdr>
              <w:tabs>
                <w:tab w:val="clear" w:pos="4153"/>
                <w:tab w:val="clear" w:pos="8306"/>
              </w:tabs>
              <w:adjustRightInd/>
              <w:spacing w:line="400" w:lineRule="exact"/>
              <w:jc w:val="both"/>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请各供应商联系采购单位自行勘踏，采购人免费提供项目实施过程中各项对接协调服务。</w:t>
            </w:r>
          </w:p>
        </w:tc>
      </w:tr>
      <w:tr w14:paraId="24A9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43" w:type="dxa"/>
            <w:vAlign w:val="center"/>
          </w:tcPr>
          <w:p w14:paraId="52866E35">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lang w:eastAsia="zh-CN"/>
              </w:rPr>
            </w:pPr>
            <w:r>
              <w:rPr>
                <w:rFonts w:hint="eastAsia" w:ascii="宋体" w:hAnsi="宋体" w:eastAsia="宋体" w:cs="宋体"/>
                <w:b/>
                <w:color w:val="auto"/>
                <w:kern w:val="2"/>
                <w:szCs w:val="24"/>
                <w:highlight w:val="none"/>
              </w:rPr>
              <w:t>1</w:t>
            </w:r>
            <w:r>
              <w:rPr>
                <w:rFonts w:hint="eastAsia" w:ascii="宋体" w:hAnsi="宋体" w:cs="宋体"/>
                <w:b/>
                <w:color w:val="auto"/>
                <w:kern w:val="2"/>
                <w:szCs w:val="24"/>
                <w:highlight w:val="none"/>
                <w:lang w:val="en-US" w:eastAsia="zh-CN"/>
              </w:rPr>
              <w:t>2</w:t>
            </w:r>
          </w:p>
        </w:tc>
        <w:tc>
          <w:tcPr>
            <w:tcW w:w="1676" w:type="dxa"/>
            <w:vAlign w:val="center"/>
          </w:tcPr>
          <w:p w14:paraId="01ACE323">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提问与回复</w:t>
            </w:r>
          </w:p>
        </w:tc>
        <w:tc>
          <w:tcPr>
            <w:tcW w:w="7195" w:type="dxa"/>
            <w:vAlign w:val="center"/>
          </w:tcPr>
          <w:p w14:paraId="673A6A9B">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供应商应仔细阅读采购文件及采购需求，有任何疑问应以书面方式向采购人或采购代理机构提出澄清要求。</w:t>
            </w:r>
          </w:p>
          <w:p w14:paraId="3460E798">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供应商请注意：如需要，采购人将以书面形式向所有供应商发布澄清文件，该澄清文件内容为采购文件的组成部分，对响应供应商具有同样约束力。</w:t>
            </w:r>
          </w:p>
        </w:tc>
      </w:tr>
      <w:tr w14:paraId="3213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43" w:type="dxa"/>
            <w:vAlign w:val="center"/>
          </w:tcPr>
          <w:p w14:paraId="1032D172">
            <w:pPr>
              <w:pStyle w:val="94"/>
              <w:pBdr>
                <w:bottom w:val="none" w:color="auto" w:sz="0" w:space="0"/>
              </w:pBdr>
              <w:tabs>
                <w:tab w:val="clear" w:pos="4153"/>
                <w:tab w:val="clear" w:pos="8306"/>
              </w:tabs>
              <w:adjustRightInd/>
              <w:spacing w:line="440" w:lineRule="exact"/>
              <w:textAlignment w:val="auto"/>
              <w:rPr>
                <w:rFonts w:hint="default" w:ascii="宋体" w:hAnsi="宋体" w:eastAsia="宋体" w:cs="宋体"/>
                <w:b/>
                <w:color w:val="auto"/>
                <w:kern w:val="2"/>
                <w:szCs w:val="24"/>
                <w:highlight w:val="none"/>
                <w:lang w:val="en-US" w:eastAsia="zh-CN"/>
              </w:rPr>
            </w:pPr>
            <w:r>
              <w:rPr>
                <w:rFonts w:hint="eastAsia" w:ascii="宋体" w:hAnsi="宋体" w:cs="宋体"/>
                <w:b/>
                <w:color w:val="auto"/>
                <w:kern w:val="2"/>
                <w:szCs w:val="24"/>
                <w:highlight w:val="none"/>
                <w:lang w:val="en-US" w:eastAsia="zh-CN"/>
              </w:rPr>
              <w:t>13</w:t>
            </w:r>
          </w:p>
        </w:tc>
        <w:tc>
          <w:tcPr>
            <w:tcW w:w="1676" w:type="dxa"/>
            <w:shd w:val="clear" w:color="auto" w:fill="auto"/>
            <w:vAlign w:val="center"/>
          </w:tcPr>
          <w:p w14:paraId="1C20518E">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Cs w:val="24"/>
                <w:highlight w:val="none"/>
              </w:rPr>
              <w:t>响应文件份数及要求</w:t>
            </w:r>
          </w:p>
        </w:tc>
        <w:tc>
          <w:tcPr>
            <w:tcW w:w="7195" w:type="dxa"/>
            <w:shd w:val="clear" w:color="auto" w:fill="auto"/>
            <w:vAlign w:val="center"/>
          </w:tcPr>
          <w:p w14:paraId="2D7AB5B8">
            <w:pPr>
              <w:pStyle w:val="94"/>
              <w:pBdr>
                <w:bottom w:val="none" w:color="auto" w:sz="0" w:space="0"/>
              </w:pBdr>
              <w:tabs>
                <w:tab w:val="clear" w:pos="4153"/>
                <w:tab w:val="clear" w:pos="8306"/>
              </w:tabs>
              <w:adjustRightInd/>
              <w:spacing w:line="440" w:lineRule="exact"/>
              <w:jc w:val="left"/>
              <w:textAlignment w:val="auto"/>
              <w:rPr>
                <w:rFonts w:hint="eastAsia" w:ascii="宋体" w:hAnsi="宋体" w:cs="宋体"/>
                <w:bCs/>
                <w:color w:val="auto"/>
                <w:szCs w:val="24"/>
                <w:highlight w:val="none"/>
              </w:rPr>
            </w:pPr>
            <w:r>
              <w:rPr>
                <w:rFonts w:hint="eastAsia" w:ascii="宋体" w:hAnsi="宋体" w:cs="宋体"/>
                <w:bCs/>
                <w:color w:val="auto"/>
                <w:szCs w:val="24"/>
                <w:highlight w:val="none"/>
              </w:rPr>
              <w:t>1、响应文件壹式肆份。其中，正本壹份、副本叁份。当响应文件正本和副本内容不一致时，以正本内容为准，供应商应无异议，否则作无效响应文件处理。响应文件建议胶装成册。</w:t>
            </w:r>
          </w:p>
          <w:p w14:paraId="44EC7B73">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Cs w:val="24"/>
                <w:highlight w:val="none"/>
              </w:rPr>
              <w:t>2、供应商应将响应文件密封递交，并在封袋上加盖供应商公章。</w:t>
            </w:r>
          </w:p>
        </w:tc>
      </w:tr>
      <w:tr w14:paraId="0CDC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07" w:hRule="atLeast"/>
          <w:jc w:val="center"/>
        </w:trPr>
        <w:tc>
          <w:tcPr>
            <w:tcW w:w="743" w:type="dxa"/>
            <w:vAlign w:val="center"/>
          </w:tcPr>
          <w:p w14:paraId="3501816D">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lang w:eastAsia="zh-CN"/>
              </w:rPr>
            </w:pPr>
            <w:r>
              <w:rPr>
                <w:rFonts w:hint="eastAsia" w:ascii="宋体" w:hAnsi="宋体" w:eastAsia="宋体" w:cs="宋体"/>
                <w:b/>
                <w:color w:val="auto"/>
                <w:kern w:val="2"/>
                <w:szCs w:val="24"/>
                <w:highlight w:val="none"/>
              </w:rPr>
              <w:t>1</w:t>
            </w:r>
            <w:r>
              <w:rPr>
                <w:rFonts w:hint="eastAsia" w:ascii="宋体" w:hAnsi="宋体" w:cs="宋体"/>
                <w:b/>
                <w:color w:val="auto"/>
                <w:kern w:val="2"/>
                <w:szCs w:val="24"/>
                <w:highlight w:val="none"/>
                <w:lang w:val="en-US" w:eastAsia="zh-CN"/>
              </w:rPr>
              <w:t>4</w:t>
            </w:r>
          </w:p>
        </w:tc>
        <w:tc>
          <w:tcPr>
            <w:tcW w:w="1676" w:type="dxa"/>
            <w:shd w:val="clear" w:color="auto" w:fill="auto"/>
            <w:vAlign w:val="center"/>
          </w:tcPr>
          <w:p w14:paraId="718662CD">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Cs w:val="24"/>
                <w:highlight w:val="none"/>
              </w:rPr>
              <w:t>递交响应文件注意事项</w:t>
            </w:r>
          </w:p>
        </w:tc>
        <w:tc>
          <w:tcPr>
            <w:tcW w:w="7195" w:type="dxa"/>
            <w:shd w:val="clear" w:color="auto" w:fill="auto"/>
            <w:vAlign w:val="center"/>
          </w:tcPr>
          <w:p w14:paraId="4DEA5044">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kern w:val="2"/>
                <w:szCs w:val="24"/>
                <w:highlight w:val="none"/>
                <w:lang w:val="en-US"/>
              </w:rPr>
              <w:t>响应文件必须在响应文件提交截止时间前</w:t>
            </w:r>
            <w:r>
              <w:rPr>
                <w:rFonts w:hint="eastAsia" w:ascii="宋体" w:hAnsi="宋体" w:cs="宋体"/>
                <w:b/>
                <w:bCs/>
                <w:color w:val="auto"/>
                <w:kern w:val="2"/>
                <w:szCs w:val="24"/>
                <w:highlight w:val="none"/>
                <w:lang w:val="en-US"/>
              </w:rPr>
              <w:t>现场递交</w:t>
            </w:r>
            <w:r>
              <w:rPr>
                <w:rFonts w:hint="eastAsia" w:ascii="宋体" w:hAnsi="宋体" w:cs="宋体"/>
                <w:bCs/>
                <w:color w:val="auto"/>
                <w:kern w:val="2"/>
                <w:szCs w:val="24"/>
                <w:highlight w:val="none"/>
                <w:lang w:val="en-US"/>
              </w:rPr>
              <w:t>。</w:t>
            </w:r>
          </w:p>
        </w:tc>
      </w:tr>
      <w:tr w14:paraId="26EF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43" w:type="dxa"/>
            <w:vAlign w:val="center"/>
          </w:tcPr>
          <w:p w14:paraId="43DCD101">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lang w:eastAsia="zh-CN"/>
              </w:rPr>
            </w:pPr>
            <w:r>
              <w:rPr>
                <w:rFonts w:hint="eastAsia" w:ascii="宋体" w:hAnsi="宋体" w:eastAsia="宋体" w:cs="宋体"/>
                <w:b/>
                <w:color w:val="auto"/>
                <w:kern w:val="2"/>
                <w:szCs w:val="24"/>
                <w:highlight w:val="none"/>
              </w:rPr>
              <w:t>1</w:t>
            </w:r>
            <w:r>
              <w:rPr>
                <w:rFonts w:hint="eastAsia" w:ascii="宋体" w:hAnsi="宋体" w:cs="宋体"/>
                <w:b/>
                <w:color w:val="auto"/>
                <w:kern w:val="2"/>
                <w:szCs w:val="24"/>
                <w:highlight w:val="none"/>
                <w:lang w:val="en-US" w:eastAsia="zh-CN"/>
              </w:rPr>
              <w:t>5</w:t>
            </w:r>
          </w:p>
        </w:tc>
        <w:tc>
          <w:tcPr>
            <w:tcW w:w="1676" w:type="dxa"/>
            <w:shd w:val="clear" w:color="auto" w:fill="auto"/>
            <w:vAlign w:val="center"/>
          </w:tcPr>
          <w:p w14:paraId="1E3E37A7">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Cs w:val="24"/>
                <w:highlight w:val="none"/>
              </w:rPr>
              <w:t>备注一</w:t>
            </w:r>
          </w:p>
        </w:tc>
        <w:tc>
          <w:tcPr>
            <w:tcW w:w="7195" w:type="dxa"/>
            <w:shd w:val="clear" w:color="auto" w:fill="auto"/>
            <w:vAlign w:val="center"/>
          </w:tcPr>
          <w:p w14:paraId="37563481">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1、存在以下不良信用记录情形之一的，不得推荐为成交候选供应商,评审时谈判小组应当按照下列第</w:t>
            </w:r>
            <w:r>
              <w:rPr>
                <w:rFonts w:hint="eastAsia" w:ascii="宋体" w:hAnsi="宋体" w:cs="宋体"/>
                <w:bCs/>
                <w:color w:val="auto"/>
                <w:kern w:val="2"/>
                <w:szCs w:val="24"/>
                <w:highlight w:val="none"/>
                <w:lang w:val="en-US" w:eastAsia="zh-CN"/>
              </w:rPr>
              <w:t>2</w:t>
            </w:r>
            <w:r>
              <w:rPr>
                <w:rFonts w:hint="eastAsia" w:ascii="宋体" w:hAnsi="宋体" w:eastAsia="宋体" w:cs="宋体"/>
                <w:bCs/>
                <w:color w:val="auto"/>
                <w:kern w:val="2"/>
                <w:szCs w:val="24"/>
                <w:highlight w:val="none"/>
              </w:rPr>
              <w:t>条不良信用记录查询渠道对供应商是否存在不良信用记录进行查询：</w:t>
            </w:r>
          </w:p>
          <w:p w14:paraId="41714839">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（1）供应商被人民法院列入失信被执行人的；</w:t>
            </w:r>
          </w:p>
          <w:p w14:paraId="17E53C0A">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（2）供应商被市场监督管理部门列入企业经营异常名录的；</w:t>
            </w:r>
          </w:p>
          <w:p w14:paraId="6B0A6BB3">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（3）供应商被税务部门列入重大税收违法案件当事人名单的；</w:t>
            </w:r>
          </w:p>
          <w:p w14:paraId="30CA0DD7">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（4）供应商被监管部门列入严重违法失信行为记录名单的。</w:t>
            </w:r>
          </w:p>
          <w:p w14:paraId="08CBB71F">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cs="宋体"/>
                <w:bCs/>
                <w:color w:val="auto"/>
                <w:kern w:val="2"/>
                <w:szCs w:val="24"/>
                <w:highlight w:val="none"/>
                <w:lang w:val="en-US" w:eastAsia="zh-CN"/>
              </w:rPr>
              <w:t>2</w:t>
            </w:r>
            <w:r>
              <w:rPr>
                <w:rFonts w:hint="eastAsia" w:ascii="宋体" w:hAnsi="宋体" w:eastAsia="宋体" w:cs="宋体"/>
                <w:bCs/>
                <w:color w:val="auto"/>
                <w:kern w:val="2"/>
                <w:szCs w:val="24"/>
                <w:highlight w:val="none"/>
              </w:rPr>
              <w:t>、不良信用记录查询渠道如下：</w:t>
            </w:r>
          </w:p>
          <w:p w14:paraId="6176718C">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（1）失信被执行人：信用中国官网（www.creditchina.gov.cn）</w:t>
            </w:r>
          </w:p>
          <w:p w14:paraId="4569701E">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（2）企业经营异常名录：信用中国官网（www.creditchina.gov.cn）</w:t>
            </w:r>
          </w:p>
          <w:p w14:paraId="7FCBD457">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（3）重大税收违法案件当事人名单：信用中国官网（www.creditchina.gov.cn）</w:t>
            </w:r>
          </w:p>
          <w:p w14:paraId="6449BFC7">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Cs w:val="24"/>
                <w:highlight w:val="none"/>
              </w:rPr>
              <w:t>（4）严重违法失信行为记录名单：中国政府采购官网（www.ccgp.gov.cn）</w:t>
            </w:r>
          </w:p>
        </w:tc>
      </w:tr>
      <w:tr w14:paraId="2903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43" w:type="dxa"/>
            <w:vAlign w:val="center"/>
          </w:tcPr>
          <w:p w14:paraId="70A0A771">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p>
        </w:tc>
        <w:tc>
          <w:tcPr>
            <w:tcW w:w="1676" w:type="dxa"/>
            <w:shd w:val="clear" w:color="auto" w:fill="auto"/>
            <w:vAlign w:val="center"/>
          </w:tcPr>
          <w:p w14:paraId="2B99D846">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Cs w:val="24"/>
                <w:highlight w:val="none"/>
              </w:rPr>
              <w:t>备注二</w:t>
            </w:r>
          </w:p>
        </w:tc>
        <w:tc>
          <w:tcPr>
            <w:tcW w:w="7195" w:type="dxa"/>
            <w:shd w:val="clear" w:color="auto" w:fill="auto"/>
            <w:vAlign w:val="center"/>
          </w:tcPr>
          <w:p w14:paraId="1F405EB1">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Cs w:val="24"/>
                <w:highlight w:val="none"/>
              </w:rPr>
              <w:t>特别提醒：供应商参与</w:t>
            </w:r>
            <w:r>
              <w:rPr>
                <w:rFonts w:hint="eastAsia" w:ascii="宋体" w:hAnsi="宋体" w:cs="宋体"/>
                <w:bCs/>
                <w:color w:val="auto"/>
                <w:kern w:val="2"/>
                <w:szCs w:val="24"/>
                <w:highlight w:val="none"/>
                <w:lang w:val="en-US" w:eastAsia="zh-CN"/>
              </w:rPr>
              <w:t>采购活动</w:t>
            </w:r>
            <w:r>
              <w:rPr>
                <w:rFonts w:hint="eastAsia" w:ascii="宋体" w:hAnsi="宋体" w:eastAsia="宋体" w:cs="宋体"/>
                <w:bCs/>
                <w:color w:val="auto"/>
                <w:kern w:val="2"/>
                <w:szCs w:val="24"/>
                <w:highlight w:val="none"/>
              </w:rPr>
              <w:t>，应当诚信守法、公平竞争。如有以提供虚假材料（包括但不限于虚假技术参数响应、虚假业绩、虚假证书、虚假检测报告等）、串通投标、隐瞒失信信息等谋取</w:t>
            </w:r>
            <w:r>
              <w:rPr>
                <w:rFonts w:hint="eastAsia" w:ascii="宋体" w:hAnsi="宋体" w:cs="宋体"/>
                <w:bCs/>
                <w:color w:val="auto"/>
                <w:kern w:val="2"/>
                <w:szCs w:val="24"/>
                <w:highlight w:val="none"/>
                <w:lang w:val="en-US" w:eastAsia="zh-CN"/>
              </w:rPr>
              <w:t>成交</w:t>
            </w:r>
            <w:r>
              <w:rPr>
                <w:rFonts w:hint="eastAsia" w:ascii="宋体" w:hAnsi="宋体" w:eastAsia="宋体" w:cs="宋体"/>
                <w:bCs/>
                <w:color w:val="auto"/>
                <w:kern w:val="2"/>
                <w:szCs w:val="24"/>
                <w:highlight w:val="none"/>
              </w:rPr>
              <w:t>的行为，一经发现，将报监管部门严肃查处。</w:t>
            </w:r>
          </w:p>
        </w:tc>
      </w:tr>
    </w:tbl>
    <w:p w14:paraId="3E2915E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31"/>
    <w:bookmarkEnd w:id="32"/>
    <w:bookmarkEnd w:id="33"/>
    <w:p w14:paraId="529F02E1">
      <w:pPr>
        <w:pStyle w:val="3"/>
        <w:spacing w:before="0" w:after="0" w:line="520" w:lineRule="exact"/>
        <w:ind w:firstLine="241" w:firstLineChars="100"/>
        <w:jc w:val="center"/>
        <w:rPr>
          <w:rFonts w:hint="eastAsia" w:ascii="宋体" w:hAnsi="宋体" w:eastAsia="宋体" w:cs="宋体"/>
          <w:color w:val="auto"/>
          <w:sz w:val="24"/>
          <w:szCs w:val="24"/>
          <w:highlight w:val="none"/>
        </w:rPr>
      </w:pPr>
      <w:bookmarkStart w:id="34" w:name="_Toc7480"/>
      <w:bookmarkStart w:id="35" w:name="_Toc7878"/>
      <w:bookmarkStart w:id="36" w:name="_Toc216158630"/>
      <w:r>
        <w:rPr>
          <w:rFonts w:hint="eastAsia" w:ascii="宋体" w:hAnsi="宋体" w:eastAsia="宋体" w:cs="宋体"/>
          <w:color w:val="auto"/>
          <w:sz w:val="24"/>
          <w:szCs w:val="24"/>
          <w:highlight w:val="none"/>
        </w:rPr>
        <w:t>（二）供应商资格</w:t>
      </w:r>
      <w:bookmarkEnd w:id="34"/>
      <w:bookmarkEnd w:id="35"/>
    </w:p>
    <w:p w14:paraId="3B353FB4">
      <w:pPr>
        <w:pStyle w:val="32"/>
        <w:spacing w:after="0" w:line="520" w:lineRule="exact"/>
        <w:ind w:firstLine="480" w:firstLineChars="200"/>
        <w:jc w:val="left"/>
        <w:rPr>
          <w:rFonts w:hint="eastAsia" w:ascii="宋体" w:hAnsi="宋体" w:eastAsia="宋体" w:cs="宋体"/>
          <w:color w:val="auto"/>
          <w:highlight w:val="none"/>
          <w:lang w:val="en-US" w:eastAsia="zh-CN"/>
        </w:rPr>
      </w:pPr>
      <w:bookmarkStart w:id="37" w:name="_Toc216158625"/>
      <w:bookmarkStart w:id="38" w:name="_Toc363199266"/>
      <w:bookmarkStart w:id="39" w:name="_Toc438648662"/>
      <w:r>
        <w:rPr>
          <w:rFonts w:hint="eastAsia" w:ascii="宋体" w:hAnsi="宋体" w:eastAsia="宋体" w:cs="宋体"/>
          <w:color w:val="auto"/>
          <w:highlight w:val="none"/>
        </w:rPr>
        <w:t>见本项目</w:t>
      </w:r>
      <w:r>
        <w:rPr>
          <w:rFonts w:hint="eastAsia" w:ascii="宋体" w:hAnsi="宋体" w:cs="宋体"/>
          <w:color w:val="auto"/>
          <w:highlight w:val="none"/>
          <w:lang w:eastAsia="zh-CN"/>
        </w:rPr>
        <w:t>谈判公告</w:t>
      </w:r>
    </w:p>
    <w:p w14:paraId="4844EB25">
      <w:pPr>
        <w:pStyle w:val="3"/>
        <w:spacing w:before="0" w:after="0" w:line="520" w:lineRule="exact"/>
        <w:jc w:val="center"/>
        <w:rPr>
          <w:rFonts w:hint="eastAsia" w:ascii="宋体" w:hAnsi="宋体" w:eastAsia="宋体" w:cs="宋体"/>
          <w:color w:val="auto"/>
          <w:sz w:val="24"/>
          <w:szCs w:val="24"/>
          <w:highlight w:val="none"/>
        </w:rPr>
      </w:pPr>
      <w:bookmarkStart w:id="40" w:name="_Toc24351"/>
      <w:bookmarkStart w:id="41" w:name="_Toc27352"/>
      <w:r>
        <w:rPr>
          <w:rFonts w:hint="eastAsia" w:ascii="宋体" w:hAnsi="宋体" w:eastAsia="宋体" w:cs="宋体"/>
          <w:color w:val="auto"/>
          <w:sz w:val="24"/>
          <w:szCs w:val="24"/>
          <w:highlight w:val="none"/>
        </w:rPr>
        <w:t>（三）供应商必须提交的响应文件内容</w:t>
      </w:r>
      <w:bookmarkEnd w:id="37"/>
      <w:bookmarkEnd w:id="38"/>
      <w:bookmarkEnd w:id="39"/>
      <w:bookmarkEnd w:id="40"/>
      <w:bookmarkEnd w:id="41"/>
    </w:p>
    <w:p w14:paraId="77E1523B">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1、报价单；</w:t>
      </w:r>
    </w:p>
    <w:p w14:paraId="041DFDFD">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2、供应商基本信息；</w:t>
      </w:r>
    </w:p>
    <w:p w14:paraId="2128D995">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3、谈判授权书；</w:t>
      </w:r>
    </w:p>
    <w:p w14:paraId="27B908FB">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4、谈判响应函；</w:t>
      </w:r>
    </w:p>
    <w:p w14:paraId="06F50412">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5、无重大违法记录声明函、无不良信用记录承诺函；</w:t>
      </w:r>
    </w:p>
    <w:p w14:paraId="3D8A3DCB">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6、响应情况表；</w:t>
      </w:r>
    </w:p>
    <w:p w14:paraId="59CCDC3D">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、谈判文件要求和供应商认为需要提供的其它说明和资料。 </w:t>
      </w:r>
    </w:p>
    <w:p w14:paraId="19F69EE4">
      <w:pPr>
        <w:pStyle w:val="3"/>
        <w:spacing w:before="0" w:after="0" w:line="520" w:lineRule="exact"/>
        <w:jc w:val="center"/>
        <w:rPr>
          <w:rFonts w:hint="eastAsia" w:ascii="宋体" w:hAnsi="宋体" w:eastAsia="宋体" w:cs="宋体"/>
          <w:color w:val="auto"/>
          <w:sz w:val="24"/>
          <w:szCs w:val="24"/>
          <w:highlight w:val="none"/>
        </w:rPr>
      </w:pPr>
      <w:bookmarkStart w:id="42" w:name="_Toc10637"/>
      <w:bookmarkStart w:id="43" w:name="_Toc21125"/>
      <w:bookmarkStart w:id="44" w:name="（四）响应文件的提交"/>
      <w:bookmarkStart w:id="45" w:name="（三）供应商必须提交的响应文件内容"/>
      <w:r>
        <w:rPr>
          <w:rFonts w:hint="eastAsia" w:ascii="宋体" w:hAnsi="宋体" w:eastAsia="宋体" w:cs="宋体"/>
          <w:color w:val="auto"/>
          <w:sz w:val="24"/>
          <w:szCs w:val="24"/>
          <w:highlight w:val="none"/>
        </w:rPr>
        <w:t>（四）响应文件的提交</w:t>
      </w:r>
      <w:bookmarkEnd w:id="42"/>
      <w:bookmarkEnd w:id="43"/>
    </w:p>
    <w:bookmarkEnd w:id="44"/>
    <w:bookmarkEnd w:id="45"/>
    <w:p w14:paraId="6FBA7614">
      <w:pPr>
        <w:spacing w:line="5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1、响应文件的密封和标记</w:t>
      </w:r>
    </w:p>
    <w:p w14:paraId="69D52F2F">
      <w:pPr>
        <w:spacing w:line="5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详见须知前附表</w:t>
      </w:r>
    </w:p>
    <w:p w14:paraId="54494515">
      <w:pPr>
        <w:spacing w:line="5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2、响应文件的提交</w:t>
      </w:r>
    </w:p>
    <w:p w14:paraId="0A523BB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rPr>
        <w:t>详见须知前附表</w:t>
      </w:r>
    </w:p>
    <w:p w14:paraId="497E2CAD">
      <w:pPr>
        <w:pStyle w:val="3"/>
        <w:spacing w:before="0" w:after="0" w:line="520" w:lineRule="exact"/>
        <w:jc w:val="center"/>
        <w:rPr>
          <w:rFonts w:hint="eastAsia" w:ascii="宋体" w:hAnsi="宋体" w:eastAsia="宋体" w:cs="宋体"/>
          <w:color w:val="auto"/>
          <w:sz w:val="24"/>
          <w:szCs w:val="24"/>
          <w:highlight w:val="none"/>
        </w:rPr>
      </w:pPr>
      <w:bookmarkStart w:id="46" w:name="_Toc32094"/>
      <w:bookmarkStart w:id="47" w:name="_Toc15127"/>
      <w:bookmarkStart w:id="48" w:name="（五）谈判程序"/>
      <w:r>
        <w:rPr>
          <w:rFonts w:hint="eastAsia" w:ascii="宋体" w:hAnsi="宋体" w:eastAsia="宋体" w:cs="宋体"/>
          <w:color w:val="auto"/>
          <w:sz w:val="24"/>
          <w:szCs w:val="24"/>
          <w:highlight w:val="none"/>
        </w:rPr>
        <w:t>（五）谈判程序</w:t>
      </w:r>
      <w:bookmarkEnd w:id="46"/>
      <w:bookmarkEnd w:id="47"/>
    </w:p>
    <w:bookmarkEnd w:id="48"/>
    <w:p w14:paraId="7C365AFB">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1、谈判人员是按规定组成的三人或三人以上的谈判小组。</w:t>
      </w:r>
    </w:p>
    <w:p w14:paraId="11383F20">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2、在掌握了供应商的基本情况后，谈判小组将按签到顺序，与供应商分别进行谈判。</w:t>
      </w:r>
    </w:p>
    <w:p w14:paraId="7FF80108">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3、谈判是分别单独进行的。供应商不得与其他参与谈判的供应商相互串通；谈判小组也不得将与某一供应商的谈判情况向其他供应商及其关系人透露。</w:t>
      </w:r>
    </w:p>
    <w:p w14:paraId="1D327A8D">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4、谈判采用一轮谈判、两轮报价的方式进行。但最终采取多少轮谈判，由谈判小组视情况而定。</w:t>
      </w:r>
      <w:bookmarkStart w:id="49" w:name="_Toc9855"/>
      <w:bookmarkStart w:id="50" w:name="_Toc6912"/>
    </w:p>
    <w:p w14:paraId="7B5E7CF0">
      <w:pPr>
        <w:tabs>
          <w:tab w:val="left" w:pos="900"/>
        </w:tabs>
        <w:spacing w:line="52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5、谈判结束后，谈判小组将要求所有符合条件的供应商在规定的时间内进行最后的报价。</w:t>
      </w:r>
      <w:bookmarkEnd w:id="49"/>
      <w:bookmarkEnd w:id="50"/>
      <w:bookmarkStart w:id="51" w:name="_Toc110"/>
      <w:bookmarkStart w:id="52" w:name="_Toc9547"/>
    </w:p>
    <w:p w14:paraId="159A15E2">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6、</w:t>
      </w:r>
      <w:r>
        <w:rPr>
          <w:rFonts w:hint="eastAsia" w:ascii="宋体" w:hAnsi="宋体" w:eastAsia="宋体" w:cs="宋体"/>
          <w:b w:val="0"/>
          <w:color w:val="auto"/>
          <w:kern w:val="2"/>
          <w:sz w:val="24"/>
          <w:szCs w:val="24"/>
          <w:highlight w:val="none"/>
        </w:rPr>
        <w:t>供应商必须在规定的时间内将自己在谈判中作出的澄清、变动以及最终的报价，经法定代表人或被授权代表签字后，以书面的方式提交给谈判小组</w:t>
      </w:r>
      <w:r>
        <w:rPr>
          <w:rFonts w:hint="eastAsia" w:ascii="宋体" w:hAnsi="宋体" w:eastAsia="宋体" w:cs="宋体"/>
          <w:b w:val="0"/>
          <w:bCs/>
          <w:color w:val="auto"/>
          <w:sz w:val="24"/>
          <w:szCs w:val="24"/>
          <w:highlight w:val="none"/>
        </w:rPr>
        <w:t>。</w:t>
      </w:r>
      <w:bookmarkEnd w:id="51"/>
      <w:bookmarkEnd w:id="52"/>
    </w:p>
    <w:p w14:paraId="0A7E9072">
      <w:pPr>
        <w:pStyle w:val="3"/>
        <w:spacing w:before="0" w:after="0" w:line="520" w:lineRule="exact"/>
        <w:jc w:val="center"/>
        <w:rPr>
          <w:rFonts w:hint="eastAsia" w:ascii="宋体" w:hAnsi="宋体" w:eastAsia="宋体" w:cs="宋体"/>
          <w:color w:val="auto"/>
          <w:sz w:val="24"/>
          <w:szCs w:val="24"/>
          <w:highlight w:val="none"/>
        </w:rPr>
      </w:pPr>
      <w:bookmarkStart w:id="53" w:name="_Toc16969"/>
      <w:bookmarkStart w:id="54" w:name="_Toc23066"/>
      <w:bookmarkStart w:id="55" w:name="（六）评审及异常情况处理"/>
      <w:r>
        <w:rPr>
          <w:rFonts w:hint="eastAsia" w:ascii="宋体" w:hAnsi="宋体" w:eastAsia="宋体" w:cs="宋体"/>
          <w:color w:val="auto"/>
          <w:sz w:val="24"/>
          <w:szCs w:val="24"/>
          <w:highlight w:val="none"/>
        </w:rPr>
        <w:t>（六）评审及异常情况处理</w:t>
      </w:r>
      <w:bookmarkEnd w:id="53"/>
      <w:bookmarkEnd w:id="54"/>
    </w:p>
    <w:bookmarkEnd w:id="55"/>
    <w:p w14:paraId="1BCF4EB6">
      <w:pPr>
        <w:spacing w:line="520" w:lineRule="exact"/>
        <w:ind w:firstLine="480" w:firstLineChars="200"/>
        <w:rPr>
          <w:rFonts w:ascii="宋体" w:hAnsi="宋体" w:cs="Arial"/>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Arial"/>
          <w:color w:val="auto"/>
          <w:sz w:val="24"/>
          <w:szCs w:val="24"/>
          <w:highlight w:val="none"/>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w:t>
      </w:r>
      <w:r>
        <w:rPr>
          <w:rFonts w:hint="eastAsia" w:ascii="宋体" w:hAnsi="宋体" w:cs="Arial"/>
          <w:color w:val="auto"/>
          <w:sz w:val="24"/>
          <w:szCs w:val="24"/>
          <w:highlight w:val="none"/>
          <w:lang w:val="en-US" w:eastAsia="zh-CN"/>
        </w:rPr>
        <w:t>供应商</w:t>
      </w:r>
      <w:r>
        <w:rPr>
          <w:rFonts w:hint="eastAsia" w:ascii="宋体" w:hAnsi="宋体" w:cs="Arial"/>
          <w:color w:val="auto"/>
          <w:sz w:val="24"/>
          <w:szCs w:val="24"/>
          <w:highlight w:val="none"/>
        </w:rPr>
        <w:t>。</w:t>
      </w:r>
    </w:p>
    <w:p w14:paraId="42529836">
      <w:pPr>
        <w:spacing w:line="5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2、谈判时出现以下情况之一的，将予以废标：</w:t>
      </w:r>
    </w:p>
    <w:p w14:paraId="152C321A">
      <w:pPr>
        <w:spacing w:line="5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（1）符合专业条件的供应商或者对采购文件作实质性响应的供应商不足三家的；</w:t>
      </w:r>
    </w:p>
    <w:p w14:paraId="500A9B69">
      <w:pPr>
        <w:spacing w:line="5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（2）供应商的报价均高于了最高限价；</w:t>
      </w:r>
    </w:p>
    <w:p w14:paraId="078243E2">
      <w:pPr>
        <w:spacing w:line="5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（3）经过谈判，供应商所提供的服务仍无法满足谈判文件实质性要求、影响工作的；</w:t>
      </w:r>
    </w:p>
    <w:p w14:paraId="36126458">
      <w:pPr>
        <w:spacing w:line="5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（4）出现影响采购公正的违法、违规行为的；</w:t>
      </w:r>
    </w:p>
    <w:p w14:paraId="65022F22">
      <w:pPr>
        <w:spacing w:line="5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（5）因重大变故，采购任务取消的。</w:t>
      </w:r>
    </w:p>
    <w:p w14:paraId="08A837E1">
      <w:pPr>
        <w:spacing w:line="520" w:lineRule="exact"/>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3、若废标条款符合第一款情形，经监管部门批准后，现场可以转为其他采购方式。</w:t>
      </w:r>
    </w:p>
    <w:p w14:paraId="142F7FAE">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cs="Arial"/>
          <w:color w:val="auto"/>
          <w:sz w:val="24"/>
          <w:szCs w:val="24"/>
          <w:highlight w:val="none"/>
        </w:rPr>
        <w:t>4、重新组织谈判，采购单位将通过</w:t>
      </w:r>
      <w:r>
        <w:rPr>
          <w:rFonts w:hint="eastAsia" w:ascii="宋体" w:hAnsi="宋体"/>
          <w:color w:val="auto"/>
          <w:sz w:val="24"/>
          <w:szCs w:val="24"/>
          <w:highlight w:val="none"/>
          <w:lang w:val="en-US" w:eastAsia="zh-CN"/>
        </w:rPr>
        <w:t>书面</w:t>
      </w:r>
      <w:r>
        <w:rPr>
          <w:rFonts w:hint="eastAsia" w:ascii="宋体" w:hAnsi="宋体"/>
          <w:color w:val="auto"/>
          <w:sz w:val="24"/>
          <w:szCs w:val="24"/>
          <w:highlight w:val="none"/>
        </w:rPr>
        <w:t>方式告知</w:t>
      </w:r>
      <w:r>
        <w:rPr>
          <w:rFonts w:hint="eastAsia" w:ascii="宋体" w:hAnsi="宋体" w:eastAsia="宋体" w:cs="宋体"/>
          <w:color w:val="auto"/>
          <w:sz w:val="24"/>
          <w:szCs w:val="24"/>
          <w:highlight w:val="none"/>
        </w:rPr>
        <w:t>。</w:t>
      </w:r>
    </w:p>
    <w:p w14:paraId="30EAC49D">
      <w:pPr>
        <w:pStyle w:val="3"/>
        <w:spacing w:before="0" w:after="0" w:line="520" w:lineRule="exact"/>
        <w:jc w:val="center"/>
        <w:rPr>
          <w:rFonts w:hint="eastAsia" w:ascii="宋体" w:hAnsi="宋体" w:eastAsia="宋体" w:cs="宋体"/>
          <w:color w:val="auto"/>
          <w:sz w:val="24"/>
          <w:szCs w:val="24"/>
          <w:highlight w:val="none"/>
        </w:rPr>
      </w:pPr>
      <w:bookmarkStart w:id="56" w:name="_Toc8290"/>
      <w:bookmarkStart w:id="57" w:name="_Toc18914"/>
      <w:bookmarkStart w:id="58" w:name="（七）报价响应及答疑"/>
      <w:r>
        <w:rPr>
          <w:rFonts w:hint="eastAsia" w:ascii="宋体" w:hAnsi="宋体" w:eastAsia="宋体" w:cs="宋体"/>
          <w:color w:val="auto"/>
          <w:sz w:val="24"/>
          <w:szCs w:val="24"/>
          <w:highlight w:val="none"/>
        </w:rPr>
        <w:t>（七）报价响应及答疑</w:t>
      </w:r>
      <w:bookmarkEnd w:id="56"/>
      <w:bookmarkEnd w:id="57"/>
    </w:p>
    <w:bookmarkEnd w:id="58"/>
    <w:p w14:paraId="2B0572EF">
      <w:pPr>
        <w:spacing w:line="520" w:lineRule="exact"/>
        <w:ind w:firstLine="480" w:firstLineChars="200"/>
        <w:rPr>
          <w:rFonts w:ascii="宋体" w:hAnsi="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olor w:val="auto"/>
          <w:sz w:val="24"/>
          <w:szCs w:val="24"/>
          <w:highlight w:val="none"/>
        </w:rPr>
        <w:t>响应报价应含有所投服务各环节所发生的一切费用。响应报价为供应商在响应文件中提出的各项支付金额的总和。</w:t>
      </w:r>
    </w:p>
    <w:p w14:paraId="55E842DD">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color w:val="auto"/>
          <w:sz w:val="24"/>
          <w:szCs w:val="24"/>
          <w:highlight w:val="none"/>
        </w:rPr>
        <w:t>2、如有需要，供应商应自行对服务现场和周围环境进行勘察，以获取编制响应文件和签署合同所需的资料。勘察现场所发生的费用由供应商自己承担。采购人向供应商提供的有关服务现场的资料和数据，是采购人现有的能使供应商利用的资料。采购人对供应商由此而做出的推论、理解和结论概不负责。供应商因自身原因未到服务现场实地踏勘的，成交后签订合同时和履约过程中，不得以不完全了解现场情况为由，提出任何形式的增加合同外造价或索赔的要求</w:t>
      </w:r>
      <w:r>
        <w:rPr>
          <w:rFonts w:hint="eastAsia" w:ascii="宋体" w:hAnsi="宋体" w:eastAsia="宋体" w:cs="宋体"/>
          <w:color w:val="auto"/>
          <w:sz w:val="24"/>
          <w:szCs w:val="24"/>
          <w:highlight w:val="none"/>
        </w:rPr>
        <w:t>。</w:t>
      </w:r>
    </w:p>
    <w:p w14:paraId="73711E0D">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、供应商如果对谈判文件的其他任何内容有相关疑问，可</w:t>
      </w:r>
      <w:r>
        <w:rPr>
          <w:rFonts w:hint="eastAsia" w:ascii="宋体" w:hAnsi="宋体" w:eastAsia="宋体" w:cs="宋体"/>
          <w:color w:val="auto"/>
          <w:sz w:val="24"/>
          <w:highlight w:val="none"/>
        </w:rPr>
        <w:t>以</w:t>
      </w:r>
      <w:r>
        <w:rPr>
          <w:rFonts w:hint="eastAsia" w:ascii="宋体" w:hAnsi="宋体" w:cs="宋体"/>
          <w:color w:val="auto"/>
          <w:sz w:val="24"/>
          <w:highlight w:val="none"/>
          <w:lang w:val="en-US" w:eastAsia="zh-CN"/>
        </w:rPr>
        <w:t>书面</w:t>
      </w:r>
      <w:r>
        <w:rPr>
          <w:rFonts w:hint="eastAsia" w:ascii="宋体" w:hAnsi="宋体" w:eastAsia="宋体" w:cs="宋体"/>
          <w:color w:val="auto"/>
          <w:sz w:val="24"/>
          <w:highlight w:val="none"/>
        </w:rPr>
        <w:t>形式提出。</w:t>
      </w:r>
    </w:p>
    <w:p w14:paraId="42D7C8DE">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、供应商应确保其所提供的响应资料的真实性、有效性及合法性，否则，由此引起的任何责任由其自行承担。</w:t>
      </w:r>
    </w:p>
    <w:p w14:paraId="4C82AEEA">
      <w:pPr>
        <w:pStyle w:val="3"/>
        <w:spacing w:before="0" w:after="0" w:line="520" w:lineRule="exact"/>
        <w:jc w:val="center"/>
        <w:rPr>
          <w:rFonts w:hint="eastAsia" w:ascii="宋体" w:hAnsi="宋体" w:eastAsia="宋体" w:cs="宋体"/>
          <w:color w:val="auto"/>
          <w:sz w:val="24"/>
          <w:szCs w:val="24"/>
          <w:highlight w:val="none"/>
        </w:rPr>
      </w:pPr>
      <w:bookmarkStart w:id="59" w:name="_Toc8394"/>
      <w:bookmarkStart w:id="60" w:name="_Toc30358"/>
      <w:r>
        <w:rPr>
          <w:rFonts w:hint="eastAsia" w:ascii="宋体" w:hAnsi="宋体" w:eastAsia="宋体" w:cs="宋体"/>
          <w:color w:val="auto"/>
          <w:sz w:val="24"/>
          <w:szCs w:val="24"/>
          <w:highlight w:val="none"/>
        </w:rPr>
        <w:t>（八）合同的签订</w:t>
      </w:r>
      <w:bookmarkEnd w:id="59"/>
      <w:bookmarkEnd w:id="60"/>
    </w:p>
    <w:p w14:paraId="3AC4A9FB">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3B52C5D4">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2、采购单位在签订合同时，可以在不改变合同其他条款的前提下变更采购数量，但变更的金额不得超过成交总价的10%。</w:t>
      </w:r>
    </w:p>
    <w:p w14:paraId="3166A6A2">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3、成交供应商因不可抗力或者自身原因不能在规定的时间内与采购人签订采购合同，采购人可以与排在成交供应商后第一位的候选供应商签订采购合同，以此类推或重新组织采购。</w:t>
      </w:r>
    </w:p>
    <w:p w14:paraId="54F5DAE0">
      <w:pPr>
        <w:pStyle w:val="32"/>
        <w:rPr>
          <w:rFonts w:hint="eastAsia"/>
          <w:color w:val="auto"/>
          <w:highlight w:val="none"/>
        </w:rPr>
      </w:pPr>
    </w:p>
    <w:p w14:paraId="3D3D8C45">
      <w:pPr>
        <w:pStyle w:val="3"/>
        <w:spacing w:before="0" w:after="0" w:line="520" w:lineRule="exact"/>
        <w:jc w:val="center"/>
        <w:rPr>
          <w:rFonts w:hint="eastAsia" w:ascii="宋体" w:hAnsi="宋体" w:eastAsia="宋体" w:cs="宋体"/>
          <w:color w:val="auto"/>
          <w:sz w:val="24"/>
          <w:szCs w:val="24"/>
          <w:highlight w:val="none"/>
        </w:rPr>
      </w:pPr>
      <w:bookmarkStart w:id="61" w:name="_Toc30371"/>
      <w:bookmarkStart w:id="62" w:name="_Toc20485"/>
      <w:r>
        <w:rPr>
          <w:rFonts w:hint="eastAsia" w:ascii="宋体" w:hAnsi="宋体" w:eastAsia="宋体" w:cs="宋体"/>
          <w:color w:val="auto"/>
          <w:sz w:val="24"/>
          <w:szCs w:val="24"/>
          <w:highlight w:val="none"/>
        </w:rPr>
        <w:t>（九）澄清及变更</w:t>
      </w:r>
      <w:bookmarkEnd w:id="61"/>
      <w:bookmarkEnd w:id="62"/>
    </w:p>
    <w:p w14:paraId="1D3B3FA9">
      <w:p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谈判文件如有澄清及变更，将以</w:t>
      </w:r>
      <w:r>
        <w:rPr>
          <w:rFonts w:hint="eastAsia" w:ascii="宋体" w:hAnsi="宋体" w:cs="宋体"/>
          <w:color w:val="auto"/>
          <w:sz w:val="24"/>
          <w:szCs w:val="24"/>
          <w:highlight w:val="none"/>
        </w:rPr>
        <w:t>书面形式</w:t>
      </w:r>
      <w:r>
        <w:rPr>
          <w:rFonts w:hint="eastAsia" w:ascii="宋体" w:hAnsi="宋体" w:eastAsia="宋体" w:cs="宋体"/>
          <w:color w:val="auto"/>
          <w:sz w:val="24"/>
          <w:szCs w:val="24"/>
          <w:highlight w:val="none"/>
        </w:rPr>
        <w:t>发布，请供应商及时关注。</w:t>
      </w:r>
      <w:bookmarkStart w:id="63" w:name="_Toc32519"/>
    </w:p>
    <w:p w14:paraId="173ADAE0">
      <w:pPr>
        <w:pStyle w:val="32"/>
        <w:rPr>
          <w:rFonts w:hint="eastAsia" w:ascii="宋体" w:hAnsi="宋体" w:eastAsia="宋体" w:cs="宋体"/>
          <w:color w:val="auto"/>
          <w:highlight w:val="none"/>
        </w:rPr>
      </w:pPr>
    </w:p>
    <w:p w14:paraId="56C6FDCE">
      <w:pPr>
        <w:pStyle w:val="32"/>
        <w:rPr>
          <w:rFonts w:hint="eastAsia" w:ascii="宋体" w:hAnsi="宋体" w:eastAsia="宋体" w:cs="宋体"/>
          <w:color w:val="auto"/>
          <w:highlight w:val="none"/>
        </w:rPr>
      </w:pPr>
    </w:p>
    <w:p w14:paraId="31D6E74F">
      <w:pPr>
        <w:pStyle w:val="32"/>
        <w:rPr>
          <w:rFonts w:hint="eastAsia" w:ascii="宋体" w:hAnsi="宋体" w:eastAsia="宋体" w:cs="宋体"/>
          <w:color w:val="auto"/>
          <w:highlight w:val="none"/>
        </w:rPr>
      </w:pPr>
    </w:p>
    <w:p w14:paraId="6A4D570D">
      <w:pPr>
        <w:pStyle w:val="32"/>
        <w:rPr>
          <w:rFonts w:hint="eastAsia" w:ascii="宋体" w:hAnsi="宋体" w:eastAsia="宋体" w:cs="宋体"/>
          <w:color w:val="auto"/>
          <w:highlight w:val="none"/>
        </w:rPr>
      </w:pPr>
    </w:p>
    <w:p w14:paraId="540C513D">
      <w:pPr>
        <w:pStyle w:val="32"/>
        <w:rPr>
          <w:rFonts w:hint="eastAsia" w:ascii="宋体" w:hAnsi="宋体" w:eastAsia="宋体" w:cs="宋体"/>
          <w:color w:val="auto"/>
          <w:highlight w:val="none"/>
        </w:rPr>
      </w:pPr>
    </w:p>
    <w:p w14:paraId="7DE7326E">
      <w:pPr>
        <w:pStyle w:val="32"/>
        <w:rPr>
          <w:rFonts w:hint="eastAsia" w:ascii="宋体" w:hAnsi="宋体" w:eastAsia="宋体" w:cs="宋体"/>
          <w:color w:val="auto"/>
          <w:highlight w:val="none"/>
        </w:rPr>
      </w:pPr>
    </w:p>
    <w:p w14:paraId="09E8BCAC">
      <w:pPr>
        <w:pStyle w:val="32"/>
        <w:rPr>
          <w:rFonts w:hint="eastAsia" w:ascii="宋体" w:hAnsi="宋体" w:eastAsia="宋体" w:cs="宋体"/>
          <w:color w:val="auto"/>
          <w:highlight w:val="none"/>
        </w:rPr>
      </w:pPr>
    </w:p>
    <w:p w14:paraId="77BCB042">
      <w:pPr>
        <w:pStyle w:val="32"/>
        <w:rPr>
          <w:rFonts w:hint="eastAsia" w:ascii="宋体" w:hAnsi="宋体" w:eastAsia="宋体" w:cs="宋体"/>
          <w:color w:val="auto"/>
          <w:highlight w:val="none"/>
        </w:rPr>
      </w:pPr>
    </w:p>
    <w:p w14:paraId="2AF24CD3">
      <w:pPr>
        <w:pStyle w:val="32"/>
        <w:rPr>
          <w:rFonts w:hint="eastAsia" w:ascii="宋体" w:hAnsi="宋体" w:eastAsia="宋体" w:cs="宋体"/>
          <w:color w:val="auto"/>
          <w:highlight w:val="none"/>
        </w:rPr>
      </w:pPr>
    </w:p>
    <w:p w14:paraId="57377654">
      <w:pPr>
        <w:pStyle w:val="32"/>
        <w:rPr>
          <w:rFonts w:hint="eastAsia" w:ascii="宋体" w:hAnsi="宋体" w:eastAsia="宋体" w:cs="宋体"/>
          <w:color w:val="auto"/>
          <w:highlight w:val="none"/>
        </w:rPr>
      </w:pPr>
    </w:p>
    <w:p w14:paraId="5A362A54">
      <w:pPr>
        <w:pStyle w:val="32"/>
        <w:rPr>
          <w:rFonts w:hint="eastAsia" w:ascii="宋体" w:hAnsi="宋体" w:eastAsia="宋体" w:cs="宋体"/>
          <w:color w:val="auto"/>
          <w:highlight w:val="none"/>
        </w:rPr>
      </w:pPr>
    </w:p>
    <w:p w14:paraId="782BFF40">
      <w:pPr>
        <w:pStyle w:val="32"/>
        <w:rPr>
          <w:rFonts w:hint="eastAsia" w:ascii="宋体" w:hAnsi="宋体" w:eastAsia="宋体" w:cs="宋体"/>
          <w:color w:val="auto"/>
          <w:highlight w:val="none"/>
        </w:rPr>
      </w:pPr>
    </w:p>
    <w:p w14:paraId="68E2E2BF">
      <w:pPr>
        <w:pStyle w:val="32"/>
        <w:rPr>
          <w:rFonts w:hint="eastAsia" w:ascii="宋体" w:hAnsi="宋体" w:eastAsia="宋体" w:cs="宋体"/>
          <w:color w:val="auto"/>
          <w:highlight w:val="none"/>
        </w:rPr>
      </w:pPr>
    </w:p>
    <w:p w14:paraId="51EBBC66">
      <w:pPr>
        <w:pStyle w:val="32"/>
        <w:rPr>
          <w:rFonts w:hint="eastAsia" w:ascii="宋体" w:hAnsi="宋体" w:eastAsia="宋体" w:cs="宋体"/>
          <w:color w:val="auto"/>
          <w:highlight w:val="none"/>
        </w:rPr>
      </w:pPr>
    </w:p>
    <w:p w14:paraId="56EF4AFC">
      <w:pPr>
        <w:pStyle w:val="3"/>
        <w:spacing w:before="0" w:after="0"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二、采购合同</w:t>
      </w:r>
      <w:bookmarkEnd w:id="63"/>
    </w:p>
    <w:bookmarkEnd w:id="36"/>
    <w:p w14:paraId="55844242">
      <w:pPr>
        <w:spacing w:line="253" w:lineRule="auto"/>
        <w:rPr>
          <w:rFonts w:hint="eastAsia" w:ascii="宋体" w:hAnsi="宋体" w:eastAsia="宋体" w:cs="宋体"/>
          <w:color w:val="auto"/>
          <w:highlight w:val="none"/>
        </w:rPr>
      </w:pPr>
      <w:bookmarkStart w:id="64" w:name="_Toc363199273"/>
    </w:p>
    <w:p w14:paraId="6323EC23">
      <w:pPr>
        <w:spacing w:line="253" w:lineRule="auto"/>
        <w:rPr>
          <w:rFonts w:hint="eastAsia" w:ascii="宋体" w:hAnsi="宋体" w:eastAsia="宋体" w:cs="宋体"/>
          <w:color w:val="auto"/>
          <w:highlight w:val="none"/>
        </w:rPr>
      </w:pPr>
    </w:p>
    <w:p w14:paraId="7FF63DC0">
      <w:pPr>
        <w:spacing w:line="254" w:lineRule="auto"/>
        <w:jc w:val="center"/>
        <w:rPr>
          <w:rFonts w:hint="eastAsia" w:ascii="宋体" w:hAnsi="宋体" w:eastAsia="宋体" w:cs="宋体"/>
          <w:b/>
          <w:bCs/>
          <w:color w:val="auto"/>
          <w:sz w:val="24"/>
          <w:szCs w:val="22"/>
          <w:highlight w:val="none"/>
          <w:lang w:eastAsia="zh-CN"/>
        </w:rPr>
      </w:pPr>
      <w:r>
        <w:rPr>
          <w:rFonts w:hint="eastAsia" w:ascii="宋体" w:hAnsi="宋体" w:cs="宋体"/>
          <w:b/>
          <w:bCs/>
          <w:color w:val="auto"/>
          <w:sz w:val="24"/>
          <w:szCs w:val="22"/>
          <w:highlight w:val="none"/>
          <w:lang w:eastAsia="zh-CN"/>
        </w:rPr>
        <w:t>（</w:t>
      </w:r>
      <w:r>
        <w:rPr>
          <w:rFonts w:hint="eastAsia" w:ascii="宋体" w:hAnsi="宋体" w:cs="宋体"/>
          <w:b/>
          <w:bCs/>
          <w:color w:val="auto"/>
          <w:sz w:val="24"/>
          <w:szCs w:val="22"/>
          <w:highlight w:val="none"/>
          <w:lang w:val="en-US" w:eastAsia="zh-CN"/>
        </w:rPr>
        <w:t>合同仅供参考，具体以双方签订内容为准</w:t>
      </w:r>
      <w:r>
        <w:rPr>
          <w:rFonts w:hint="eastAsia" w:ascii="宋体" w:hAnsi="宋体" w:cs="宋体"/>
          <w:b/>
          <w:bCs/>
          <w:color w:val="auto"/>
          <w:sz w:val="24"/>
          <w:szCs w:val="22"/>
          <w:highlight w:val="none"/>
          <w:lang w:eastAsia="zh-CN"/>
        </w:rPr>
        <w:t>）</w:t>
      </w:r>
    </w:p>
    <w:p w14:paraId="15CD5C08">
      <w:pPr>
        <w:spacing w:line="254" w:lineRule="auto"/>
        <w:rPr>
          <w:rFonts w:hint="eastAsia" w:ascii="宋体" w:hAnsi="宋体" w:eastAsia="宋体" w:cs="宋体"/>
          <w:color w:val="auto"/>
          <w:highlight w:val="none"/>
        </w:rPr>
      </w:pPr>
    </w:p>
    <w:p w14:paraId="23EFFBFA">
      <w:pPr>
        <w:spacing w:line="254" w:lineRule="auto"/>
        <w:rPr>
          <w:rFonts w:hint="eastAsia" w:ascii="宋体" w:hAnsi="宋体" w:eastAsia="宋体" w:cs="宋体"/>
          <w:color w:val="auto"/>
          <w:highlight w:val="none"/>
        </w:rPr>
      </w:pPr>
    </w:p>
    <w:p w14:paraId="0763A304">
      <w:pPr>
        <w:spacing w:line="254" w:lineRule="auto"/>
        <w:rPr>
          <w:rFonts w:hint="eastAsia" w:ascii="宋体" w:hAnsi="宋体" w:eastAsia="宋体" w:cs="宋体"/>
          <w:color w:val="auto"/>
          <w:highlight w:val="none"/>
        </w:rPr>
      </w:pPr>
    </w:p>
    <w:p w14:paraId="41B4289C">
      <w:pPr>
        <w:spacing w:line="254" w:lineRule="auto"/>
        <w:rPr>
          <w:rFonts w:hint="eastAsia" w:ascii="宋体" w:hAnsi="宋体" w:eastAsia="宋体" w:cs="宋体"/>
          <w:color w:val="auto"/>
          <w:highlight w:val="none"/>
        </w:rPr>
      </w:pPr>
    </w:p>
    <w:p w14:paraId="713DF681">
      <w:pPr>
        <w:pStyle w:val="3"/>
        <w:spacing w:before="120" w:beforeLines="50" w:after="120" w:afterLines="50" w:line="520" w:lineRule="exact"/>
        <w:jc w:val="center"/>
        <w:rPr>
          <w:rFonts w:hint="eastAsia" w:ascii="宋体" w:hAnsi="宋体" w:eastAsia="宋体" w:cs="宋体"/>
          <w:b w:val="0"/>
          <w:bCs/>
          <w:color w:val="auto"/>
          <w:sz w:val="44"/>
          <w:szCs w:val="44"/>
          <w:highlight w:val="none"/>
        </w:rPr>
      </w:pPr>
      <w:bookmarkStart w:id="65" w:name="_Toc10203"/>
      <w:r>
        <w:rPr>
          <w:rFonts w:hint="eastAsia" w:ascii="宋体" w:hAnsi="宋体" w:eastAsia="宋体" w:cs="宋体"/>
          <w:b w:val="0"/>
          <w:bCs/>
          <w:color w:val="auto"/>
          <w:sz w:val="44"/>
          <w:szCs w:val="44"/>
          <w:highlight w:val="none"/>
        </w:rPr>
        <w:t>六安市政府采购合同参考范本</w:t>
      </w:r>
    </w:p>
    <w:p w14:paraId="124B11FF">
      <w:pPr>
        <w:pStyle w:val="3"/>
        <w:spacing w:before="120" w:beforeLines="50" w:after="120" w:afterLines="50" w:line="520" w:lineRule="exact"/>
        <w:jc w:val="center"/>
        <w:rPr>
          <w:rFonts w:hint="eastAsia" w:ascii="宋体" w:hAnsi="宋体" w:eastAsia="宋体" w:cs="宋体"/>
          <w:b w:val="0"/>
          <w:bCs/>
          <w:color w:val="auto"/>
          <w:sz w:val="44"/>
          <w:szCs w:val="44"/>
          <w:highlight w:val="none"/>
        </w:rPr>
      </w:pPr>
      <w:r>
        <w:rPr>
          <w:rFonts w:hint="eastAsia" w:ascii="宋体" w:hAnsi="宋体" w:eastAsia="宋体" w:cs="宋体"/>
          <w:b w:val="0"/>
          <w:bCs/>
          <w:color w:val="auto"/>
          <w:sz w:val="44"/>
          <w:szCs w:val="44"/>
          <w:highlight w:val="none"/>
        </w:rPr>
        <w:t>(</w:t>
      </w:r>
      <w:r>
        <w:rPr>
          <w:rFonts w:hint="eastAsia" w:ascii="宋体" w:hAnsi="宋体" w:eastAsia="宋体" w:cs="宋体"/>
          <w:b w:val="0"/>
          <w:bCs/>
          <w:color w:val="auto"/>
          <w:sz w:val="44"/>
          <w:szCs w:val="44"/>
          <w:highlight w:val="none"/>
          <w:lang w:val="en-US" w:eastAsia="zh-CN"/>
        </w:rPr>
        <w:t>服务</w:t>
      </w:r>
      <w:r>
        <w:rPr>
          <w:rFonts w:hint="eastAsia" w:ascii="宋体" w:hAnsi="宋体" w:eastAsia="宋体" w:cs="宋体"/>
          <w:b w:val="0"/>
          <w:bCs/>
          <w:color w:val="auto"/>
          <w:sz w:val="44"/>
          <w:szCs w:val="44"/>
          <w:highlight w:val="none"/>
        </w:rPr>
        <w:t>类)</w:t>
      </w:r>
    </w:p>
    <w:p w14:paraId="4206097C">
      <w:pPr>
        <w:spacing w:line="248" w:lineRule="auto"/>
        <w:rPr>
          <w:color w:val="auto"/>
          <w:highlight w:val="none"/>
        </w:rPr>
      </w:pPr>
    </w:p>
    <w:p w14:paraId="447AE2A6">
      <w:pPr>
        <w:spacing w:line="248" w:lineRule="auto"/>
        <w:rPr>
          <w:color w:val="auto"/>
          <w:highlight w:val="none"/>
        </w:rPr>
      </w:pPr>
    </w:p>
    <w:p w14:paraId="1647EEFA">
      <w:pPr>
        <w:spacing w:line="249" w:lineRule="auto"/>
        <w:rPr>
          <w:color w:val="auto"/>
          <w:highlight w:val="none"/>
        </w:rPr>
      </w:pPr>
    </w:p>
    <w:p w14:paraId="4544AB8A">
      <w:pPr>
        <w:spacing w:line="249" w:lineRule="auto"/>
        <w:rPr>
          <w:color w:val="auto"/>
          <w:highlight w:val="none"/>
        </w:rPr>
      </w:pPr>
    </w:p>
    <w:p w14:paraId="68B3CB2B">
      <w:pPr>
        <w:spacing w:line="249" w:lineRule="auto"/>
        <w:rPr>
          <w:color w:val="auto"/>
          <w:highlight w:val="none"/>
        </w:rPr>
      </w:pPr>
    </w:p>
    <w:p w14:paraId="77C477B5">
      <w:pPr>
        <w:spacing w:line="249" w:lineRule="auto"/>
        <w:rPr>
          <w:color w:val="auto"/>
          <w:highlight w:val="none"/>
        </w:rPr>
      </w:pPr>
    </w:p>
    <w:p w14:paraId="4A2A95F1">
      <w:pPr>
        <w:spacing w:line="249" w:lineRule="auto"/>
        <w:rPr>
          <w:color w:val="auto"/>
          <w:highlight w:val="none"/>
        </w:rPr>
      </w:pPr>
    </w:p>
    <w:p w14:paraId="565A1EE4">
      <w:pPr>
        <w:spacing w:line="249" w:lineRule="auto"/>
        <w:rPr>
          <w:color w:val="auto"/>
          <w:highlight w:val="none"/>
        </w:rPr>
      </w:pPr>
    </w:p>
    <w:p w14:paraId="2074BE16">
      <w:pPr>
        <w:spacing w:before="78" w:line="219" w:lineRule="auto"/>
        <w:ind w:left="3288"/>
        <w:rPr>
          <w:rFonts w:ascii="宋体" w:hAnsi="宋体" w:cs="宋体"/>
          <w:color w:val="auto"/>
          <w:sz w:val="24"/>
          <w:szCs w:val="24"/>
          <w:highlight w:val="none"/>
        </w:rPr>
      </w:pPr>
      <w:r>
        <w:rPr>
          <w:rFonts w:ascii="宋体" w:hAnsi="宋体" w:cs="宋体"/>
          <w:color w:val="auto"/>
          <w:spacing w:val="-1"/>
          <w:sz w:val="24"/>
          <w:szCs w:val="24"/>
          <w:highlight w:val="none"/>
        </w:rPr>
        <w:t>第一部</w:t>
      </w:r>
      <w:r>
        <w:rPr>
          <w:rFonts w:ascii="宋体" w:hAnsi="宋体" w:cs="宋体"/>
          <w:color w:val="auto"/>
          <w:sz w:val="24"/>
          <w:szCs w:val="24"/>
          <w:highlight w:val="none"/>
        </w:rPr>
        <w:t>分 合同书</w:t>
      </w:r>
    </w:p>
    <w:p w14:paraId="3BF433D5">
      <w:pPr>
        <w:rPr>
          <w:color w:val="auto"/>
          <w:highlight w:val="none"/>
        </w:rPr>
      </w:pPr>
    </w:p>
    <w:p w14:paraId="5ADDA655">
      <w:pPr>
        <w:rPr>
          <w:color w:val="auto"/>
          <w:highlight w:val="none"/>
        </w:rPr>
      </w:pPr>
    </w:p>
    <w:p w14:paraId="2CC0E7F0">
      <w:pPr>
        <w:rPr>
          <w:color w:val="auto"/>
          <w:highlight w:val="none"/>
        </w:rPr>
      </w:pPr>
    </w:p>
    <w:p w14:paraId="580F1033">
      <w:pPr>
        <w:rPr>
          <w:color w:val="auto"/>
          <w:highlight w:val="none"/>
        </w:rPr>
      </w:pPr>
    </w:p>
    <w:p w14:paraId="548CD050">
      <w:pPr>
        <w:rPr>
          <w:color w:val="auto"/>
          <w:highlight w:val="none"/>
        </w:rPr>
      </w:pPr>
    </w:p>
    <w:p w14:paraId="4BAB5DDF">
      <w:pPr>
        <w:rPr>
          <w:color w:val="auto"/>
          <w:highlight w:val="none"/>
        </w:rPr>
      </w:pPr>
    </w:p>
    <w:p w14:paraId="2C241179">
      <w:pPr>
        <w:spacing w:line="241" w:lineRule="auto"/>
        <w:rPr>
          <w:color w:val="auto"/>
          <w:highlight w:val="none"/>
        </w:rPr>
      </w:pPr>
    </w:p>
    <w:p w14:paraId="3DDD680E">
      <w:pPr>
        <w:spacing w:line="241" w:lineRule="auto"/>
        <w:rPr>
          <w:color w:val="auto"/>
          <w:highlight w:val="none"/>
        </w:rPr>
      </w:pPr>
    </w:p>
    <w:p w14:paraId="1855F996">
      <w:pPr>
        <w:spacing w:line="241" w:lineRule="auto"/>
        <w:rPr>
          <w:color w:val="auto"/>
          <w:highlight w:val="none"/>
        </w:rPr>
      </w:pPr>
    </w:p>
    <w:p w14:paraId="638FA43F">
      <w:pPr>
        <w:spacing w:before="78" w:line="220" w:lineRule="auto"/>
        <w:ind w:left="1001"/>
        <w:rPr>
          <w:rFonts w:ascii="宋体" w:hAnsi="宋体" w:cs="宋体"/>
          <w:color w:val="auto"/>
          <w:sz w:val="24"/>
          <w:szCs w:val="24"/>
          <w:highlight w:val="none"/>
        </w:rPr>
      </w:pPr>
      <w:r>
        <w:rPr>
          <w:rFonts w:ascii="宋体" w:hAnsi="宋体" w:cs="宋体"/>
          <w:color w:val="auto"/>
          <w:spacing w:val="-12"/>
          <w:sz w:val="24"/>
          <w:szCs w:val="24"/>
          <w:highlight w:val="none"/>
        </w:rPr>
        <w:t>项</w:t>
      </w:r>
      <w:r>
        <w:rPr>
          <w:rFonts w:ascii="宋体" w:hAnsi="宋体" w:cs="宋体"/>
          <w:color w:val="auto"/>
          <w:spacing w:val="-6"/>
          <w:sz w:val="24"/>
          <w:szCs w:val="24"/>
          <w:highlight w:val="none"/>
        </w:rPr>
        <w:t>目名称：</w:t>
      </w:r>
      <w:r>
        <w:rPr>
          <w:rFonts w:ascii="宋体" w:hAnsi="宋体" w:cs="宋体"/>
          <w:color w:val="auto"/>
          <w:spacing w:val="-6"/>
          <w:sz w:val="24"/>
          <w:szCs w:val="24"/>
          <w:highlight w:val="none"/>
          <w:u w:val="none"/>
        </w:rPr>
        <w:t xml:space="preserve"> </w:t>
      </w:r>
      <w:r>
        <w:rPr>
          <w:rFonts w:hint="eastAsia" w:ascii="宋体" w:hAnsi="宋体" w:cs="宋体"/>
          <w:color w:val="auto"/>
          <w:spacing w:val="-6"/>
          <w:sz w:val="24"/>
          <w:szCs w:val="24"/>
          <w:highlight w:val="none"/>
          <w:u w:val="none"/>
        </w:rPr>
        <w:t xml:space="preserve">  </w:t>
      </w:r>
      <w:r>
        <w:rPr>
          <w:rFonts w:hint="eastAsia" w:ascii="宋体" w:hAnsi="宋体" w:cs="宋体"/>
          <w:color w:val="auto"/>
          <w:spacing w:val="-6"/>
          <w:sz w:val="24"/>
          <w:szCs w:val="24"/>
          <w:highlight w:val="none"/>
          <w:u w:val="none"/>
          <w:lang w:val="en-US" w:eastAsia="zh-CN"/>
        </w:rPr>
        <w:t>2024年安全生产标准化现场问题整改及汛后维修养护</w:t>
      </w:r>
      <w:r>
        <w:rPr>
          <w:rFonts w:hint="eastAsia" w:ascii="宋体" w:hAnsi="宋体" w:cs="宋体"/>
          <w:color w:val="auto"/>
          <w:spacing w:val="-6"/>
          <w:sz w:val="24"/>
          <w:szCs w:val="24"/>
          <w:highlight w:val="none"/>
          <w:u w:val="none"/>
        </w:rPr>
        <w:t xml:space="preserve">    </w:t>
      </w:r>
      <w:r>
        <w:rPr>
          <w:rFonts w:hint="eastAsia" w:ascii="宋体" w:hAnsi="宋体" w:cs="宋体"/>
          <w:color w:val="auto"/>
          <w:spacing w:val="-6"/>
          <w:sz w:val="24"/>
          <w:szCs w:val="24"/>
          <w:highlight w:val="none"/>
          <w:u w:val="single"/>
        </w:rPr>
        <w:t xml:space="preserve">        </w:t>
      </w:r>
    </w:p>
    <w:p w14:paraId="63AED1BF">
      <w:pPr>
        <w:spacing w:line="378" w:lineRule="auto"/>
        <w:rPr>
          <w:color w:val="auto"/>
          <w:highlight w:val="none"/>
        </w:rPr>
      </w:pPr>
    </w:p>
    <w:p w14:paraId="24D38D68">
      <w:pPr>
        <w:spacing w:before="78" w:line="572" w:lineRule="auto"/>
        <w:ind w:left="1001"/>
        <w:rPr>
          <w:rFonts w:ascii="宋体" w:hAnsi="宋体" w:cs="宋体"/>
          <w:color w:val="auto"/>
          <w:sz w:val="24"/>
          <w:szCs w:val="24"/>
          <w:highlight w:val="none"/>
        </w:rPr>
      </w:pPr>
      <w:r>
        <w:rPr>
          <w:rFonts w:ascii="宋体" w:hAnsi="宋体" w:cs="宋体"/>
          <w:color w:val="auto"/>
          <w:spacing w:val="-12"/>
          <w:sz w:val="24"/>
          <w:szCs w:val="24"/>
          <w:highlight w:val="none"/>
        </w:rPr>
        <w:t>项目</w:t>
      </w:r>
      <w:r>
        <w:rPr>
          <w:rFonts w:ascii="宋体" w:hAnsi="宋体" w:cs="宋体"/>
          <w:color w:val="auto"/>
          <w:spacing w:val="-6"/>
          <w:sz w:val="24"/>
          <w:szCs w:val="24"/>
          <w:highlight w:val="none"/>
        </w:rPr>
        <w:t>编号：</w:t>
      </w:r>
      <w:r>
        <w:rPr>
          <w:rFonts w:hint="eastAsia" w:ascii="宋体" w:hAnsi="宋体" w:cs="宋体"/>
          <w:color w:val="auto"/>
          <w:spacing w:val="-6"/>
          <w:sz w:val="24"/>
          <w:szCs w:val="24"/>
          <w:highlight w:val="none"/>
          <w:lang w:val="en-US" w:eastAsia="zh-CN"/>
        </w:rPr>
        <w:t xml:space="preserve">   AHZQ-F-20241129</w:t>
      </w:r>
      <w:r>
        <w:rPr>
          <w:rFonts w:ascii="宋体" w:hAnsi="宋体" w:cs="宋体"/>
          <w:color w:val="auto"/>
          <w:spacing w:val="-6"/>
          <w:sz w:val="24"/>
          <w:szCs w:val="24"/>
          <w:highlight w:val="none"/>
        </w:rPr>
        <w:t xml:space="preserve"> </w:t>
      </w:r>
      <w:r>
        <w:rPr>
          <w:rFonts w:hint="eastAsia" w:ascii="宋体" w:hAnsi="宋体" w:cs="宋体"/>
          <w:color w:val="auto"/>
          <w:spacing w:val="-6"/>
          <w:sz w:val="24"/>
          <w:szCs w:val="24"/>
          <w:highlight w:val="none"/>
          <w:u w:val="single"/>
        </w:rPr>
        <w:t xml:space="preserve">                </w:t>
      </w:r>
    </w:p>
    <w:p w14:paraId="455C0CA6">
      <w:pPr>
        <w:spacing w:before="1" w:line="218" w:lineRule="auto"/>
        <w:ind w:left="1029"/>
        <w:rPr>
          <w:rFonts w:ascii="宋体" w:hAnsi="宋体" w:cs="宋体"/>
          <w:color w:val="auto"/>
          <w:sz w:val="24"/>
          <w:szCs w:val="24"/>
          <w:highlight w:val="none"/>
        </w:rPr>
      </w:pPr>
      <w:r>
        <w:rPr>
          <w:rFonts w:ascii="宋体" w:hAnsi="宋体" w:cs="宋体"/>
          <w:color w:val="auto"/>
          <w:spacing w:val="8"/>
          <w:sz w:val="24"/>
          <w:szCs w:val="24"/>
          <w:highlight w:val="none"/>
        </w:rPr>
        <w:t>甲方(采购人)</w:t>
      </w:r>
      <w:r>
        <w:rPr>
          <w:rFonts w:ascii="宋体" w:hAnsi="宋体" w:cs="宋体"/>
          <w:color w:val="auto"/>
          <w:spacing w:val="7"/>
          <w:sz w:val="24"/>
          <w:szCs w:val="24"/>
          <w:highlight w:val="none"/>
        </w:rPr>
        <w:t>：</w:t>
      </w:r>
      <w:r>
        <w:rPr>
          <w:rFonts w:hint="eastAsia" w:ascii="宋体" w:hAnsi="宋体" w:cs="Times New Roman"/>
          <w:bCs/>
          <w:color w:val="auto"/>
          <w:sz w:val="24"/>
          <w:szCs w:val="24"/>
          <w:highlight w:val="none"/>
          <w:lang w:eastAsia="zh-CN"/>
        </w:rPr>
        <w:t>六安市</w:t>
      </w:r>
      <w:r>
        <w:rPr>
          <w:rFonts w:hint="eastAsia" w:ascii="宋体" w:hAnsi="宋体" w:cs="Times New Roman"/>
          <w:bCs/>
          <w:color w:val="auto"/>
          <w:sz w:val="24"/>
          <w:szCs w:val="24"/>
          <w:highlight w:val="none"/>
          <w:lang w:val="en-US" w:eastAsia="zh-CN"/>
        </w:rPr>
        <w:t>水利局</w:t>
      </w:r>
    </w:p>
    <w:p w14:paraId="09E474B6">
      <w:pPr>
        <w:spacing w:line="378" w:lineRule="auto"/>
        <w:rPr>
          <w:color w:val="auto"/>
          <w:highlight w:val="none"/>
        </w:rPr>
      </w:pPr>
    </w:p>
    <w:p w14:paraId="64A72C58">
      <w:pPr>
        <w:spacing w:before="79" w:line="219" w:lineRule="auto"/>
        <w:ind w:left="1021"/>
        <w:rPr>
          <w:rFonts w:ascii="宋体" w:hAnsi="宋体" w:cs="宋体"/>
          <w:color w:val="auto"/>
          <w:sz w:val="24"/>
          <w:szCs w:val="24"/>
          <w:highlight w:val="none"/>
        </w:rPr>
      </w:pPr>
      <w:r>
        <w:rPr>
          <w:rFonts w:ascii="宋体" w:hAnsi="宋体" w:cs="宋体"/>
          <w:color w:val="auto"/>
          <w:spacing w:val="8"/>
          <w:sz w:val="24"/>
          <w:szCs w:val="24"/>
          <w:highlight w:val="none"/>
        </w:rPr>
        <w:t>乙</w:t>
      </w:r>
      <w:r>
        <w:rPr>
          <w:rFonts w:ascii="宋体" w:hAnsi="宋体" w:cs="宋体"/>
          <w:color w:val="auto"/>
          <w:spacing w:val="7"/>
          <w:sz w:val="24"/>
          <w:szCs w:val="24"/>
          <w:highlight w:val="none"/>
        </w:rPr>
        <w:t>方(成交供应商)：</w:t>
      </w:r>
    </w:p>
    <w:p w14:paraId="0A887DD4">
      <w:pPr>
        <w:spacing w:line="380" w:lineRule="auto"/>
        <w:rPr>
          <w:color w:val="auto"/>
          <w:highlight w:val="none"/>
        </w:rPr>
      </w:pPr>
    </w:p>
    <w:p w14:paraId="1D53F13A">
      <w:pPr>
        <w:spacing w:before="79" w:line="222" w:lineRule="auto"/>
        <w:ind w:left="998"/>
        <w:rPr>
          <w:rFonts w:ascii="宋体" w:hAnsi="宋体" w:cs="宋体"/>
          <w:color w:val="auto"/>
          <w:sz w:val="24"/>
          <w:szCs w:val="24"/>
          <w:highlight w:val="none"/>
        </w:rPr>
      </w:pPr>
      <w:r>
        <w:rPr>
          <w:rFonts w:ascii="宋体" w:hAnsi="宋体" w:cs="宋体"/>
          <w:color w:val="auto"/>
          <w:spacing w:val="-13"/>
          <w:sz w:val="24"/>
          <w:szCs w:val="24"/>
          <w:highlight w:val="none"/>
        </w:rPr>
        <w:t>签</w:t>
      </w:r>
      <w:r>
        <w:rPr>
          <w:rFonts w:ascii="宋体" w:hAnsi="宋体" w:cs="宋体"/>
          <w:color w:val="auto"/>
          <w:spacing w:val="-12"/>
          <w:sz w:val="24"/>
          <w:szCs w:val="24"/>
          <w:highlight w:val="none"/>
        </w:rPr>
        <w:t>订地：</w:t>
      </w:r>
    </w:p>
    <w:p w14:paraId="7515A9AE">
      <w:pPr>
        <w:spacing w:line="373" w:lineRule="auto"/>
        <w:rPr>
          <w:color w:val="auto"/>
          <w:highlight w:val="none"/>
        </w:rPr>
      </w:pPr>
    </w:p>
    <w:p w14:paraId="0FE784E9">
      <w:pPr>
        <w:spacing w:before="79" w:line="220" w:lineRule="auto"/>
        <w:ind w:left="998"/>
        <w:rPr>
          <w:rFonts w:ascii="宋体" w:hAnsi="宋体" w:cs="宋体"/>
          <w:color w:val="auto"/>
          <w:sz w:val="24"/>
          <w:szCs w:val="24"/>
          <w:highlight w:val="none"/>
        </w:rPr>
      </w:pPr>
      <w:r>
        <w:rPr>
          <w:rFonts w:ascii="宋体" w:hAnsi="宋体" w:cs="宋体"/>
          <w:color w:val="auto"/>
          <w:spacing w:val="-2"/>
          <w:sz w:val="24"/>
          <w:szCs w:val="24"/>
          <w:highlight w:val="none"/>
        </w:rPr>
        <w:t>签</w:t>
      </w:r>
      <w:r>
        <w:rPr>
          <w:rFonts w:ascii="宋体" w:hAnsi="宋体" w:cs="宋体"/>
          <w:color w:val="auto"/>
          <w:spacing w:val="-1"/>
          <w:sz w:val="24"/>
          <w:szCs w:val="24"/>
          <w:highlight w:val="none"/>
        </w:rPr>
        <w:t>订日期：</w:t>
      </w:r>
      <w:r>
        <w:rPr>
          <w:rFonts w:hint="eastAsia" w:ascii="宋体" w:hAnsi="宋体" w:cs="宋体"/>
          <w:color w:val="auto"/>
          <w:spacing w:val="-1"/>
          <w:sz w:val="24"/>
          <w:szCs w:val="24"/>
          <w:highlight w:val="none"/>
        </w:rPr>
        <w:t xml:space="preserve">  </w:t>
      </w:r>
      <w:r>
        <w:rPr>
          <w:rFonts w:ascii="宋体" w:hAnsi="宋体" w:cs="宋体"/>
          <w:color w:val="auto"/>
          <w:spacing w:val="-1"/>
          <w:sz w:val="24"/>
          <w:szCs w:val="24"/>
          <w:highlight w:val="none"/>
        </w:rPr>
        <w:t>年</w:t>
      </w:r>
      <w:r>
        <w:rPr>
          <w:rFonts w:hint="eastAsia" w:ascii="宋体" w:hAnsi="宋体" w:cs="宋体"/>
          <w:color w:val="auto"/>
          <w:spacing w:val="-1"/>
          <w:sz w:val="24"/>
          <w:szCs w:val="24"/>
          <w:highlight w:val="none"/>
        </w:rPr>
        <w:t xml:space="preserve">  </w:t>
      </w:r>
      <w:r>
        <w:rPr>
          <w:rFonts w:ascii="宋体" w:hAnsi="宋体" w:cs="宋体"/>
          <w:color w:val="auto"/>
          <w:spacing w:val="-1"/>
          <w:sz w:val="24"/>
          <w:szCs w:val="24"/>
          <w:highlight w:val="none"/>
        </w:rPr>
        <w:t>月</w:t>
      </w:r>
      <w:r>
        <w:rPr>
          <w:rFonts w:hint="eastAsia" w:ascii="宋体" w:hAnsi="宋体" w:cs="宋体"/>
          <w:color w:val="auto"/>
          <w:spacing w:val="-1"/>
          <w:sz w:val="24"/>
          <w:szCs w:val="24"/>
          <w:highlight w:val="none"/>
        </w:rPr>
        <w:t xml:space="preserve">  </w:t>
      </w:r>
      <w:r>
        <w:rPr>
          <w:rFonts w:ascii="宋体" w:hAnsi="宋体" w:cs="宋体"/>
          <w:color w:val="auto"/>
          <w:spacing w:val="-1"/>
          <w:sz w:val="24"/>
          <w:szCs w:val="24"/>
          <w:highlight w:val="none"/>
        </w:rPr>
        <w:t>日</w:t>
      </w:r>
    </w:p>
    <w:p w14:paraId="4FC6E821">
      <w:pPr>
        <w:rPr>
          <w:color w:val="auto"/>
          <w:highlight w:val="none"/>
        </w:rPr>
        <w:sectPr>
          <w:footerReference r:id="rId3" w:type="default"/>
          <w:pgSz w:w="11907" w:h="16839"/>
          <w:pgMar w:top="1118" w:right="1769" w:bottom="1233" w:left="1771" w:header="877" w:footer="982" w:gutter="0"/>
          <w:pgNumType w:fmt="decimal"/>
          <w:cols w:space="720" w:num="1"/>
        </w:sectPr>
      </w:pPr>
    </w:p>
    <w:p w14:paraId="35282723">
      <w:pPr>
        <w:spacing w:line="360" w:lineRule="auto"/>
        <w:ind w:left="37" w:right="124" w:firstLine="438"/>
        <w:rPr>
          <w:rFonts w:ascii="宋体" w:hAnsi="宋体" w:cs="宋体"/>
          <w:color w:val="auto"/>
          <w:sz w:val="24"/>
          <w:szCs w:val="24"/>
          <w:highlight w:val="none"/>
        </w:rPr>
      </w:pPr>
    </w:p>
    <w:p w14:paraId="5DEDACF0">
      <w:pPr>
        <w:spacing w:line="360" w:lineRule="auto"/>
        <w:ind w:left="239" w:leftChars="114" w:right="12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(以下简称：甲方) 通过 组织的</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 xml:space="preserve">方式采购活动，经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评定，</w:t>
      </w:r>
      <w:r>
        <w:rPr>
          <w:rFonts w:hint="eastAsia" w:ascii="宋体" w:hAnsi="宋体" w:cs="宋体"/>
          <w:color w:val="auto"/>
          <w:sz w:val="24"/>
          <w:szCs w:val="24"/>
          <w:highlight w:val="none"/>
          <w:u w:val="single"/>
        </w:rPr>
        <w:t xml:space="preserve">(成交供应商名称) </w:t>
      </w:r>
      <w:r>
        <w:rPr>
          <w:rFonts w:hint="eastAsia" w:ascii="宋体" w:hAnsi="宋体" w:cs="宋体"/>
          <w:color w:val="auto"/>
          <w:sz w:val="24"/>
          <w:szCs w:val="24"/>
          <w:highlight w:val="none"/>
        </w:rPr>
        <w:t>(以下简称：乙方)为本项目成交供应商，现按照采购文件确定的事项签订本合同。</w:t>
      </w:r>
    </w:p>
    <w:p w14:paraId="3AA3ABD3">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1424D2AB">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1.1 合同组成部分</w:t>
      </w:r>
    </w:p>
    <w:p w14:paraId="09F8DA27">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下列文件为本合同的组成部分，并构成一个整体，需综合解释、相互补充。如果下列文件内容出现不一致的情形，那么在保证按照采购文件确定的事项前提下，组成本合同的多个文件的优先适用顺序如下：</w:t>
      </w:r>
    </w:p>
    <w:p w14:paraId="24327A51">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1.1.1 本合同及其补充合同、变更协议；</w:t>
      </w:r>
    </w:p>
    <w:p w14:paraId="61BF7328">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1.1.2 成交通知书；</w:t>
      </w:r>
    </w:p>
    <w:p w14:paraId="528590B7">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1.1.3 响应文件(含澄清或者说明文件)；</w:t>
      </w:r>
    </w:p>
    <w:p w14:paraId="1134F60A">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1.1.4 采购文件(含澄清或者修改文件)；</w:t>
      </w:r>
    </w:p>
    <w:p w14:paraId="3C561F9D">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1.1.5 其他相关采购文件。</w:t>
      </w:r>
    </w:p>
    <w:p w14:paraId="206519B4">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1.2 服务</w:t>
      </w:r>
    </w:p>
    <w:p w14:paraId="1D50E711">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1.2.1 服务名称：</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w:t>
      </w:r>
    </w:p>
    <w:p w14:paraId="6D445564">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1.2.2 服务内容：</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w:t>
      </w:r>
    </w:p>
    <w:p w14:paraId="641E4E4A">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1.2.3 服务质量：</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w:t>
      </w:r>
    </w:p>
    <w:p w14:paraId="7F76A880">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1.3 价款</w:t>
      </w:r>
    </w:p>
    <w:p w14:paraId="5587675C">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本合同总价为：本合同总价为：￥</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 (大写：人民币</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6EBC390D">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分项价格：</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4685"/>
        <w:gridCol w:w="2913"/>
      </w:tblGrid>
      <w:tr w14:paraId="19BA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8" w:type="dxa"/>
            <w:vAlign w:val="center"/>
          </w:tcPr>
          <w:p w14:paraId="31308F7D">
            <w:pPr>
              <w:spacing w:line="360" w:lineRule="auto"/>
              <w:ind w:right="124"/>
              <w:jc w:val="center"/>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vertAlign w:val="baseline"/>
              </w:rPr>
              <w:t>序号</w:t>
            </w:r>
          </w:p>
        </w:tc>
        <w:tc>
          <w:tcPr>
            <w:tcW w:w="4685" w:type="dxa"/>
            <w:vAlign w:val="center"/>
          </w:tcPr>
          <w:p w14:paraId="0B2D89F8">
            <w:pPr>
              <w:spacing w:line="360" w:lineRule="auto"/>
              <w:ind w:right="124"/>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分项名称</w:t>
            </w:r>
          </w:p>
        </w:tc>
        <w:tc>
          <w:tcPr>
            <w:tcW w:w="2913" w:type="dxa"/>
            <w:vAlign w:val="center"/>
          </w:tcPr>
          <w:p w14:paraId="3826717F">
            <w:pPr>
              <w:spacing w:line="360" w:lineRule="auto"/>
              <w:ind w:right="124"/>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分项价格</w:t>
            </w:r>
          </w:p>
        </w:tc>
      </w:tr>
      <w:tr w14:paraId="6D7B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14:paraId="743270F6">
            <w:pPr>
              <w:spacing w:line="360" w:lineRule="auto"/>
              <w:ind w:right="124"/>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4685" w:type="dxa"/>
            <w:vAlign w:val="center"/>
          </w:tcPr>
          <w:p w14:paraId="79DB1513">
            <w:pPr>
              <w:spacing w:line="360" w:lineRule="auto"/>
              <w:ind w:right="124"/>
              <w:jc w:val="center"/>
              <w:rPr>
                <w:rFonts w:hint="eastAsia" w:ascii="宋体" w:hAnsi="宋体" w:cs="宋体"/>
                <w:color w:val="auto"/>
                <w:sz w:val="24"/>
                <w:szCs w:val="24"/>
                <w:highlight w:val="none"/>
                <w:vertAlign w:val="baseline"/>
              </w:rPr>
            </w:pPr>
          </w:p>
        </w:tc>
        <w:tc>
          <w:tcPr>
            <w:tcW w:w="2913" w:type="dxa"/>
            <w:vAlign w:val="center"/>
          </w:tcPr>
          <w:p w14:paraId="0CFB86B7">
            <w:pPr>
              <w:spacing w:line="360" w:lineRule="auto"/>
              <w:ind w:right="124"/>
              <w:jc w:val="center"/>
              <w:rPr>
                <w:rFonts w:hint="eastAsia" w:ascii="宋体" w:hAnsi="宋体" w:cs="宋体"/>
                <w:color w:val="auto"/>
                <w:sz w:val="24"/>
                <w:szCs w:val="24"/>
                <w:highlight w:val="none"/>
                <w:vertAlign w:val="baseline"/>
              </w:rPr>
            </w:pPr>
          </w:p>
        </w:tc>
      </w:tr>
      <w:tr w14:paraId="6CEC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14:paraId="1F906457">
            <w:pPr>
              <w:spacing w:line="360" w:lineRule="auto"/>
              <w:ind w:right="124"/>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4685" w:type="dxa"/>
            <w:vAlign w:val="center"/>
          </w:tcPr>
          <w:p w14:paraId="35A1A8CB">
            <w:pPr>
              <w:spacing w:line="360" w:lineRule="auto"/>
              <w:ind w:right="124"/>
              <w:jc w:val="center"/>
              <w:rPr>
                <w:rFonts w:hint="eastAsia" w:ascii="宋体" w:hAnsi="宋体" w:cs="宋体"/>
                <w:color w:val="auto"/>
                <w:sz w:val="24"/>
                <w:szCs w:val="24"/>
                <w:highlight w:val="none"/>
                <w:vertAlign w:val="baseline"/>
              </w:rPr>
            </w:pPr>
          </w:p>
        </w:tc>
        <w:tc>
          <w:tcPr>
            <w:tcW w:w="2913" w:type="dxa"/>
            <w:vAlign w:val="center"/>
          </w:tcPr>
          <w:p w14:paraId="17D47F00">
            <w:pPr>
              <w:spacing w:line="360" w:lineRule="auto"/>
              <w:ind w:right="124"/>
              <w:jc w:val="center"/>
              <w:rPr>
                <w:rFonts w:hint="eastAsia" w:ascii="宋体" w:hAnsi="宋体" w:cs="宋体"/>
                <w:color w:val="auto"/>
                <w:sz w:val="24"/>
                <w:szCs w:val="24"/>
                <w:highlight w:val="none"/>
                <w:vertAlign w:val="baseline"/>
              </w:rPr>
            </w:pPr>
          </w:p>
        </w:tc>
      </w:tr>
      <w:tr w14:paraId="0D89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8" w:type="dxa"/>
            <w:vAlign w:val="center"/>
          </w:tcPr>
          <w:p w14:paraId="37B69440">
            <w:pPr>
              <w:spacing w:line="360" w:lineRule="auto"/>
              <w:ind w:right="124"/>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w:t>
            </w:r>
          </w:p>
        </w:tc>
        <w:tc>
          <w:tcPr>
            <w:tcW w:w="4685" w:type="dxa"/>
            <w:vAlign w:val="center"/>
          </w:tcPr>
          <w:p w14:paraId="32BB5067">
            <w:pPr>
              <w:spacing w:line="360" w:lineRule="auto"/>
              <w:ind w:right="124"/>
              <w:jc w:val="center"/>
              <w:rPr>
                <w:rFonts w:hint="eastAsia" w:ascii="宋体" w:hAnsi="宋体" w:cs="宋体"/>
                <w:color w:val="auto"/>
                <w:sz w:val="24"/>
                <w:szCs w:val="24"/>
                <w:highlight w:val="none"/>
                <w:vertAlign w:val="baseline"/>
              </w:rPr>
            </w:pPr>
          </w:p>
        </w:tc>
        <w:tc>
          <w:tcPr>
            <w:tcW w:w="2913" w:type="dxa"/>
            <w:vAlign w:val="center"/>
          </w:tcPr>
          <w:p w14:paraId="630AB362">
            <w:pPr>
              <w:spacing w:line="360" w:lineRule="auto"/>
              <w:ind w:right="124"/>
              <w:jc w:val="center"/>
              <w:rPr>
                <w:rFonts w:hint="eastAsia" w:ascii="宋体" w:hAnsi="宋体" w:cs="宋体"/>
                <w:color w:val="auto"/>
                <w:sz w:val="24"/>
                <w:szCs w:val="24"/>
                <w:highlight w:val="none"/>
                <w:vertAlign w:val="baseline"/>
              </w:rPr>
            </w:pPr>
          </w:p>
        </w:tc>
      </w:tr>
      <w:tr w14:paraId="67FB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14:paraId="3ED2FEBB">
            <w:pPr>
              <w:spacing w:line="360" w:lineRule="auto"/>
              <w:ind w:right="124"/>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4685" w:type="dxa"/>
            <w:vAlign w:val="center"/>
          </w:tcPr>
          <w:p w14:paraId="533609BF">
            <w:pPr>
              <w:spacing w:line="360" w:lineRule="auto"/>
              <w:ind w:right="124"/>
              <w:jc w:val="center"/>
              <w:rPr>
                <w:rFonts w:hint="eastAsia" w:ascii="宋体" w:hAnsi="宋体" w:cs="宋体"/>
                <w:color w:val="auto"/>
                <w:sz w:val="24"/>
                <w:szCs w:val="24"/>
                <w:highlight w:val="none"/>
                <w:vertAlign w:val="baseline"/>
              </w:rPr>
            </w:pPr>
          </w:p>
        </w:tc>
        <w:tc>
          <w:tcPr>
            <w:tcW w:w="2913" w:type="dxa"/>
            <w:vAlign w:val="center"/>
          </w:tcPr>
          <w:p w14:paraId="674EA3AF">
            <w:pPr>
              <w:spacing w:line="360" w:lineRule="auto"/>
              <w:ind w:right="124"/>
              <w:jc w:val="center"/>
              <w:rPr>
                <w:rFonts w:hint="eastAsia" w:ascii="宋体" w:hAnsi="宋体" w:cs="宋体"/>
                <w:color w:val="auto"/>
                <w:sz w:val="24"/>
                <w:szCs w:val="24"/>
                <w:highlight w:val="none"/>
                <w:vertAlign w:val="baseline"/>
              </w:rPr>
            </w:pPr>
          </w:p>
        </w:tc>
      </w:tr>
      <w:tr w14:paraId="4E47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3" w:type="dxa"/>
            <w:gridSpan w:val="2"/>
            <w:vAlign w:val="center"/>
          </w:tcPr>
          <w:p w14:paraId="3BCBB788">
            <w:pPr>
              <w:spacing w:line="360" w:lineRule="auto"/>
              <w:ind w:right="124"/>
              <w:jc w:val="center"/>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vertAlign w:val="baseline"/>
                <w:lang w:val="en-US" w:eastAsia="zh-CN"/>
              </w:rPr>
              <w:t>总价</w:t>
            </w:r>
          </w:p>
        </w:tc>
        <w:tc>
          <w:tcPr>
            <w:tcW w:w="2913" w:type="dxa"/>
            <w:vAlign w:val="center"/>
          </w:tcPr>
          <w:p w14:paraId="7CB4AD3A">
            <w:pPr>
              <w:spacing w:line="360" w:lineRule="auto"/>
              <w:ind w:right="124"/>
              <w:jc w:val="center"/>
              <w:rPr>
                <w:rFonts w:hint="eastAsia" w:ascii="宋体" w:hAnsi="宋体" w:cs="宋体"/>
                <w:color w:val="auto"/>
                <w:sz w:val="24"/>
                <w:szCs w:val="24"/>
                <w:highlight w:val="none"/>
                <w:vertAlign w:val="baseline"/>
              </w:rPr>
            </w:pPr>
          </w:p>
        </w:tc>
      </w:tr>
    </w:tbl>
    <w:p w14:paraId="69DAC18B">
      <w:pPr>
        <w:spacing w:line="360" w:lineRule="auto"/>
        <w:ind w:left="37" w:right="124" w:firstLine="438"/>
        <w:rPr>
          <w:rFonts w:hint="eastAsia" w:ascii="宋体" w:hAnsi="宋体" w:cs="宋体"/>
          <w:color w:val="auto"/>
          <w:sz w:val="24"/>
          <w:szCs w:val="24"/>
          <w:highlight w:val="none"/>
        </w:rPr>
      </w:pPr>
    </w:p>
    <w:p w14:paraId="002AEE13">
      <w:pPr>
        <w:spacing w:line="360" w:lineRule="auto"/>
        <w:ind w:left="37" w:right="124" w:firstLine="438"/>
        <w:rPr>
          <w:rFonts w:hint="eastAsia" w:ascii="宋体" w:hAnsi="宋体" w:cs="宋体"/>
          <w:color w:val="auto"/>
          <w:sz w:val="24"/>
          <w:szCs w:val="24"/>
          <w:highlight w:val="none"/>
        </w:rPr>
      </w:pPr>
    </w:p>
    <w:p w14:paraId="768757C9">
      <w:pPr>
        <w:spacing w:line="360" w:lineRule="auto"/>
        <w:ind w:left="37" w:right="124" w:firstLine="438"/>
        <w:rPr>
          <w:rFonts w:hint="eastAsia" w:ascii="宋体" w:hAnsi="宋体" w:cs="宋体"/>
          <w:color w:val="auto"/>
          <w:sz w:val="24"/>
          <w:szCs w:val="24"/>
          <w:highlight w:val="none"/>
        </w:rPr>
      </w:pPr>
    </w:p>
    <w:p w14:paraId="56D1008D">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1.4 付款方式和发票开具方式</w:t>
      </w:r>
    </w:p>
    <w:p w14:paraId="2C1D1435">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1.4.1 付款方式：</w:t>
      </w:r>
    </w:p>
    <w:p w14:paraId="136C5ABD">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1.4.2 发票开具方式：</w:t>
      </w:r>
    </w:p>
    <w:p w14:paraId="3364C5A3">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1.5 服务期限、地点和方式</w:t>
      </w:r>
    </w:p>
    <w:p w14:paraId="32F6843C">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1.5.1 服务期限：</w:t>
      </w:r>
    </w:p>
    <w:p w14:paraId="4973DBA7">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1.5.2 服务地点：</w:t>
      </w:r>
    </w:p>
    <w:p w14:paraId="4F6C597F">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1.5.3 服务方式：</w:t>
      </w:r>
    </w:p>
    <w:p w14:paraId="20443368">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1.6 违约责任</w:t>
      </w:r>
    </w:p>
    <w:p w14:paraId="5E3C1C67">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%计算，最高限额为本合同总价的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%；迟延履行的违约金计算数额达到前述最高限额之日起，甲方有权在要求乙方支付违约金的同时，书面通知乙方解除本合同；</w:t>
      </w:r>
    </w:p>
    <w:p w14:paraId="6F55E529">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%计算，最高限额为本合同总价的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%；迟延付款的违约金计算数额达到前述最高限额之日起，乙方有权在要求甲方支付违约金的同时，书面通知甲方解除本合同；</w:t>
      </w:r>
    </w:p>
    <w:p w14:paraId="389BA1A9">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1942082">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w:t>
      </w:r>
    </w:p>
    <w:p w14:paraId="59313108">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救济方式均不视为其放弃了其他法定或者约定的权利救济方式；</w:t>
      </w:r>
    </w:p>
    <w:p w14:paraId="05690D29">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1.6.5 除前述约定外， 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2DE536C">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65F451B4">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1.7 合同争议的解决</w:t>
      </w:r>
    </w:p>
    <w:p w14:paraId="6AB428D7">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本合同履行过程中发生的任何争议，双方当事人均可通过和解或者调解解决； 不愿和解、调解或者和解、调解不成的，可以选择下列</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 xml:space="preserve"> 种方式解决：</w:t>
      </w:r>
    </w:p>
    <w:p w14:paraId="250248F0">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1.7.1 将争议提交仲裁委员会依申请仲裁时其现行有效的仲裁规则裁决；</w:t>
      </w:r>
    </w:p>
    <w:p w14:paraId="6D26646C">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1.7.2 向</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 xml:space="preserve"> 人民法院起诉。</w:t>
      </w:r>
    </w:p>
    <w:p w14:paraId="0D267B06">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1.8 合同生效</w:t>
      </w:r>
    </w:p>
    <w:p w14:paraId="0831E7E1">
      <w:pPr>
        <w:spacing w:line="360" w:lineRule="auto"/>
        <w:ind w:left="37" w:right="124" w:firstLine="438"/>
        <w:rPr>
          <w:rFonts w:hint="eastAsia" w:ascii="宋体" w:hAnsi="宋体" w:cs="宋体"/>
          <w:color w:val="auto"/>
          <w:sz w:val="24"/>
          <w:szCs w:val="24"/>
          <w:highlight w:val="none"/>
        </w:rPr>
      </w:pPr>
      <w:r>
        <w:rPr>
          <w:rFonts w:hint="eastAsia" w:ascii="宋体" w:hAnsi="宋体" w:cs="宋体"/>
          <w:color w:val="auto"/>
          <w:sz w:val="24"/>
          <w:szCs w:val="24"/>
          <w:highlight w:val="none"/>
        </w:rPr>
        <w:t>本合同自双方当事人盖章时生效。</w:t>
      </w:r>
    </w:p>
    <w:p w14:paraId="61135CE2">
      <w:pPr>
        <w:spacing w:line="272" w:lineRule="auto"/>
        <w:rPr>
          <w:color w:val="auto"/>
          <w:highlight w:val="none"/>
        </w:rPr>
      </w:pPr>
    </w:p>
    <w:p w14:paraId="316368FB">
      <w:pPr>
        <w:spacing w:line="272" w:lineRule="auto"/>
        <w:rPr>
          <w:color w:val="auto"/>
          <w:highlight w:val="none"/>
        </w:rPr>
      </w:pPr>
    </w:p>
    <w:p w14:paraId="709A76FD">
      <w:pPr>
        <w:spacing w:line="272" w:lineRule="auto"/>
        <w:rPr>
          <w:color w:val="auto"/>
          <w:highlight w:val="none"/>
        </w:rPr>
      </w:pPr>
    </w:p>
    <w:p w14:paraId="76C5C287">
      <w:pPr>
        <w:spacing w:line="272" w:lineRule="auto"/>
        <w:rPr>
          <w:color w:val="auto"/>
          <w:highlight w:val="none"/>
        </w:rPr>
      </w:pPr>
    </w:p>
    <w:p w14:paraId="368380C1">
      <w:pPr>
        <w:spacing w:line="272" w:lineRule="auto"/>
        <w:rPr>
          <w:color w:val="auto"/>
          <w:highlight w:val="none"/>
        </w:rPr>
      </w:pPr>
    </w:p>
    <w:p w14:paraId="79D01B5A">
      <w:pPr>
        <w:spacing w:line="272" w:lineRule="auto"/>
        <w:rPr>
          <w:color w:val="auto"/>
          <w:highlight w:val="none"/>
        </w:rPr>
      </w:pPr>
    </w:p>
    <w:p w14:paraId="237F7B76">
      <w:pPr>
        <w:spacing w:before="79" w:line="219" w:lineRule="auto"/>
        <w:ind w:left="69"/>
        <w:rPr>
          <w:rFonts w:ascii="宋体" w:hAnsi="宋体" w:cs="宋体"/>
          <w:color w:val="auto"/>
          <w:sz w:val="24"/>
          <w:szCs w:val="24"/>
          <w:highlight w:val="none"/>
        </w:rPr>
      </w:pPr>
      <w:r>
        <w:rPr>
          <w:rFonts w:ascii="宋体" w:hAnsi="宋体" w:cs="宋体"/>
          <w:color w:val="auto"/>
          <w:spacing w:val="-12"/>
          <w:sz w:val="24"/>
          <w:szCs w:val="24"/>
          <w:highlight w:val="none"/>
        </w:rPr>
        <w:t xml:space="preserve">甲 </w:t>
      </w:r>
      <w:r>
        <w:rPr>
          <w:rFonts w:ascii="宋体" w:hAnsi="宋体" w:cs="宋体"/>
          <w:color w:val="auto"/>
          <w:spacing w:val="-8"/>
          <w:sz w:val="24"/>
          <w:szCs w:val="24"/>
          <w:highlight w:val="none"/>
        </w:rPr>
        <w:t>方</w:t>
      </w:r>
      <w:r>
        <w:rPr>
          <w:rFonts w:ascii="宋体" w:hAnsi="宋体" w:cs="宋体"/>
          <w:color w:val="auto"/>
          <w:spacing w:val="-6"/>
          <w:sz w:val="24"/>
          <w:szCs w:val="24"/>
          <w:highlight w:val="none"/>
        </w:rPr>
        <w:t xml:space="preserve">： </w:t>
      </w:r>
      <w:r>
        <w:rPr>
          <w:rFonts w:ascii="宋体" w:hAnsi="宋体" w:cs="宋体"/>
          <w:color w:val="auto"/>
          <w:spacing w:val="-6"/>
          <w:sz w:val="24"/>
          <w:szCs w:val="24"/>
          <w:highlight w:val="none"/>
          <w:u w:val="single"/>
        </w:rPr>
        <w:t xml:space="preserve">     (单位盖章)      </w:t>
      </w:r>
      <w:r>
        <w:rPr>
          <w:rFonts w:ascii="宋体" w:hAnsi="宋体" w:cs="宋体"/>
          <w:color w:val="auto"/>
          <w:spacing w:val="-6"/>
          <w:sz w:val="24"/>
          <w:szCs w:val="24"/>
          <w:highlight w:val="none"/>
        </w:rPr>
        <w:t xml:space="preserve">          乙方： </w:t>
      </w:r>
      <w:r>
        <w:rPr>
          <w:rFonts w:ascii="宋体" w:hAnsi="宋体" w:cs="宋体"/>
          <w:color w:val="auto"/>
          <w:spacing w:val="-6"/>
          <w:sz w:val="24"/>
          <w:szCs w:val="24"/>
          <w:highlight w:val="none"/>
          <w:u w:val="single"/>
        </w:rPr>
        <w:t xml:space="preserve">     (单位盖章)</w:t>
      </w:r>
      <w:r>
        <w:rPr>
          <w:rFonts w:ascii="宋体" w:hAnsi="宋体" w:cs="宋体"/>
          <w:color w:val="auto"/>
          <w:sz w:val="24"/>
          <w:szCs w:val="24"/>
          <w:highlight w:val="none"/>
          <w:u w:val="single"/>
        </w:rPr>
        <w:t xml:space="preserve">      </w:t>
      </w:r>
    </w:p>
    <w:p w14:paraId="4693C388">
      <w:pPr>
        <w:spacing w:line="227" w:lineRule="exact"/>
        <w:rPr>
          <w:color w:val="auto"/>
          <w:highlight w:val="none"/>
        </w:rPr>
      </w:pPr>
    </w:p>
    <w:p w14:paraId="43B3741A">
      <w:pPr>
        <w:rPr>
          <w:color w:val="auto"/>
          <w:highlight w:val="none"/>
        </w:rPr>
        <w:sectPr>
          <w:headerReference r:id="rId4" w:type="default"/>
          <w:footerReference r:id="rId5" w:type="default"/>
          <w:pgSz w:w="11907" w:h="16839"/>
          <w:pgMar w:top="1118" w:right="1614" w:bottom="1233" w:left="1771" w:header="877" w:footer="982" w:gutter="0"/>
          <w:pgNumType w:fmt="decimal"/>
          <w:cols w:equalWidth="0" w:num="1">
            <w:col w:w="8520"/>
          </w:cols>
        </w:sectPr>
      </w:pPr>
    </w:p>
    <w:p w14:paraId="0BBF8D5C">
      <w:pPr>
        <w:rPr>
          <w:rFonts w:ascii="宋体" w:hAnsi="宋体" w:cs="宋体"/>
          <w:color w:val="auto"/>
          <w:sz w:val="24"/>
          <w:szCs w:val="24"/>
          <w:highlight w:val="none"/>
        </w:rPr>
      </w:pPr>
      <w:r>
        <w:rPr>
          <w:rFonts w:ascii="宋体" w:hAnsi="宋体" w:cs="宋体"/>
          <w:color w:val="auto"/>
          <w:spacing w:val="-2"/>
          <w:sz w:val="24"/>
          <w:szCs w:val="24"/>
          <w:highlight w:val="none"/>
        </w:rPr>
        <w:t>法定代表</w:t>
      </w:r>
      <w:r>
        <w:rPr>
          <w:rFonts w:ascii="宋体" w:hAnsi="宋体" w:cs="宋体"/>
          <w:color w:val="auto"/>
          <w:spacing w:val="-1"/>
          <w:sz w:val="24"/>
          <w:szCs w:val="24"/>
          <w:highlight w:val="none"/>
        </w:rPr>
        <w:t>人</w:t>
      </w:r>
    </w:p>
    <w:p w14:paraId="7A676CEC">
      <w:pPr>
        <w:rPr>
          <w:rFonts w:ascii="宋体" w:hAnsi="宋体" w:cs="宋体"/>
          <w:color w:val="auto"/>
          <w:spacing w:val="9"/>
          <w:position w:val="24"/>
          <w:sz w:val="24"/>
          <w:szCs w:val="24"/>
          <w:highlight w:val="none"/>
        </w:rPr>
      </w:pPr>
      <w:r>
        <w:rPr>
          <w:rFonts w:ascii="宋体" w:hAnsi="宋体" w:cs="宋体"/>
          <w:color w:val="auto"/>
          <w:spacing w:val="10"/>
          <w:position w:val="24"/>
          <w:sz w:val="24"/>
          <w:szCs w:val="24"/>
          <w:highlight w:val="none"/>
        </w:rPr>
        <w:t>或</w:t>
      </w:r>
      <w:r>
        <w:rPr>
          <w:rFonts w:ascii="宋体" w:hAnsi="宋体" w:cs="宋体"/>
          <w:color w:val="auto"/>
          <w:spacing w:val="9"/>
          <w:position w:val="24"/>
          <w:sz w:val="24"/>
          <w:szCs w:val="24"/>
          <w:highlight w:val="none"/>
        </w:rPr>
        <w:t>授权代表(签字)</w:t>
      </w:r>
    </w:p>
    <w:p w14:paraId="7CA08284">
      <w:pPr>
        <w:rPr>
          <w:color w:val="auto"/>
          <w:sz w:val="2"/>
          <w:highlight w:val="none"/>
        </w:rPr>
      </w:pPr>
      <w:r>
        <w:rPr>
          <w:rFonts w:hint="eastAsia" w:ascii="宋体" w:hAnsi="宋体" w:cs="宋体"/>
          <w:color w:val="auto"/>
          <w:spacing w:val="-3"/>
          <w:sz w:val="24"/>
          <w:szCs w:val="24"/>
          <w:highlight w:val="none"/>
        </w:rPr>
        <w:t xml:space="preserve">时间：    </w:t>
      </w:r>
      <w:r>
        <w:rPr>
          <w:rFonts w:ascii="宋体" w:hAnsi="宋体" w:cs="宋体"/>
          <w:color w:val="auto"/>
          <w:spacing w:val="-3"/>
          <w:sz w:val="24"/>
          <w:szCs w:val="24"/>
          <w:highlight w:val="none"/>
        </w:rPr>
        <w:t>年</w:t>
      </w:r>
      <w:r>
        <w:rPr>
          <w:rFonts w:hint="eastAsia" w:ascii="宋体" w:hAnsi="宋体" w:cs="宋体"/>
          <w:color w:val="auto"/>
          <w:spacing w:val="-3"/>
          <w:sz w:val="24"/>
          <w:szCs w:val="24"/>
          <w:highlight w:val="none"/>
        </w:rPr>
        <w:t xml:space="preserve">  </w:t>
      </w:r>
      <w:r>
        <w:rPr>
          <w:rFonts w:ascii="宋体" w:hAnsi="宋体" w:cs="宋体"/>
          <w:color w:val="auto"/>
          <w:spacing w:val="-3"/>
          <w:sz w:val="24"/>
          <w:szCs w:val="24"/>
          <w:highlight w:val="none"/>
        </w:rPr>
        <w:t>月</w:t>
      </w:r>
      <w:r>
        <w:rPr>
          <w:rFonts w:hint="eastAsia" w:ascii="宋体" w:hAnsi="宋体" w:cs="宋体"/>
          <w:color w:val="auto"/>
          <w:spacing w:val="-3"/>
          <w:sz w:val="24"/>
          <w:szCs w:val="24"/>
          <w:highlight w:val="none"/>
        </w:rPr>
        <w:t xml:space="preserve">  </w:t>
      </w:r>
      <w:r>
        <w:rPr>
          <w:rFonts w:ascii="宋体" w:hAnsi="宋体" w:cs="宋体"/>
          <w:color w:val="auto"/>
          <w:spacing w:val="-3"/>
          <w:sz w:val="24"/>
          <w:szCs w:val="24"/>
          <w:highlight w:val="none"/>
        </w:rPr>
        <w:t>日</w:t>
      </w:r>
      <w:r>
        <w:rPr>
          <w:rFonts w:eastAsia="Arial"/>
          <w:color w:val="auto"/>
          <w:sz w:val="2"/>
          <w:szCs w:val="2"/>
          <w:highlight w:val="none"/>
        </w:rPr>
        <w:br w:type="column"/>
      </w:r>
    </w:p>
    <w:p w14:paraId="1EEB18B7">
      <w:pPr>
        <w:ind w:firstLine="472" w:firstLineChars="200"/>
        <w:rPr>
          <w:rFonts w:ascii="宋体" w:hAnsi="宋体" w:cs="宋体"/>
          <w:color w:val="auto"/>
          <w:sz w:val="24"/>
          <w:szCs w:val="24"/>
          <w:highlight w:val="none"/>
        </w:rPr>
      </w:pPr>
      <w:r>
        <w:rPr>
          <w:rFonts w:ascii="宋体" w:hAnsi="宋体" w:cs="宋体"/>
          <w:color w:val="auto"/>
          <w:spacing w:val="-2"/>
          <w:sz w:val="24"/>
          <w:szCs w:val="24"/>
          <w:highlight w:val="none"/>
        </w:rPr>
        <w:t>法定代表</w:t>
      </w:r>
      <w:r>
        <w:rPr>
          <w:rFonts w:ascii="宋体" w:hAnsi="宋体" w:cs="宋体"/>
          <w:color w:val="auto"/>
          <w:spacing w:val="-1"/>
          <w:sz w:val="24"/>
          <w:szCs w:val="24"/>
          <w:highlight w:val="none"/>
        </w:rPr>
        <w:t>人</w:t>
      </w:r>
    </w:p>
    <w:p w14:paraId="0064C1B7">
      <w:pPr>
        <w:ind w:firstLine="520" w:firstLineChars="200"/>
        <w:rPr>
          <w:rFonts w:ascii="宋体" w:hAnsi="宋体" w:cs="宋体"/>
          <w:color w:val="auto"/>
          <w:spacing w:val="9"/>
          <w:sz w:val="24"/>
          <w:szCs w:val="24"/>
          <w:highlight w:val="none"/>
        </w:rPr>
      </w:pPr>
      <w:r>
        <w:rPr>
          <w:rFonts w:ascii="宋体" w:hAnsi="宋体" w:cs="宋体"/>
          <w:color w:val="auto"/>
          <w:spacing w:val="10"/>
          <w:sz w:val="24"/>
          <w:szCs w:val="24"/>
          <w:highlight w:val="none"/>
        </w:rPr>
        <w:t>或</w:t>
      </w:r>
      <w:r>
        <w:rPr>
          <w:rFonts w:ascii="宋体" w:hAnsi="宋体" w:cs="宋体"/>
          <w:color w:val="auto"/>
          <w:spacing w:val="9"/>
          <w:sz w:val="24"/>
          <w:szCs w:val="24"/>
          <w:highlight w:val="none"/>
        </w:rPr>
        <w:t>授权代表(签字)：</w:t>
      </w:r>
    </w:p>
    <w:p w14:paraId="1B2F69B9">
      <w:pPr>
        <w:rPr>
          <w:rFonts w:ascii="宋体" w:hAnsi="宋体" w:cs="宋体"/>
          <w:color w:val="auto"/>
          <w:sz w:val="24"/>
          <w:szCs w:val="24"/>
          <w:highlight w:val="none"/>
        </w:rPr>
      </w:pPr>
      <w:r>
        <w:rPr>
          <w:rFonts w:hint="eastAsia" w:ascii="宋体" w:hAnsi="宋体" w:cs="宋体"/>
          <w:color w:val="auto"/>
          <w:spacing w:val="-3"/>
          <w:sz w:val="24"/>
          <w:szCs w:val="24"/>
          <w:highlight w:val="none"/>
        </w:rPr>
        <w:t xml:space="preserve">    时间</w:t>
      </w:r>
      <w:r>
        <w:rPr>
          <w:rFonts w:ascii="宋体" w:hAnsi="宋体" w:cs="宋体"/>
          <w:color w:val="auto"/>
          <w:spacing w:val="-3"/>
          <w:sz w:val="24"/>
          <w:szCs w:val="24"/>
          <w:highlight w:val="none"/>
        </w:rPr>
        <w:t>：</w:t>
      </w:r>
      <w:r>
        <w:rPr>
          <w:rFonts w:hint="eastAsia" w:ascii="宋体" w:hAnsi="宋体" w:cs="宋体"/>
          <w:color w:val="auto"/>
          <w:spacing w:val="-3"/>
          <w:sz w:val="24"/>
          <w:szCs w:val="24"/>
          <w:highlight w:val="none"/>
        </w:rPr>
        <w:t xml:space="preserve">    </w:t>
      </w:r>
      <w:r>
        <w:rPr>
          <w:rFonts w:ascii="宋体" w:hAnsi="宋体" w:cs="宋体"/>
          <w:color w:val="auto"/>
          <w:spacing w:val="-3"/>
          <w:sz w:val="24"/>
          <w:szCs w:val="24"/>
          <w:highlight w:val="none"/>
        </w:rPr>
        <w:t>年</w:t>
      </w:r>
      <w:r>
        <w:rPr>
          <w:rFonts w:hint="eastAsia" w:ascii="宋体" w:hAnsi="宋体" w:cs="宋体"/>
          <w:color w:val="auto"/>
          <w:spacing w:val="-3"/>
          <w:sz w:val="24"/>
          <w:szCs w:val="24"/>
          <w:highlight w:val="none"/>
        </w:rPr>
        <w:t xml:space="preserve">  </w:t>
      </w:r>
      <w:r>
        <w:rPr>
          <w:rFonts w:ascii="宋体" w:hAnsi="宋体" w:cs="宋体"/>
          <w:color w:val="auto"/>
          <w:spacing w:val="-3"/>
          <w:sz w:val="24"/>
          <w:szCs w:val="24"/>
          <w:highlight w:val="none"/>
        </w:rPr>
        <w:t>月</w:t>
      </w:r>
      <w:r>
        <w:rPr>
          <w:rFonts w:hint="eastAsia" w:ascii="宋体" w:hAnsi="宋体" w:cs="宋体"/>
          <w:color w:val="auto"/>
          <w:spacing w:val="-3"/>
          <w:sz w:val="24"/>
          <w:szCs w:val="24"/>
          <w:highlight w:val="none"/>
        </w:rPr>
        <w:t xml:space="preserve">  </w:t>
      </w:r>
      <w:r>
        <w:rPr>
          <w:rFonts w:ascii="宋体" w:hAnsi="宋体" w:cs="宋体"/>
          <w:color w:val="auto"/>
          <w:spacing w:val="-3"/>
          <w:sz w:val="24"/>
          <w:szCs w:val="24"/>
          <w:highlight w:val="none"/>
        </w:rPr>
        <w:t>日</w:t>
      </w:r>
    </w:p>
    <w:p w14:paraId="1E3EBF56">
      <w:pPr>
        <w:rPr>
          <w:color w:val="auto"/>
          <w:highlight w:val="none"/>
        </w:rPr>
        <w:sectPr>
          <w:type w:val="continuous"/>
          <w:pgSz w:w="11907" w:h="16839"/>
          <w:pgMar w:top="1118" w:right="1614" w:bottom="1233" w:left="1771" w:header="877" w:footer="982" w:gutter="0"/>
          <w:pgNumType w:fmt="decimal"/>
          <w:cols w:equalWidth="0" w:num="2">
            <w:col w:w="3190" w:space="100"/>
            <w:col w:w="5230"/>
          </w:cols>
        </w:sectPr>
      </w:pPr>
    </w:p>
    <w:p w14:paraId="1B9575CA">
      <w:pPr>
        <w:spacing w:line="354" w:lineRule="auto"/>
        <w:rPr>
          <w:color w:val="auto"/>
          <w:highlight w:val="none"/>
        </w:rPr>
      </w:pPr>
    </w:p>
    <w:p w14:paraId="48178178">
      <w:pPr>
        <w:spacing w:before="78" w:line="220" w:lineRule="auto"/>
        <w:ind w:left="2985"/>
        <w:rPr>
          <w:rFonts w:ascii="宋体" w:hAnsi="宋体" w:cs="宋体"/>
          <w:color w:val="auto"/>
          <w:sz w:val="24"/>
          <w:szCs w:val="24"/>
          <w:highlight w:val="none"/>
        </w:rPr>
      </w:pPr>
      <w:r>
        <w:rPr>
          <w:rFonts w:ascii="宋体" w:hAnsi="宋体" w:cs="宋体"/>
          <w:color w:val="auto"/>
          <w:spacing w:val="-1"/>
          <w:sz w:val="24"/>
          <w:szCs w:val="24"/>
          <w:highlight w:val="none"/>
        </w:rPr>
        <w:t>第</w:t>
      </w:r>
      <w:r>
        <w:rPr>
          <w:rFonts w:ascii="宋体" w:hAnsi="宋体" w:cs="宋体"/>
          <w:color w:val="auto"/>
          <w:sz w:val="24"/>
          <w:szCs w:val="24"/>
          <w:highlight w:val="none"/>
        </w:rPr>
        <w:t>二部分合同一般条款</w:t>
      </w:r>
    </w:p>
    <w:p w14:paraId="2D45B0C0">
      <w:pPr>
        <w:spacing w:before="182" w:line="220" w:lineRule="auto"/>
        <w:ind w:left="477"/>
        <w:outlineLvl w:val="0"/>
        <w:rPr>
          <w:rFonts w:ascii="宋体" w:hAnsi="宋体" w:cs="宋体"/>
          <w:color w:val="auto"/>
          <w:sz w:val="24"/>
          <w:szCs w:val="24"/>
          <w:highlight w:val="none"/>
        </w:rPr>
      </w:pPr>
      <w:r>
        <w:rPr>
          <w:rFonts w:ascii="宋体" w:hAnsi="宋体" w:cs="宋体"/>
          <w:color w:val="auto"/>
          <w:sz w:val="24"/>
          <w:szCs w:val="24"/>
          <w:highlight w:val="none"/>
        </w:rPr>
        <w:t>2.1 定义</w:t>
      </w:r>
    </w:p>
    <w:p w14:paraId="4CAAA287">
      <w:pPr>
        <w:spacing w:before="181" w:line="219" w:lineRule="auto"/>
        <w:ind w:left="473"/>
        <w:rPr>
          <w:rFonts w:ascii="宋体" w:hAnsi="宋体" w:cs="宋体"/>
          <w:color w:val="auto"/>
          <w:sz w:val="24"/>
          <w:szCs w:val="24"/>
          <w:highlight w:val="none"/>
        </w:rPr>
      </w:pPr>
      <w:r>
        <w:rPr>
          <w:rFonts w:ascii="宋体" w:hAnsi="宋体" w:cs="宋体"/>
          <w:color w:val="auto"/>
          <w:spacing w:val="-4"/>
          <w:sz w:val="24"/>
          <w:szCs w:val="24"/>
          <w:highlight w:val="none"/>
        </w:rPr>
        <w:t>本合同</w:t>
      </w:r>
      <w:r>
        <w:rPr>
          <w:rFonts w:ascii="宋体" w:hAnsi="宋体" w:cs="宋体"/>
          <w:color w:val="auto"/>
          <w:spacing w:val="-3"/>
          <w:sz w:val="24"/>
          <w:szCs w:val="24"/>
          <w:highlight w:val="none"/>
        </w:rPr>
        <w:t>中</w:t>
      </w:r>
      <w:r>
        <w:rPr>
          <w:rFonts w:ascii="宋体" w:hAnsi="宋体" w:cs="宋体"/>
          <w:color w:val="auto"/>
          <w:spacing w:val="-2"/>
          <w:sz w:val="24"/>
          <w:szCs w:val="24"/>
          <w:highlight w:val="none"/>
        </w:rPr>
        <w:t>的下列词语应按以下内容进行解释：</w:t>
      </w:r>
    </w:p>
    <w:p w14:paraId="456C568F">
      <w:pPr>
        <w:spacing w:before="183" w:line="360" w:lineRule="auto"/>
        <w:ind w:left="40" w:right="71" w:firstLine="435"/>
        <w:rPr>
          <w:rFonts w:ascii="宋体" w:hAnsi="宋体" w:cs="宋体"/>
          <w:color w:val="auto"/>
          <w:sz w:val="24"/>
          <w:szCs w:val="24"/>
          <w:highlight w:val="none"/>
        </w:rPr>
      </w:pPr>
      <w:r>
        <w:rPr>
          <w:rFonts w:ascii="宋体" w:hAnsi="宋体" w:cs="宋体"/>
          <w:color w:val="auto"/>
          <w:spacing w:val="2"/>
          <w:sz w:val="24"/>
          <w:szCs w:val="24"/>
          <w:highlight w:val="none"/>
        </w:rPr>
        <w:t>2.1.1“合同”系指采购人和成交供应商签订</w:t>
      </w:r>
      <w:r>
        <w:rPr>
          <w:rFonts w:ascii="宋体" w:hAnsi="宋体" w:cs="宋体"/>
          <w:color w:val="auto"/>
          <w:spacing w:val="1"/>
          <w:sz w:val="24"/>
          <w:szCs w:val="24"/>
          <w:highlight w:val="none"/>
        </w:rPr>
        <w:t>的载明双方当事人所达成的协</w:t>
      </w:r>
      <w:r>
        <w:rPr>
          <w:rFonts w:ascii="宋体" w:hAnsi="宋体" w:cs="宋体"/>
          <w:color w:val="auto"/>
          <w:sz w:val="24"/>
          <w:szCs w:val="24"/>
          <w:highlight w:val="none"/>
        </w:rPr>
        <w:t xml:space="preserve"> </w:t>
      </w:r>
      <w:r>
        <w:rPr>
          <w:rFonts w:ascii="宋体" w:hAnsi="宋体" w:cs="宋体"/>
          <w:color w:val="auto"/>
          <w:spacing w:val="-2"/>
          <w:sz w:val="24"/>
          <w:szCs w:val="24"/>
          <w:highlight w:val="none"/>
        </w:rPr>
        <w:t>议，并包括所有的附件、附录和构成合同的其他文</w:t>
      </w:r>
      <w:r>
        <w:rPr>
          <w:rFonts w:ascii="宋体" w:hAnsi="宋体" w:cs="宋体"/>
          <w:color w:val="auto"/>
          <w:spacing w:val="-1"/>
          <w:sz w:val="24"/>
          <w:szCs w:val="24"/>
          <w:highlight w:val="none"/>
        </w:rPr>
        <w:t>件</w:t>
      </w:r>
      <w:r>
        <w:rPr>
          <w:rFonts w:ascii="宋体" w:hAnsi="宋体" w:cs="宋体"/>
          <w:color w:val="auto"/>
          <w:sz w:val="24"/>
          <w:szCs w:val="24"/>
          <w:highlight w:val="none"/>
        </w:rPr>
        <w:t>。</w:t>
      </w:r>
    </w:p>
    <w:p w14:paraId="3D7A3DEB">
      <w:pPr>
        <w:spacing w:line="360" w:lineRule="auto"/>
        <w:ind w:left="37" w:right="124" w:firstLine="438"/>
        <w:rPr>
          <w:rFonts w:ascii="宋体" w:hAnsi="宋体" w:cs="宋体"/>
          <w:color w:val="auto"/>
          <w:sz w:val="24"/>
          <w:szCs w:val="24"/>
          <w:highlight w:val="none"/>
        </w:rPr>
      </w:pPr>
      <w:r>
        <w:rPr>
          <w:rFonts w:ascii="宋体" w:hAnsi="宋体" w:cs="宋体"/>
          <w:color w:val="auto"/>
          <w:spacing w:val="1"/>
          <w:sz w:val="24"/>
          <w:szCs w:val="24"/>
          <w:highlight w:val="none"/>
        </w:rPr>
        <w:t>2.1.2</w:t>
      </w:r>
      <w:r>
        <w:rPr>
          <w:rFonts w:ascii="宋体" w:hAnsi="宋体" w:cs="宋体"/>
          <w:color w:val="auto"/>
          <w:sz w:val="24"/>
          <w:szCs w:val="24"/>
          <w:highlight w:val="none"/>
        </w:rPr>
        <w:t xml:space="preserve">“合同价”系指根据合同约定，成交供应商在完全履行合同义务后， </w:t>
      </w:r>
      <w:r>
        <w:rPr>
          <w:rFonts w:ascii="宋体" w:hAnsi="宋体" w:cs="宋体"/>
          <w:color w:val="auto"/>
          <w:spacing w:val="-4"/>
          <w:sz w:val="24"/>
          <w:szCs w:val="24"/>
          <w:highlight w:val="none"/>
        </w:rPr>
        <w:t>采购人应</w:t>
      </w:r>
      <w:r>
        <w:rPr>
          <w:rFonts w:ascii="宋体" w:hAnsi="宋体" w:cs="宋体"/>
          <w:color w:val="auto"/>
          <w:spacing w:val="-3"/>
          <w:sz w:val="24"/>
          <w:szCs w:val="24"/>
          <w:highlight w:val="none"/>
        </w:rPr>
        <w:t>支</w:t>
      </w:r>
      <w:r>
        <w:rPr>
          <w:rFonts w:ascii="宋体" w:hAnsi="宋体" w:cs="宋体"/>
          <w:color w:val="auto"/>
          <w:spacing w:val="-2"/>
          <w:sz w:val="24"/>
          <w:szCs w:val="24"/>
          <w:highlight w:val="none"/>
        </w:rPr>
        <w:t>付给成交供应商的价格。</w:t>
      </w:r>
    </w:p>
    <w:p w14:paraId="282125C3">
      <w:pPr>
        <w:spacing w:line="360" w:lineRule="auto"/>
        <w:ind w:left="37" w:right="69" w:firstLine="438"/>
        <w:rPr>
          <w:rFonts w:ascii="宋体" w:hAnsi="宋体" w:cs="宋体"/>
          <w:color w:val="auto"/>
          <w:sz w:val="24"/>
          <w:szCs w:val="24"/>
          <w:highlight w:val="none"/>
        </w:rPr>
      </w:pPr>
      <w:r>
        <w:rPr>
          <w:rFonts w:ascii="宋体" w:hAnsi="宋体" w:cs="宋体"/>
          <w:color w:val="auto"/>
          <w:spacing w:val="2"/>
          <w:sz w:val="24"/>
          <w:szCs w:val="24"/>
          <w:highlight w:val="none"/>
        </w:rPr>
        <w:t>2.1.3“服务”系指成交供应商根据合同约定应</w:t>
      </w:r>
      <w:r>
        <w:rPr>
          <w:rFonts w:ascii="宋体" w:hAnsi="宋体" w:cs="宋体"/>
          <w:color w:val="auto"/>
          <w:spacing w:val="1"/>
          <w:sz w:val="24"/>
          <w:szCs w:val="24"/>
          <w:highlight w:val="none"/>
        </w:rPr>
        <w:t>向采购人履行的除货物和工</w:t>
      </w:r>
      <w:r>
        <w:rPr>
          <w:rFonts w:ascii="宋体" w:hAnsi="宋体" w:cs="宋体"/>
          <w:color w:val="auto"/>
          <w:spacing w:val="-12"/>
          <w:sz w:val="24"/>
          <w:szCs w:val="24"/>
          <w:highlight w:val="none"/>
        </w:rPr>
        <w:t>程</w:t>
      </w:r>
      <w:r>
        <w:rPr>
          <w:rFonts w:ascii="宋体" w:hAnsi="宋体" w:cs="宋体"/>
          <w:color w:val="auto"/>
          <w:spacing w:val="-6"/>
          <w:sz w:val="24"/>
          <w:szCs w:val="24"/>
          <w:highlight w:val="none"/>
        </w:rPr>
        <w:t>以外的其他政府采购对象， 包括采购人自身需要的服务和向社会公众提供的公</w:t>
      </w:r>
      <w:r>
        <w:rPr>
          <w:rFonts w:ascii="宋体" w:hAnsi="宋体" w:cs="宋体"/>
          <w:color w:val="auto"/>
          <w:sz w:val="24"/>
          <w:szCs w:val="24"/>
          <w:highlight w:val="none"/>
        </w:rPr>
        <w:t xml:space="preserve"> </w:t>
      </w:r>
      <w:r>
        <w:rPr>
          <w:rFonts w:ascii="宋体" w:hAnsi="宋体" w:cs="宋体"/>
          <w:color w:val="auto"/>
          <w:spacing w:val="-9"/>
          <w:sz w:val="24"/>
          <w:szCs w:val="24"/>
          <w:highlight w:val="none"/>
        </w:rPr>
        <w:t>共</w:t>
      </w:r>
      <w:r>
        <w:rPr>
          <w:rFonts w:ascii="宋体" w:hAnsi="宋体" w:cs="宋体"/>
          <w:color w:val="auto"/>
          <w:spacing w:val="-8"/>
          <w:sz w:val="24"/>
          <w:szCs w:val="24"/>
          <w:highlight w:val="none"/>
        </w:rPr>
        <w:t>服务。</w:t>
      </w:r>
    </w:p>
    <w:p w14:paraId="61EA5291">
      <w:pPr>
        <w:spacing w:before="3" w:line="359" w:lineRule="auto"/>
        <w:ind w:left="37" w:right="79" w:firstLine="438"/>
        <w:rPr>
          <w:rFonts w:ascii="宋体" w:hAnsi="宋体" w:cs="宋体"/>
          <w:color w:val="auto"/>
          <w:sz w:val="24"/>
          <w:szCs w:val="24"/>
          <w:highlight w:val="none"/>
        </w:rPr>
      </w:pPr>
      <w:r>
        <w:rPr>
          <w:rFonts w:ascii="宋体" w:hAnsi="宋体" w:cs="宋体"/>
          <w:color w:val="auto"/>
          <w:spacing w:val="2"/>
          <w:sz w:val="24"/>
          <w:szCs w:val="24"/>
          <w:highlight w:val="none"/>
        </w:rPr>
        <w:t>2.1.4“甲方”系指与成交</w:t>
      </w:r>
      <w:r>
        <w:rPr>
          <w:rFonts w:ascii="宋体" w:hAnsi="宋体" w:cs="宋体"/>
          <w:color w:val="auto"/>
          <w:spacing w:val="1"/>
          <w:sz w:val="24"/>
          <w:szCs w:val="24"/>
          <w:highlight w:val="none"/>
        </w:rPr>
        <w:t>供应商签署合同的采购人；采购人委托采购代理</w:t>
      </w:r>
      <w:r>
        <w:rPr>
          <w:rFonts w:ascii="宋体" w:hAnsi="宋体" w:cs="宋体"/>
          <w:color w:val="auto"/>
          <w:sz w:val="24"/>
          <w:szCs w:val="24"/>
          <w:highlight w:val="none"/>
        </w:rPr>
        <w:t xml:space="preserve"> </w:t>
      </w:r>
      <w:r>
        <w:rPr>
          <w:rFonts w:ascii="宋体" w:hAnsi="宋体" w:cs="宋体"/>
          <w:color w:val="auto"/>
          <w:spacing w:val="-2"/>
          <w:sz w:val="24"/>
          <w:szCs w:val="24"/>
          <w:highlight w:val="none"/>
        </w:rPr>
        <w:t>机构代表其与乙方签订合同</w:t>
      </w:r>
      <w:r>
        <w:rPr>
          <w:rFonts w:ascii="宋体" w:hAnsi="宋体" w:cs="宋体"/>
          <w:color w:val="auto"/>
          <w:spacing w:val="-1"/>
          <w:sz w:val="24"/>
          <w:szCs w:val="24"/>
          <w:highlight w:val="none"/>
        </w:rPr>
        <w:t>的，采购人的授权委托书作为合同附件。</w:t>
      </w:r>
    </w:p>
    <w:p w14:paraId="75E77382">
      <w:pPr>
        <w:spacing w:line="360" w:lineRule="auto"/>
        <w:ind w:left="38" w:right="70" w:firstLine="437"/>
        <w:rPr>
          <w:rFonts w:ascii="宋体" w:hAnsi="宋体" w:cs="宋体"/>
          <w:color w:val="auto"/>
          <w:sz w:val="24"/>
          <w:szCs w:val="24"/>
          <w:highlight w:val="none"/>
        </w:rPr>
      </w:pPr>
      <w:r>
        <w:rPr>
          <w:rFonts w:ascii="宋体" w:hAnsi="宋体" w:cs="宋体"/>
          <w:color w:val="auto"/>
          <w:spacing w:val="2"/>
          <w:sz w:val="24"/>
          <w:szCs w:val="24"/>
          <w:highlight w:val="none"/>
        </w:rPr>
        <w:t>2.1.5“乙方”系指</w:t>
      </w:r>
      <w:r>
        <w:rPr>
          <w:rFonts w:ascii="宋体" w:hAnsi="宋体" w:cs="宋体"/>
          <w:color w:val="auto"/>
          <w:spacing w:val="1"/>
          <w:sz w:val="24"/>
          <w:szCs w:val="24"/>
          <w:highlight w:val="none"/>
        </w:rPr>
        <w:t>根据合同约定提供服务的成交供应商；两个以上的自然</w:t>
      </w:r>
      <w:r>
        <w:rPr>
          <w:rFonts w:ascii="宋体" w:hAnsi="宋体" w:cs="宋体"/>
          <w:color w:val="auto"/>
          <w:sz w:val="24"/>
          <w:szCs w:val="24"/>
          <w:highlight w:val="none"/>
        </w:rPr>
        <w:t xml:space="preserve"> </w:t>
      </w:r>
      <w:r>
        <w:rPr>
          <w:rFonts w:ascii="宋体" w:hAnsi="宋体" w:cs="宋体"/>
          <w:color w:val="auto"/>
          <w:spacing w:val="-12"/>
          <w:sz w:val="24"/>
          <w:szCs w:val="24"/>
          <w:highlight w:val="none"/>
        </w:rPr>
        <w:t>人</w:t>
      </w:r>
      <w:r>
        <w:rPr>
          <w:rFonts w:ascii="宋体" w:hAnsi="宋体" w:cs="宋体"/>
          <w:color w:val="auto"/>
          <w:spacing w:val="-8"/>
          <w:sz w:val="24"/>
          <w:szCs w:val="24"/>
          <w:highlight w:val="none"/>
        </w:rPr>
        <w:t>、</w:t>
      </w:r>
      <w:r>
        <w:rPr>
          <w:rFonts w:ascii="宋体" w:hAnsi="宋体" w:cs="宋体"/>
          <w:color w:val="auto"/>
          <w:spacing w:val="-6"/>
          <w:sz w:val="24"/>
          <w:szCs w:val="24"/>
          <w:highlight w:val="none"/>
        </w:rPr>
        <w:t>法人或者其他组织组成一个联合体， 以一个供应商的身份共同参加政府采购</w:t>
      </w:r>
      <w:r>
        <w:rPr>
          <w:rFonts w:ascii="宋体" w:hAnsi="宋体" w:cs="宋体"/>
          <w:color w:val="auto"/>
          <w:spacing w:val="-12"/>
          <w:sz w:val="24"/>
          <w:szCs w:val="24"/>
          <w:highlight w:val="none"/>
        </w:rPr>
        <w:t>的</w:t>
      </w:r>
      <w:r>
        <w:rPr>
          <w:rFonts w:ascii="宋体" w:hAnsi="宋体" w:cs="宋体"/>
          <w:color w:val="auto"/>
          <w:spacing w:val="-10"/>
          <w:sz w:val="24"/>
          <w:szCs w:val="24"/>
          <w:highlight w:val="none"/>
        </w:rPr>
        <w:t>，</w:t>
      </w:r>
      <w:r>
        <w:rPr>
          <w:rFonts w:ascii="宋体" w:hAnsi="宋体" w:cs="宋体"/>
          <w:color w:val="auto"/>
          <w:spacing w:val="-6"/>
          <w:sz w:val="24"/>
          <w:szCs w:val="24"/>
          <w:highlight w:val="none"/>
        </w:rPr>
        <w:t>联合体各方均应为乙方或者与乙方相同地位的合同当事人，并就合同约定的事</w:t>
      </w:r>
      <w:r>
        <w:rPr>
          <w:rFonts w:ascii="宋体" w:hAnsi="宋体" w:cs="宋体"/>
          <w:color w:val="auto"/>
          <w:spacing w:val="-5"/>
          <w:sz w:val="24"/>
          <w:szCs w:val="24"/>
          <w:highlight w:val="none"/>
        </w:rPr>
        <w:t>项</w:t>
      </w:r>
      <w:r>
        <w:rPr>
          <w:rFonts w:ascii="宋体" w:hAnsi="宋体" w:cs="宋体"/>
          <w:color w:val="auto"/>
          <w:spacing w:val="-3"/>
          <w:sz w:val="24"/>
          <w:szCs w:val="24"/>
          <w:highlight w:val="none"/>
        </w:rPr>
        <w:t>对甲方承担连带责任。</w:t>
      </w:r>
    </w:p>
    <w:p w14:paraId="4672C1FD">
      <w:pPr>
        <w:spacing w:before="2" w:line="238" w:lineRule="auto"/>
        <w:ind w:left="475"/>
        <w:rPr>
          <w:rFonts w:ascii="宋体" w:hAnsi="宋体" w:cs="宋体"/>
          <w:color w:val="auto"/>
          <w:sz w:val="24"/>
          <w:szCs w:val="24"/>
          <w:highlight w:val="none"/>
        </w:rPr>
      </w:pPr>
      <w:r>
        <w:rPr>
          <w:rFonts w:ascii="宋体" w:hAnsi="宋体" w:cs="宋体"/>
          <w:color w:val="auto"/>
          <w:spacing w:val="-2"/>
          <w:sz w:val="24"/>
          <w:szCs w:val="24"/>
          <w:highlight w:val="none"/>
        </w:rPr>
        <w:t>2.1.6“现场”系指合同约定</w:t>
      </w:r>
      <w:r>
        <w:rPr>
          <w:rFonts w:ascii="宋体" w:hAnsi="宋体" w:cs="宋体"/>
          <w:color w:val="auto"/>
          <w:spacing w:val="-1"/>
          <w:sz w:val="24"/>
          <w:szCs w:val="24"/>
          <w:highlight w:val="none"/>
        </w:rPr>
        <w:t>提供服务的地点。</w:t>
      </w:r>
    </w:p>
    <w:p w14:paraId="195F1C19">
      <w:pPr>
        <w:spacing w:before="156" w:line="220" w:lineRule="auto"/>
        <w:ind w:left="477"/>
        <w:outlineLvl w:val="0"/>
        <w:rPr>
          <w:rFonts w:ascii="宋体" w:hAnsi="宋体" w:cs="宋体"/>
          <w:color w:val="auto"/>
          <w:sz w:val="24"/>
          <w:szCs w:val="24"/>
          <w:highlight w:val="none"/>
        </w:rPr>
      </w:pPr>
      <w:r>
        <w:rPr>
          <w:rFonts w:ascii="宋体" w:hAnsi="宋体" w:cs="宋体"/>
          <w:color w:val="auto"/>
          <w:spacing w:val="-1"/>
          <w:sz w:val="24"/>
          <w:szCs w:val="24"/>
          <w:highlight w:val="none"/>
        </w:rPr>
        <w:t>2.2 技术</w:t>
      </w:r>
      <w:r>
        <w:rPr>
          <w:rFonts w:ascii="宋体" w:hAnsi="宋体" w:cs="宋体"/>
          <w:color w:val="auto"/>
          <w:sz w:val="24"/>
          <w:szCs w:val="24"/>
          <w:highlight w:val="none"/>
        </w:rPr>
        <w:t>规范</w:t>
      </w:r>
    </w:p>
    <w:p w14:paraId="366CE0FB">
      <w:pPr>
        <w:spacing w:before="183" w:line="360" w:lineRule="auto"/>
        <w:ind w:left="40" w:right="68" w:firstLine="438"/>
        <w:rPr>
          <w:rFonts w:ascii="宋体" w:hAnsi="宋体" w:cs="宋体"/>
          <w:color w:val="auto"/>
          <w:sz w:val="24"/>
          <w:szCs w:val="24"/>
          <w:highlight w:val="none"/>
        </w:rPr>
      </w:pPr>
      <w:r>
        <w:rPr>
          <w:rFonts w:ascii="宋体" w:hAnsi="宋体" w:cs="宋体"/>
          <w:color w:val="auto"/>
          <w:spacing w:val="2"/>
          <w:sz w:val="24"/>
          <w:szCs w:val="24"/>
          <w:highlight w:val="none"/>
        </w:rPr>
        <w:t>货物所应遵守的技术规范应与采购文件规定的技术规</w:t>
      </w:r>
      <w:r>
        <w:rPr>
          <w:rFonts w:ascii="宋体" w:hAnsi="宋体" w:cs="宋体"/>
          <w:color w:val="auto"/>
          <w:spacing w:val="1"/>
          <w:sz w:val="24"/>
          <w:szCs w:val="24"/>
          <w:highlight w:val="none"/>
        </w:rPr>
        <w:t>范和技术规范附件(如果有的话)及其技术规范偏差</w:t>
      </w:r>
      <w:r>
        <w:rPr>
          <w:rFonts w:ascii="宋体" w:hAnsi="宋体" w:cs="宋体"/>
          <w:color w:val="auto"/>
          <w:sz w:val="24"/>
          <w:szCs w:val="24"/>
          <w:highlight w:val="none"/>
        </w:rPr>
        <w:t>表(如果被甲方接受的话)相一致；如果采购文件中</w:t>
      </w:r>
      <w:r>
        <w:rPr>
          <w:rFonts w:ascii="宋体" w:hAnsi="宋体" w:cs="宋体"/>
          <w:color w:val="auto"/>
          <w:spacing w:val="-12"/>
          <w:sz w:val="24"/>
          <w:szCs w:val="24"/>
          <w:highlight w:val="none"/>
        </w:rPr>
        <w:t>没</w:t>
      </w:r>
      <w:r>
        <w:rPr>
          <w:rFonts w:ascii="宋体" w:hAnsi="宋体" w:cs="宋体"/>
          <w:color w:val="auto"/>
          <w:spacing w:val="-8"/>
          <w:sz w:val="24"/>
          <w:szCs w:val="24"/>
          <w:highlight w:val="none"/>
        </w:rPr>
        <w:t>有</w:t>
      </w:r>
      <w:r>
        <w:rPr>
          <w:rFonts w:ascii="宋体" w:hAnsi="宋体" w:cs="宋体"/>
          <w:color w:val="auto"/>
          <w:spacing w:val="-6"/>
          <w:sz w:val="24"/>
          <w:szCs w:val="24"/>
          <w:highlight w:val="none"/>
        </w:rPr>
        <w:t>技术规范的相应说明，那么应以国家有关部门最新颁布的相应标准和规范为</w:t>
      </w:r>
      <w:r>
        <w:rPr>
          <w:rFonts w:ascii="宋体" w:hAnsi="宋体" w:cs="宋体"/>
          <w:color w:val="auto"/>
          <w:spacing w:val="-13"/>
          <w:sz w:val="24"/>
          <w:szCs w:val="24"/>
          <w:highlight w:val="none"/>
        </w:rPr>
        <w:t>准</w:t>
      </w:r>
      <w:r>
        <w:rPr>
          <w:rFonts w:ascii="宋体" w:hAnsi="宋体" w:cs="宋体"/>
          <w:color w:val="auto"/>
          <w:spacing w:val="-11"/>
          <w:sz w:val="24"/>
          <w:szCs w:val="24"/>
          <w:highlight w:val="none"/>
        </w:rPr>
        <w:t>。</w:t>
      </w:r>
    </w:p>
    <w:p w14:paraId="321FE9D3">
      <w:pPr>
        <w:spacing w:before="1" w:line="219" w:lineRule="auto"/>
        <w:ind w:left="477"/>
        <w:outlineLvl w:val="0"/>
        <w:rPr>
          <w:rFonts w:ascii="宋体" w:hAnsi="宋体" w:cs="宋体"/>
          <w:color w:val="auto"/>
          <w:sz w:val="24"/>
          <w:szCs w:val="24"/>
          <w:highlight w:val="none"/>
        </w:rPr>
      </w:pPr>
      <w:r>
        <w:rPr>
          <w:rFonts w:ascii="宋体" w:hAnsi="宋体" w:cs="宋体"/>
          <w:color w:val="auto"/>
          <w:spacing w:val="-1"/>
          <w:sz w:val="24"/>
          <w:szCs w:val="24"/>
          <w:highlight w:val="none"/>
        </w:rPr>
        <w:t>2.3 知识</w:t>
      </w:r>
      <w:r>
        <w:rPr>
          <w:rFonts w:ascii="宋体" w:hAnsi="宋体" w:cs="宋体"/>
          <w:color w:val="auto"/>
          <w:sz w:val="24"/>
          <w:szCs w:val="24"/>
          <w:highlight w:val="none"/>
        </w:rPr>
        <w:t>产权</w:t>
      </w:r>
    </w:p>
    <w:p w14:paraId="25554E3F">
      <w:pPr>
        <w:spacing w:before="183" w:line="360" w:lineRule="auto"/>
        <w:ind w:left="37" w:right="68" w:firstLine="438"/>
        <w:rPr>
          <w:rFonts w:ascii="宋体" w:hAnsi="宋体" w:cs="宋体"/>
          <w:color w:val="auto"/>
          <w:sz w:val="24"/>
          <w:szCs w:val="24"/>
          <w:highlight w:val="none"/>
        </w:rPr>
      </w:pPr>
      <w:r>
        <w:rPr>
          <w:rFonts w:ascii="宋体" w:hAnsi="宋体" w:cs="宋体"/>
          <w:color w:val="auto"/>
          <w:spacing w:val="-2"/>
          <w:sz w:val="24"/>
          <w:szCs w:val="24"/>
          <w:highlight w:val="none"/>
        </w:rPr>
        <w:t>2.3.1 乙方应保证其提供的服务不受任何第三方</w:t>
      </w:r>
      <w:r>
        <w:rPr>
          <w:rFonts w:ascii="宋体" w:hAnsi="宋体" w:cs="宋体"/>
          <w:color w:val="auto"/>
          <w:spacing w:val="-1"/>
          <w:sz w:val="24"/>
          <w:szCs w:val="24"/>
          <w:highlight w:val="none"/>
        </w:rPr>
        <w:t>提出的侵犯其著作权、商标</w:t>
      </w:r>
      <w:r>
        <w:rPr>
          <w:rFonts w:ascii="宋体" w:hAnsi="宋体" w:cs="宋体"/>
          <w:color w:val="auto"/>
          <w:sz w:val="24"/>
          <w:szCs w:val="24"/>
          <w:highlight w:val="none"/>
        </w:rPr>
        <w:t xml:space="preserve"> </w:t>
      </w:r>
      <w:r>
        <w:rPr>
          <w:rFonts w:ascii="宋体" w:hAnsi="宋体" w:cs="宋体"/>
          <w:color w:val="auto"/>
          <w:spacing w:val="-3"/>
          <w:sz w:val="24"/>
          <w:szCs w:val="24"/>
          <w:highlight w:val="none"/>
        </w:rPr>
        <w:t>权、专利权等知识产权方面的起诉；如果任何第三方提出侵权指控，那么乙方</w:t>
      </w:r>
      <w:r>
        <w:rPr>
          <w:rFonts w:ascii="宋体" w:hAnsi="宋体" w:cs="宋体"/>
          <w:color w:val="auto"/>
          <w:sz w:val="24"/>
          <w:szCs w:val="24"/>
          <w:highlight w:val="none"/>
        </w:rPr>
        <w:t>须</w:t>
      </w:r>
      <w:r>
        <w:rPr>
          <w:rFonts w:ascii="宋体" w:hAnsi="宋体" w:cs="宋体"/>
          <w:color w:val="auto"/>
          <w:spacing w:val="-1"/>
          <w:sz w:val="24"/>
          <w:szCs w:val="24"/>
          <w:highlight w:val="none"/>
        </w:rPr>
        <w:t>与该第三方交涉并承</w:t>
      </w:r>
      <w:r>
        <w:rPr>
          <w:rFonts w:ascii="宋体" w:hAnsi="宋体" w:cs="宋体"/>
          <w:color w:val="auto"/>
          <w:sz w:val="24"/>
          <w:szCs w:val="24"/>
          <w:highlight w:val="none"/>
        </w:rPr>
        <w:t>担由此发生的一切责任、费用和赔偿；</w:t>
      </w:r>
    </w:p>
    <w:p w14:paraId="0D351DEF">
      <w:pPr>
        <w:spacing w:before="1" w:line="345" w:lineRule="auto"/>
        <w:ind w:left="27" w:firstLine="447"/>
        <w:rPr>
          <w:rFonts w:ascii="宋体" w:hAnsi="宋体" w:cs="宋体"/>
          <w:color w:val="auto"/>
          <w:spacing w:val="-3"/>
          <w:sz w:val="24"/>
          <w:szCs w:val="24"/>
          <w:highlight w:val="none"/>
        </w:rPr>
      </w:pPr>
      <w:r>
        <w:rPr>
          <w:rFonts w:ascii="宋体" w:hAnsi="宋体" w:cs="宋体"/>
          <w:color w:val="auto"/>
          <w:spacing w:val="-8"/>
          <w:sz w:val="24"/>
          <w:szCs w:val="24"/>
          <w:highlight w:val="none"/>
        </w:rPr>
        <w:t>2.3</w:t>
      </w:r>
      <w:r>
        <w:rPr>
          <w:rFonts w:ascii="宋体" w:hAnsi="宋体" w:cs="宋体"/>
          <w:color w:val="auto"/>
          <w:spacing w:val="-5"/>
          <w:sz w:val="24"/>
          <w:szCs w:val="24"/>
          <w:highlight w:val="none"/>
        </w:rPr>
        <w:t>.</w:t>
      </w:r>
      <w:r>
        <w:rPr>
          <w:rFonts w:ascii="宋体" w:hAnsi="宋体" w:cs="宋体"/>
          <w:color w:val="auto"/>
          <w:spacing w:val="-4"/>
          <w:sz w:val="24"/>
          <w:szCs w:val="24"/>
          <w:highlight w:val="none"/>
        </w:rPr>
        <w:t xml:space="preserve">2 具有知识产权的计算机软件等货物的知识产权归属， </w:t>
      </w:r>
      <w:r>
        <w:rPr>
          <w:rFonts w:ascii="宋体" w:hAnsi="宋体" w:cs="宋体"/>
          <w:color w:val="auto"/>
          <w:spacing w:val="-3"/>
          <w:sz w:val="24"/>
          <w:szCs w:val="24"/>
          <w:highlight w:val="none"/>
        </w:rPr>
        <w:t>详见</w:t>
      </w:r>
      <w:r>
        <w:rPr>
          <w:rFonts w:ascii="宋体" w:hAnsi="宋体" w:cs="宋体"/>
          <w:color w:val="auto"/>
          <w:spacing w:val="-3"/>
          <w:sz w:val="24"/>
          <w:szCs w:val="24"/>
          <w:highlight w:val="none"/>
          <w:u w:val="single"/>
        </w:rPr>
        <w:t>合同专用条 款</w:t>
      </w:r>
      <w:r>
        <w:rPr>
          <w:rFonts w:ascii="宋体" w:hAnsi="宋体" w:cs="宋体"/>
          <w:color w:val="auto"/>
          <w:spacing w:val="-3"/>
          <w:sz w:val="24"/>
          <w:szCs w:val="24"/>
          <w:highlight w:val="none"/>
        </w:rPr>
        <w:t>。</w:t>
      </w:r>
    </w:p>
    <w:p w14:paraId="7AB02E0F">
      <w:pPr>
        <w:spacing w:before="1" w:line="218" w:lineRule="auto"/>
        <w:ind w:left="477"/>
        <w:outlineLvl w:val="0"/>
        <w:rPr>
          <w:rFonts w:ascii="宋体" w:hAnsi="宋体" w:cs="宋体"/>
          <w:color w:val="auto"/>
          <w:sz w:val="24"/>
          <w:szCs w:val="24"/>
          <w:highlight w:val="none"/>
        </w:rPr>
      </w:pPr>
      <w:r>
        <w:rPr>
          <w:rFonts w:ascii="宋体" w:hAnsi="宋体" w:cs="宋体"/>
          <w:color w:val="auto"/>
          <w:spacing w:val="-1"/>
          <w:sz w:val="24"/>
          <w:szCs w:val="24"/>
          <w:highlight w:val="none"/>
        </w:rPr>
        <w:t>2</w:t>
      </w:r>
      <w:r>
        <w:rPr>
          <w:rFonts w:ascii="宋体" w:hAnsi="宋体" w:cs="宋体"/>
          <w:color w:val="auto"/>
          <w:sz w:val="24"/>
          <w:szCs w:val="24"/>
          <w:highlight w:val="none"/>
        </w:rPr>
        <w:t>.4 履约检查和问题反馈</w:t>
      </w:r>
    </w:p>
    <w:p w14:paraId="29755D1C">
      <w:pPr>
        <w:rPr>
          <w:color w:val="auto"/>
          <w:highlight w:val="none"/>
        </w:rPr>
        <w:sectPr>
          <w:headerReference r:id="rId6" w:type="default"/>
          <w:footerReference r:id="rId7" w:type="default"/>
          <w:pgSz w:w="11907" w:h="16839"/>
          <w:pgMar w:top="1118" w:right="1729" w:bottom="1233" w:left="1771" w:header="877" w:footer="982" w:gutter="0"/>
          <w:pgNumType w:fmt="decimal"/>
          <w:cols w:space="720" w:num="1"/>
        </w:sectPr>
      </w:pPr>
    </w:p>
    <w:p w14:paraId="15B9DD3C">
      <w:pPr>
        <w:spacing w:line="354" w:lineRule="auto"/>
        <w:rPr>
          <w:color w:val="auto"/>
          <w:highlight w:val="none"/>
        </w:rPr>
      </w:pPr>
    </w:p>
    <w:p w14:paraId="2035E4AD">
      <w:pPr>
        <w:spacing w:before="78" w:line="360" w:lineRule="auto"/>
        <w:ind w:left="41" w:right="67" w:firstLine="433"/>
        <w:rPr>
          <w:rFonts w:ascii="宋体" w:hAnsi="宋体" w:cs="宋体"/>
          <w:color w:val="auto"/>
          <w:sz w:val="24"/>
          <w:szCs w:val="24"/>
          <w:highlight w:val="none"/>
        </w:rPr>
      </w:pPr>
      <w:r>
        <w:rPr>
          <w:rFonts w:ascii="宋体" w:hAnsi="宋体" w:cs="宋体"/>
          <w:color w:val="auto"/>
          <w:spacing w:val="-2"/>
          <w:sz w:val="24"/>
          <w:szCs w:val="24"/>
          <w:highlight w:val="none"/>
        </w:rPr>
        <w:t>2.4.1 甲方有权在其认为必要时，对乙方是否能够按照合同约定提供服</w:t>
      </w:r>
      <w:r>
        <w:rPr>
          <w:rFonts w:ascii="宋体" w:hAnsi="宋体" w:cs="宋体"/>
          <w:color w:val="auto"/>
          <w:spacing w:val="-1"/>
          <w:sz w:val="24"/>
          <w:szCs w:val="24"/>
          <w:highlight w:val="none"/>
        </w:rPr>
        <w:t>务</w:t>
      </w:r>
      <w:r>
        <w:rPr>
          <w:rFonts w:ascii="宋体" w:hAnsi="宋体" w:cs="宋体"/>
          <w:color w:val="auto"/>
          <w:sz w:val="24"/>
          <w:szCs w:val="24"/>
          <w:highlight w:val="none"/>
        </w:rPr>
        <w:t xml:space="preserve">进 </w:t>
      </w:r>
      <w:r>
        <w:rPr>
          <w:rFonts w:ascii="宋体" w:hAnsi="宋体" w:cs="宋体"/>
          <w:color w:val="auto"/>
          <w:spacing w:val="-18"/>
          <w:sz w:val="24"/>
          <w:szCs w:val="24"/>
          <w:highlight w:val="none"/>
        </w:rPr>
        <w:t>行</w:t>
      </w:r>
      <w:r>
        <w:rPr>
          <w:rFonts w:ascii="宋体" w:hAnsi="宋体" w:cs="宋体"/>
          <w:color w:val="auto"/>
          <w:spacing w:val="-17"/>
          <w:sz w:val="24"/>
          <w:szCs w:val="24"/>
          <w:highlight w:val="none"/>
        </w:rPr>
        <w:t>履</w:t>
      </w:r>
      <w:r>
        <w:rPr>
          <w:rFonts w:ascii="宋体" w:hAnsi="宋体" w:cs="宋体"/>
          <w:color w:val="auto"/>
          <w:spacing w:val="-9"/>
          <w:sz w:val="24"/>
          <w:szCs w:val="24"/>
          <w:highlight w:val="none"/>
        </w:rPr>
        <w:t>约检查， 以确保乙方所提供的服务能够依约满足甲方项目需求，但不得因履</w:t>
      </w:r>
      <w:r>
        <w:rPr>
          <w:rFonts w:ascii="宋体" w:hAnsi="宋体" w:cs="宋体"/>
          <w:color w:val="auto"/>
          <w:spacing w:val="-4"/>
          <w:sz w:val="24"/>
          <w:szCs w:val="24"/>
          <w:highlight w:val="none"/>
        </w:rPr>
        <w:t>约</w:t>
      </w:r>
      <w:r>
        <w:rPr>
          <w:rFonts w:ascii="宋体" w:hAnsi="宋体" w:cs="宋体"/>
          <w:color w:val="auto"/>
          <w:spacing w:val="-3"/>
          <w:sz w:val="24"/>
          <w:szCs w:val="24"/>
          <w:highlight w:val="none"/>
        </w:rPr>
        <w:t>检查妨碍乙方的正常工作，乙方应予积极配合；</w:t>
      </w:r>
    </w:p>
    <w:p w14:paraId="1B00C1F5">
      <w:pPr>
        <w:spacing w:before="2" w:line="359" w:lineRule="auto"/>
        <w:ind w:left="53" w:right="65" w:firstLine="422"/>
        <w:rPr>
          <w:rFonts w:ascii="宋体" w:hAnsi="宋体" w:cs="宋体"/>
          <w:color w:val="auto"/>
          <w:sz w:val="24"/>
          <w:szCs w:val="24"/>
          <w:highlight w:val="none"/>
        </w:rPr>
      </w:pPr>
      <w:r>
        <w:rPr>
          <w:rFonts w:ascii="宋体" w:hAnsi="宋体" w:cs="宋体"/>
          <w:color w:val="auto"/>
          <w:spacing w:val="-2"/>
          <w:sz w:val="24"/>
          <w:szCs w:val="24"/>
          <w:highlight w:val="none"/>
        </w:rPr>
        <w:t>2.4.2 合同履行期间，甲方有权将履行过程中出现</w:t>
      </w:r>
      <w:r>
        <w:rPr>
          <w:rFonts w:ascii="宋体" w:hAnsi="宋体" w:cs="宋体"/>
          <w:color w:val="auto"/>
          <w:spacing w:val="-1"/>
          <w:sz w:val="24"/>
          <w:szCs w:val="24"/>
          <w:highlight w:val="none"/>
        </w:rPr>
        <w:t>的问题反馈给乙方，双方</w:t>
      </w:r>
      <w:r>
        <w:rPr>
          <w:rFonts w:ascii="宋体" w:hAnsi="宋体" w:cs="宋体"/>
          <w:color w:val="auto"/>
          <w:sz w:val="24"/>
          <w:szCs w:val="24"/>
          <w:highlight w:val="none"/>
        </w:rPr>
        <w:t xml:space="preserve"> </w:t>
      </w:r>
      <w:r>
        <w:rPr>
          <w:rFonts w:ascii="宋体" w:hAnsi="宋体" w:cs="宋体"/>
          <w:color w:val="auto"/>
          <w:spacing w:val="-4"/>
          <w:sz w:val="24"/>
          <w:szCs w:val="24"/>
          <w:highlight w:val="none"/>
        </w:rPr>
        <w:t>当事人应以书</w:t>
      </w:r>
      <w:r>
        <w:rPr>
          <w:rFonts w:ascii="宋体" w:hAnsi="宋体" w:cs="宋体"/>
          <w:color w:val="auto"/>
          <w:spacing w:val="-3"/>
          <w:sz w:val="24"/>
          <w:szCs w:val="24"/>
          <w:highlight w:val="none"/>
        </w:rPr>
        <w:t>面</w:t>
      </w:r>
      <w:r>
        <w:rPr>
          <w:rFonts w:ascii="宋体" w:hAnsi="宋体" w:cs="宋体"/>
          <w:color w:val="auto"/>
          <w:spacing w:val="-2"/>
          <w:sz w:val="24"/>
          <w:szCs w:val="24"/>
          <w:highlight w:val="none"/>
        </w:rPr>
        <w:t>形式约定需要完善和改进的内容。</w:t>
      </w:r>
    </w:p>
    <w:p w14:paraId="01A9ABC7">
      <w:pPr>
        <w:spacing w:before="2" w:line="283" w:lineRule="auto"/>
        <w:ind w:left="475" w:right="5345" w:firstLine="2"/>
        <w:rPr>
          <w:rFonts w:ascii="宋体" w:hAnsi="宋体" w:cs="宋体"/>
          <w:color w:val="auto"/>
          <w:sz w:val="24"/>
          <w:szCs w:val="24"/>
          <w:highlight w:val="none"/>
        </w:rPr>
      </w:pPr>
      <w:r>
        <w:rPr>
          <w:rFonts w:ascii="宋体" w:hAnsi="宋体" w:cs="宋体"/>
          <w:color w:val="auto"/>
          <w:spacing w:val="-5"/>
          <w:sz w:val="24"/>
          <w:szCs w:val="24"/>
          <w:highlight w:val="none"/>
        </w:rPr>
        <w:t>2.5 结算方式和付款条</w:t>
      </w:r>
      <w:r>
        <w:rPr>
          <w:rFonts w:ascii="宋体" w:hAnsi="宋体" w:cs="宋体"/>
          <w:color w:val="auto"/>
          <w:spacing w:val="-4"/>
          <w:sz w:val="24"/>
          <w:szCs w:val="24"/>
          <w:highlight w:val="none"/>
        </w:rPr>
        <w:t>件</w:t>
      </w:r>
      <w:r>
        <w:rPr>
          <w:rFonts w:ascii="宋体" w:hAnsi="宋体" w:cs="宋体"/>
          <w:color w:val="auto"/>
          <w:sz w:val="24"/>
          <w:szCs w:val="24"/>
          <w:highlight w:val="none"/>
        </w:rPr>
        <w:t xml:space="preserve"> 详见</w:t>
      </w:r>
      <w:r>
        <w:rPr>
          <w:rFonts w:ascii="宋体" w:hAnsi="宋体" w:cs="宋体"/>
          <w:color w:val="auto"/>
          <w:spacing w:val="-2"/>
          <w:sz w:val="24"/>
          <w:szCs w:val="24"/>
          <w:highlight w:val="none"/>
          <w:u w:val="single"/>
        </w:rPr>
        <w:t>合同专用条款</w:t>
      </w:r>
      <w:r>
        <w:rPr>
          <w:rFonts w:ascii="宋体" w:hAnsi="宋体" w:cs="宋体"/>
          <w:color w:val="auto"/>
          <w:spacing w:val="-2"/>
          <w:sz w:val="24"/>
          <w:szCs w:val="24"/>
          <w:highlight w:val="none"/>
        </w:rPr>
        <w:t>。</w:t>
      </w:r>
    </w:p>
    <w:p w14:paraId="7ADC8D40">
      <w:pPr>
        <w:spacing w:before="182" w:line="218" w:lineRule="auto"/>
        <w:ind w:left="477"/>
        <w:rPr>
          <w:rFonts w:ascii="宋体" w:hAnsi="宋体" w:cs="宋体"/>
          <w:color w:val="auto"/>
          <w:sz w:val="24"/>
          <w:szCs w:val="24"/>
          <w:highlight w:val="none"/>
        </w:rPr>
      </w:pPr>
      <w:r>
        <w:rPr>
          <w:rFonts w:ascii="宋体" w:hAnsi="宋体" w:cs="宋体"/>
          <w:color w:val="auto"/>
          <w:spacing w:val="-5"/>
          <w:sz w:val="24"/>
          <w:szCs w:val="24"/>
          <w:highlight w:val="none"/>
        </w:rPr>
        <w:t>2.6 技术资料和保密义</w:t>
      </w:r>
      <w:r>
        <w:rPr>
          <w:rFonts w:ascii="宋体" w:hAnsi="宋体" w:cs="宋体"/>
          <w:color w:val="auto"/>
          <w:spacing w:val="-4"/>
          <w:sz w:val="24"/>
          <w:szCs w:val="24"/>
          <w:highlight w:val="none"/>
        </w:rPr>
        <w:t>务</w:t>
      </w:r>
    </w:p>
    <w:p w14:paraId="18D493DC">
      <w:pPr>
        <w:spacing w:before="185" w:line="360" w:lineRule="auto"/>
        <w:ind w:left="48" w:right="65" w:firstLine="426"/>
        <w:rPr>
          <w:rFonts w:ascii="宋体" w:hAnsi="宋体" w:cs="宋体"/>
          <w:color w:val="auto"/>
          <w:sz w:val="24"/>
          <w:szCs w:val="24"/>
          <w:highlight w:val="none"/>
        </w:rPr>
      </w:pPr>
      <w:r>
        <w:rPr>
          <w:rFonts w:ascii="宋体" w:hAnsi="宋体" w:cs="宋体"/>
          <w:color w:val="auto"/>
          <w:spacing w:val="-2"/>
          <w:sz w:val="24"/>
          <w:szCs w:val="24"/>
          <w:highlight w:val="none"/>
        </w:rPr>
        <w:t>2.6.1 乙方有权依据合同约定和项目需要，向甲方</w:t>
      </w:r>
      <w:r>
        <w:rPr>
          <w:rFonts w:ascii="宋体" w:hAnsi="宋体" w:cs="宋体"/>
          <w:color w:val="auto"/>
          <w:spacing w:val="-1"/>
          <w:sz w:val="24"/>
          <w:szCs w:val="24"/>
          <w:highlight w:val="none"/>
        </w:rPr>
        <w:t>了解有关情况，调阅有关</w:t>
      </w:r>
      <w:r>
        <w:rPr>
          <w:rFonts w:ascii="宋体" w:hAnsi="宋体" w:cs="宋体"/>
          <w:color w:val="auto"/>
          <w:sz w:val="24"/>
          <w:szCs w:val="24"/>
          <w:highlight w:val="none"/>
        </w:rPr>
        <w:t xml:space="preserve"> </w:t>
      </w:r>
      <w:r>
        <w:rPr>
          <w:rFonts w:ascii="宋体" w:hAnsi="宋体" w:cs="宋体"/>
          <w:color w:val="auto"/>
          <w:spacing w:val="-10"/>
          <w:sz w:val="24"/>
          <w:szCs w:val="24"/>
          <w:highlight w:val="none"/>
        </w:rPr>
        <w:t>资</w:t>
      </w:r>
      <w:r>
        <w:rPr>
          <w:rFonts w:ascii="宋体" w:hAnsi="宋体" w:cs="宋体"/>
          <w:color w:val="auto"/>
          <w:spacing w:val="-6"/>
          <w:sz w:val="24"/>
          <w:szCs w:val="24"/>
          <w:highlight w:val="none"/>
        </w:rPr>
        <w:t>料</w:t>
      </w:r>
      <w:r>
        <w:rPr>
          <w:rFonts w:ascii="宋体" w:hAnsi="宋体" w:cs="宋体"/>
          <w:color w:val="auto"/>
          <w:spacing w:val="-5"/>
          <w:sz w:val="24"/>
          <w:szCs w:val="24"/>
          <w:highlight w:val="none"/>
        </w:rPr>
        <w:t>等，甲方应予积极配合；</w:t>
      </w:r>
    </w:p>
    <w:p w14:paraId="7BA2E7EC">
      <w:pPr>
        <w:spacing w:line="218" w:lineRule="auto"/>
        <w:ind w:left="475"/>
        <w:rPr>
          <w:rFonts w:ascii="宋体" w:hAnsi="宋体" w:cs="宋体"/>
          <w:color w:val="auto"/>
          <w:sz w:val="24"/>
          <w:szCs w:val="24"/>
          <w:highlight w:val="none"/>
        </w:rPr>
      </w:pPr>
      <w:r>
        <w:rPr>
          <w:rFonts w:ascii="宋体" w:hAnsi="宋体" w:cs="宋体"/>
          <w:color w:val="auto"/>
          <w:spacing w:val="-6"/>
          <w:sz w:val="24"/>
          <w:szCs w:val="24"/>
          <w:highlight w:val="none"/>
        </w:rPr>
        <w:t>2.6.2 乙方有</w:t>
      </w:r>
      <w:r>
        <w:rPr>
          <w:rFonts w:ascii="宋体" w:hAnsi="宋体" w:cs="宋体"/>
          <w:color w:val="auto"/>
          <w:spacing w:val="-3"/>
          <w:sz w:val="24"/>
          <w:szCs w:val="24"/>
          <w:highlight w:val="none"/>
        </w:rPr>
        <w:t>义务妥善保管和保护由甲方提供的前款信息和资料等；</w:t>
      </w:r>
    </w:p>
    <w:p w14:paraId="419035BF">
      <w:pPr>
        <w:spacing w:before="185" w:line="360" w:lineRule="auto"/>
        <w:ind w:left="38" w:right="62" w:firstLine="437"/>
        <w:rPr>
          <w:rFonts w:ascii="宋体" w:hAnsi="宋体" w:cs="宋体"/>
          <w:color w:val="auto"/>
          <w:sz w:val="24"/>
          <w:szCs w:val="24"/>
          <w:highlight w:val="none"/>
        </w:rPr>
      </w:pPr>
      <w:r>
        <w:rPr>
          <w:rFonts w:ascii="宋体" w:hAnsi="宋体" w:cs="宋体"/>
          <w:color w:val="auto"/>
          <w:spacing w:val="-2"/>
          <w:sz w:val="24"/>
          <w:szCs w:val="24"/>
          <w:highlight w:val="none"/>
        </w:rPr>
        <w:t>2.6.3 除非依照法律规定或者对方当事人的书面同</w:t>
      </w:r>
      <w:r>
        <w:rPr>
          <w:rFonts w:ascii="宋体" w:hAnsi="宋体" w:cs="宋体"/>
          <w:color w:val="auto"/>
          <w:spacing w:val="-1"/>
          <w:sz w:val="24"/>
          <w:szCs w:val="24"/>
          <w:highlight w:val="none"/>
        </w:rPr>
        <w:t>意，任何一方均应保证不</w:t>
      </w:r>
      <w:r>
        <w:rPr>
          <w:rFonts w:ascii="宋体" w:hAnsi="宋体" w:cs="宋体"/>
          <w:color w:val="auto"/>
          <w:sz w:val="24"/>
          <w:szCs w:val="24"/>
          <w:highlight w:val="none"/>
        </w:rPr>
        <w:t xml:space="preserve"> </w:t>
      </w:r>
      <w:r>
        <w:rPr>
          <w:rFonts w:ascii="宋体" w:hAnsi="宋体" w:cs="宋体"/>
          <w:color w:val="auto"/>
          <w:spacing w:val="7"/>
          <w:sz w:val="24"/>
          <w:szCs w:val="24"/>
          <w:highlight w:val="none"/>
        </w:rPr>
        <w:t>向</w:t>
      </w:r>
      <w:r>
        <w:rPr>
          <w:rFonts w:ascii="宋体" w:hAnsi="宋体" w:cs="宋体"/>
          <w:color w:val="auto"/>
          <w:spacing w:val="4"/>
          <w:sz w:val="24"/>
          <w:szCs w:val="24"/>
          <w:highlight w:val="none"/>
        </w:rPr>
        <w:t>任何第三方提供或披露有关合同的或者履行合同过程中知悉的对方当事人任</w:t>
      </w:r>
      <w:r>
        <w:rPr>
          <w:rFonts w:ascii="宋体" w:hAnsi="宋体" w:cs="宋体"/>
          <w:color w:val="auto"/>
          <w:spacing w:val="-12"/>
          <w:sz w:val="24"/>
          <w:szCs w:val="24"/>
          <w:highlight w:val="none"/>
        </w:rPr>
        <w:t>何</w:t>
      </w:r>
      <w:r>
        <w:rPr>
          <w:rFonts w:ascii="宋体" w:hAnsi="宋体" w:cs="宋体"/>
          <w:color w:val="auto"/>
          <w:spacing w:val="-7"/>
          <w:sz w:val="24"/>
          <w:szCs w:val="24"/>
          <w:highlight w:val="none"/>
        </w:rPr>
        <w:t>未</w:t>
      </w:r>
      <w:r>
        <w:rPr>
          <w:rFonts w:ascii="宋体" w:hAnsi="宋体" w:cs="宋体"/>
          <w:color w:val="auto"/>
          <w:spacing w:val="-6"/>
          <w:sz w:val="24"/>
          <w:szCs w:val="24"/>
          <w:highlight w:val="none"/>
        </w:rPr>
        <w:t>公开的信息和资料， 包括但不限于技术情报、技术资料、商业秘密和商业信</w:t>
      </w:r>
      <w:r>
        <w:rPr>
          <w:rFonts w:ascii="宋体" w:hAnsi="宋体" w:cs="宋体"/>
          <w:color w:val="auto"/>
          <w:sz w:val="24"/>
          <w:szCs w:val="24"/>
          <w:highlight w:val="none"/>
        </w:rPr>
        <w:t xml:space="preserve"> </w:t>
      </w:r>
      <w:r>
        <w:rPr>
          <w:rFonts w:ascii="宋体" w:hAnsi="宋体" w:cs="宋体"/>
          <w:color w:val="auto"/>
          <w:spacing w:val="-3"/>
          <w:sz w:val="24"/>
          <w:szCs w:val="24"/>
          <w:highlight w:val="none"/>
        </w:rPr>
        <w:t>息等，并采取一切合理和必要措施和方式防止任何第三方接触到对方当事人的</w:t>
      </w:r>
      <w:r>
        <w:rPr>
          <w:rFonts w:ascii="宋体" w:hAnsi="宋体" w:cs="宋体"/>
          <w:color w:val="auto"/>
          <w:spacing w:val="-1"/>
          <w:sz w:val="24"/>
          <w:szCs w:val="24"/>
          <w:highlight w:val="none"/>
        </w:rPr>
        <w:t>上</w:t>
      </w:r>
      <w:r>
        <w:rPr>
          <w:rFonts w:ascii="宋体" w:hAnsi="宋体" w:cs="宋体"/>
          <w:color w:val="auto"/>
          <w:sz w:val="24"/>
          <w:szCs w:val="24"/>
          <w:highlight w:val="none"/>
        </w:rPr>
        <w:t xml:space="preserve"> </w:t>
      </w:r>
      <w:r>
        <w:rPr>
          <w:rFonts w:ascii="宋体" w:hAnsi="宋体" w:cs="宋体"/>
          <w:color w:val="auto"/>
          <w:spacing w:val="-8"/>
          <w:sz w:val="24"/>
          <w:szCs w:val="24"/>
          <w:highlight w:val="none"/>
        </w:rPr>
        <w:t>述</w:t>
      </w:r>
      <w:r>
        <w:rPr>
          <w:rFonts w:ascii="宋体" w:hAnsi="宋体" w:cs="宋体"/>
          <w:color w:val="auto"/>
          <w:spacing w:val="-4"/>
          <w:sz w:val="24"/>
          <w:szCs w:val="24"/>
          <w:highlight w:val="none"/>
        </w:rPr>
        <w:t>保密信息和资料。</w:t>
      </w:r>
    </w:p>
    <w:p w14:paraId="64F408DA">
      <w:pPr>
        <w:spacing w:line="220" w:lineRule="auto"/>
        <w:ind w:left="477"/>
        <w:outlineLvl w:val="0"/>
        <w:rPr>
          <w:rFonts w:ascii="宋体" w:hAnsi="宋体" w:cs="宋体"/>
          <w:color w:val="auto"/>
          <w:sz w:val="24"/>
          <w:szCs w:val="24"/>
          <w:highlight w:val="none"/>
        </w:rPr>
      </w:pPr>
      <w:r>
        <w:rPr>
          <w:rFonts w:ascii="宋体" w:hAnsi="宋体" w:cs="宋体"/>
          <w:color w:val="auto"/>
          <w:spacing w:val="-1"/>
          <w:sz w:val="24"/>
          <w:szCs w:val="24"/>
          <w:highlight w:val="none"/>
        </w:rPr>
        <w:t>2.7 质量</w:t>
      </w:r>
      <w:r>
        <w:rPr>
          <w:rFonts w:ascii="宋体" w:hAnsi="宋体" w:cs="宋体"/>
          <w:color w:val="auto"/>
          <w:sz w:val="24"/>
          <w:szCs w:val="24"/>
          <w:highlight w:val="none"/>
        </w:rPr>
        <w:t>保证</w:t>
      </w:r>
    </w:p>
    <w:p w14:paraId="1912A01C">
      <w:pPr>
        <w:spacing w:before="182" w:line="360" w:lineRule="auto"/>
        <w:ind w:left="46" w:right="65" w:firstLine="428"/>
        <w:rPr>
          <w:rFonts w:ascii="宋体" w:hAnsi="宋体" w:cs="宋体"/>
          <w:color w:val="auto"/>
          <w:sz w:val="24"/>
          <w:szCs w:val="24"/>
          <w:highlight w:val="none"/>
        </w:rPr>
      </w:pPr>
      <w:r>
        <w:rPr>
          <w:rFonts w:ascii="宋体" w:hAnsi="宋体" w:cs="宋体"/>
          <w:color w:val="auto"/>
          <w:spacing w:val="-2"/>
          <w:sz w:val="24"/>
          <w:szCs w:val="24"/>
          <w:highlight w:val="none"/>
        </w:rPr>
        <w:t>2.7.1 乙方应建立和完善履行合同的内部质量保证</w:t>
      </w:r>
      <w:r>
        <w:rPr>
          <w:rFonts w:ascii="宋体" w:hAnsi="宋体" w:cs="宋体"/>
          <w:color w:val="auto"/>
          <w:spacing w:val="-1"/>
          <w:sz w:val="24"/>
          <w:szCs w:val="24"/>
          <w:highlight w:val="none"/>
        </w:rPr>
        <w:t>体系，并提供相关内部规</w:t>
      </w:r>
      <w:r>
        <w:rPr>
          <w:rFonts w:ascii="宋体" w:hAnsi="宋体" w:cs="宋体"/>
          <w:color w:val="auto"/>
          <w:sz w:val="24"/>
          <w:szCs w:val="24"/>
          <w:highlight w:val="none"/>
        </w:rPr>
        <w:t xml:space="preserve"> </w:t>
      </w:r>
      <w:r>
        <w:rPr>
          <w:rFonts w:ascii="宋体" w:hAnsi="宋体" w:cs="宋体"/>
          <w:color w:val="auto"/>
          <w:spacing w:val="-4"/>
          <w:sz w:val="24"/>
          <w:szCs w:val="24"/>
          <w:highlight w:val="none"/>
        </w:rPr>
        <w:t>章制度给甲方，以便甲方进行监督检查</w:t>
      </w:r>
      <w:r>
        <w:rPr>
          <w:rFonts w:ascii="宋体" w:hAnsi="宋体" w:cs="宋体"/>
          <w:color w:val="auto"/>
          <w:spacing w:val="-2"/>
          <w:sz w:val="24"/>
          <w:szCs w:val="24"/>
          <w:highlight w:val="none"/>
        </w:rPr>
        <w:t>；</w:t>
      </w:r>
    </w:p>
    <w:p w14:paraId="22B5EF58">
      <w:pPr>
        <w:spacing w:line="360" w:lineRule="auto"/>
        <w:ind w:left="38" w:right="65" w:firstLine="437"/>
        <w:rPr>
          <w:rFonts w:ascii="宋体" w:hAnsi="宋体" w:cs="宋体"/>
          <w:color w:val="auto"/>
          <w:sz w:val="24"/>
          <w:szCs w:val="24"/>
          <w:highlight w:val="none"/>
        </w:rPr>
      </w:pPr>
      <w:r>
        <w:rPr>
          <w:rFonts w:ascii="宋体" w:hAnsi="宋体" w:cs="宋体"/>
          <w:color w:val="auto"/>
          <w:spacing w:val="-2"/>
          <w:sz w:val="24"/>
          <w:szCs w:val="24"/>
          <w:highlight w:val="none"/>
        </w:rPr>
        <w:t>2.7.2 乙方应保证履行合同的人员数量和素质、软</w:t>
      </w:r>
      <w:r>
        <w:rPr>
          <w:rFonts w:ascii="宋体" w:hAnsi="宋体" w:cs="宋体"/>
          <w:color w:val="auto"/>
          <w:spacing w:val="-1"/>
          <w:sz w:val="24"/>
          <w:szCs w:val="24"/>
          <w:highlight w:val="none"/>
        </w:rPr>
        <w:t>件和硬件设备的配置、场</w:t>
      </w:r>
      <w:r>
        <w:rPr>
          <w:rFonts w:ascii="宋体" w:hAnsi="宋体" w:cs="宋体"/>
          <w:color w:val="auto"/>
          <w:sz w:val="24"/>
          <w:szCs w:val="24"/>
          <w:highlight w:val="none"/>
        </w:rPr>
        <w:t xml:space="preserve"> </w:t>
      </w:r>
      <w:r>
        <w:rPr>
          <w:rFonts w:ascii="宋体" w:hAnsi="宋体" w:cs="宋体"/>
          <w:color w:val="auto"/>
          <w:spacing w:val="-2"/>
          <w:sz w:val="24"/>
          <w:szCs w:val="24"/>
          <w:highlight w:val="none"/>
        </w:rPr>
        <w:t>地、环境和设施等满足全</w:t>
      </w:r>
      <w:r>
        <w:rPr>
          <w:rFonts w:ascii="宋体" w:hAnsi="宋体" w:cs="宋体"/>
          <w:color w:val="auto"/>
          <w:spacing w:val="-1"/>
          <w:sz w:val="24"/>
          <w:szCs w:val="24"/>
          <w:highlight w:val="none"/>
        </w:rPr>
        <w:t>面履行合同的要求，并应接受甲方的监督检查。</w:t>
      </w:r>
    </w:p>
    <w:p w14:paraId="23C78FCB">
      <w:pPr>
        <w:spacing w:line="220" w:lineRule="auto"/>
        <w:ind w:left="477"/>
        <w:outlineLvl w:val="0"/>
        <w:rPr>
          <w:rFonts w:ascii="宋体" w:hAnsi="宋体" w:cs="宋体"/>
          <w:color w:val="auto"/>
          <w:sz w:val="24"/>
          <w:szCs w:val="24"/>
          <w:highlight w:val="none"/>
        </w:rPr>
      </w:pPr>
      <w:r>
        <w:rPr>
          <w:rFonts w:ascii="宋体" w:hAnsi="宋体" w:cs="宋体"/>
          <w:color w:val="auto"/>
          <w:spacing w:val="-1"/>
          <w:sz w:val="24"/>
          <w:szCs w:val="24"/>
          <w:highlight w:val="none"/>
        </w:rPr>
        <w:t>2.8 延迟</w:t>
      </w:r>
      <w:r>
        <w:rPr>
          <w:rFonts w:ascii="宋体" w:hAnsi="宋体" w:cs="宋体"/>
          <w:color w:val="auto"/>
          <w:sz w:val="24"/>
          <w:szCs w:val="24"/>
          <w:highlight w:val="none"/>
        </w:rPr>
        <w:t>履行</w:t>
      </w:r>
    </w:p>
    <w:p w14:paraId="1987E2AB">
      <w:pPr>
        <w:spacing w:before="183" w:line="360" w:lineRule="auto"/>
        <w:ind w:left="38" w:firstLine="433"/>
        <w:rPr>
          <w:rFonts w:ascii="宋体" w:hAnsi="宋体" w:cs="宋体"/>
          <w:color w:val="auto"/>
          <w:sz w:val="24"/>
          <w:szCs w:val="24"/>
          <w:highlight w:val="none"/>
        </w:rPr>
      </w:pPr>
      <w:r>
        <w:rPr>
          <w:rFonts w:ascii="宋体" w:hAnsi="宋体" w:cs="宋体"/>
          <w:color w:val="auto"/>
          <w:spacing w:val="-16"/>
          <w:sz w:val="24"/>
          <w:szCs w:val="24"/>
          <w:highlight w:val="none"/>
        </w:rPr>
        <w:t>在合</w:t>
      </w:r>
      <w:r>
        <w:rPr>
          <w:rFonts w:ascii="宋体" w:hAnsi="宋体" w:cs="宋体"/>
          <w:color w:val="auto"/>
          <w:spacing w:val="-8"/>
          <w:sz w:val="24"/>
          <w:szCs w:val="24"/>
          <w:highlight w:val="none"/>
        </w:rPr>
        <w:t>同履行过程中，如果乙方遇到不能按时提供服务的情况，应及时以书面</w:t>
      </w:r>
      <w:r>
        <w:rPr>
          <w:rFonts w:ascii="宋体" w:hAnsi="宋体" w:cs="宋体"/>
          <w:color w:val="auto"/>
          <w:spacing w:val="-14"/>
          <w:sz w:val="24"/>
          <w:szCs w:val="24"/>
          <w:highlight w:val="none"/>
        </w:rPr>
        <w:t>形式将</w:t>
      </w:r>
      <w:r>
        <w:rPr>
          <w:rFonts w:ascii="宋体" w:hAnsi="宋体" w:cs="宋体"/>
          <w:color w:val="auto"/>
          <w:spacing w:val="-12"/>
          <w:sz w:val="24"/>
          <w:szCs w:val="24"/>
          <w:highlight w:val="none"/>
        </w:rPr>
        <w:t>不</w:t>
      </w:r>
      <w:r>
        <w:rPr>
          <w:rFonts w:ascii="宋体" w:hAnsi="宋体" w:cs="宋体"/>
          <w:color w:val="auto"/>
          <w:spacing w:val="-7"/>
          <w:sz w:val="24"/>
          <w:szCs w:val="24"/>
          <w:highlight w:val="none"/>
        </w:rPr>
        <w:t>能按时提供服务的理由、预期延误时间通知甲方；甲方收到乙方通知后</w:t>
      </w:r>
      <w:r>
        <w:rPr>
          <w:rFonts w:hint="eastAsia" w:ascii="宋体" w:hAnsi="宋体" w:cs="宋体"/>
          <w:color w:val="auto"/>
          <w:spacing w:val="-7"/>
          <w:sz w:val="24"/>
          <w:szCs w:val="24"/>
          <w:highlight w:val="none"/>
        </w:rPr>
        <w:t>,</w:t>
      </w:r>
      <w:r>
        <w:rPr>
          <w:rFonts w:ascii="宋体" w:hAnsi="宋体" w:cs="宋体"/>
          <w:color w:val="auto"/>
          <w:sz w:val="24"/>
          <w:szCs w:val="24"/>
          <w:highlight w:val="none"/>
        </w:rPr>
        <w:t xml:space="preserve"> </w:t>
      </w:r>
      <w:r>
        <w:rPr>
          <w:rFonts w:ascii="宋体" w:hAnsi="宋体" w:cs="宋体"/>
          <w:color w:val="auto"/>
          <w:spacing w:val="-2"/>
          <w:sz w:val="24"/>
          <w:szCs w:val="24"/>
          <w:highlight w:val="none"/>
        </w:rPr>
        <w:t>认为</w:t>
      </w:r>
      <w:r>
        <w:rPr>
          <w:rFonts w:ascii="宋体" w:hAnsi="宋体" w:cs="宋体"/>
          <w:color w:val="auto"/>
          <w:spacing w:val="-1"/>
          <w:sz w:val="24"/>
          <w:szCs w:val="24"/>
          <w:highlight w:val="none"/>
        </w:rPr>
        <w:t>其理由正当的，可以书面形式酌情同意乙方可以延长履行的具体时间。</w:t>
      </w:r>
    </w:p>
    <w:p w14:paraId="75380E79">
      <w:pPr>
        <w:spacing w:before="1" w:line="220" w:lineRule="auto"/>
        <w:ind w:left="477"/>
        <w:outlineLvl w:val="0"/>
        <w:rPr>
          <w:rFonts w:ascii="宋体" w:hAnsi="宋体" w:cs="宋体"/>
          <w:color w:val="auto"/>
          <w:sz w:val="24"/>
          <w:szCs w:val="24"/>
          <w:highlight w:val="none"/>
        </w:rPr>
      </w:pPr>
      <w:r>
        <w:rPr>
          <w:rFonts w:ascii="宋体" w:hAnsi="宋体" w:cs="宋体"/>
          <w:color w:val="auto"/>
          <w:spacing w:val="-1"/>
          <w:sz w:val="24"/>
          <w:szCs w:val="24"/>
          <w:highlight w:val="none"/>
        </w:rPr>
        <w:t>2.9 合同</w:t>
      </w:r>
      <w:r>
        <w:rPr>
          <w:rFonts w:ascii="宋体" w:hAnsi="宋体" w:cs="宋体"/>
          <w:color w:val="auto"/>
          <w:sz w:val="24"/>
          <w:szCs w:val="24"/>
          <w:highlight w:val="none"/>
        </w:rPr>
        <w:t>变更</w:t>
      </w:r>
    </w:p>
    <w:p w14:paraId="74A55AAB">
      <w:pPr>
        <w:spacing w:before="181" w:line="360" w:lineRule="auto"/>
        <w:ind w:left="39" w:right="65" w:firstLine="436"/>
        <w:rPr>
          <w:rFonts w:ascii="宋体" w:hAnsi="宋体" w:cs="宋体"/>
          <w:color w:val="auto"/>
          <w:sz w:val="24"/>
          <w:szCs w:val="24"/>
          <w:highlight w:val="none"/>
        </w:rPr>
      </w:pPr>
      <w:r>
        <w:rPr>
          <w:rFonts w:ascii="宋体" w:hAnsi="宋体" w:cs="宋体"/>
          <w:color w:val="auto"/>
          <w:spacing w:val="-2"/>
          <w:sz w:val="24"/>
          <w:szCs w:val="24"/>
          <w:highlight w:val="none"/>
        </w:rPr>
        <w:t>2.9.1 双方当事人协商一致，可以签订书面补充合</w:t>
      </w:r>
      <w:r>
        <w:rPr>
          <w:rFonts w:ascii="宋体" w:hAnsi="宋体" w:cs="宋体"/>
          <w:color w:val="auto"/>
          <w:spacing w:val="-1"/>
          <w:sz w:val="24"/>
          <w:szCs w:val="24"/>
          <w:highlight w:val="none"/>
        </w:rPr>
        <w:t>同的形式变更合同，但不</w:t>
      </w:r>
      <w:r>
        <w:rPr>
          <w:rFonts w:ascii="宋体" w:hAnsi="宋体" w:cs="宋体"/>
          <w:color w:val="auto"/>
          <w:sz w:val="24"/>
          <w:szCs w:val="24"/>
          <w:highlight w:val="none"/>
        </w:rPr>
        <w:t xml:space="preserve"> </w:t>
      </w:r>
      <w:r>
        <w:rPr>
          <w:rFonts w:ascii="宋体" w:hAnsi="宋体" w:cs="宋体"/>
          <w:color w:val="auto"/>
          <w:spacing w:val="-8"/>
          <w:sz w:val="24"/>
          <w:szCs w:val="24"/>
          <w:highlight w:val="none"/>
        </w:rPr>
        <w:t>得违</w:t>
      </w:r>
      <w:r>
        <w:rPr>
          <w:rFonts w:ascii="宋体" w:hAnsi="宋体" w:cs="宋体"/>
          <w:color w:val="auto"/>
          <w:spacing w:val="-6"/>
          <w:sz w:val="24"/>
          <w:szCs w:val="24"/>
          <w:highlight w:val="none"/>
        </w:rPr>
        <w:t>背</w:t>
      </w:r>
      <w:r>
        <w:rPr>
          <w:rFonts w:ascii="宋体" w:hAnsi="宋体" w:cs="宋体"/>
          <w:color w:val="auto"/>
          <w:spacing w:val="-4"/>
          <w:sz w:val="24"/>
          <w:szCs w:val="24"/>
          <w:highlight w:val="none"/>
        </w:rPr>
        <w:t>采购文件确定的事项；</w:t>
      </w:r>
    </w:p>
    <w:p w14:paraId="3631670B">
      <w:pPr>
        <w:spacing w:before="1" w:line="215" w:lineRule="auto"/>
        <w:ind w:left="475"/>
        <w:rPr>
          <w:rFonts w:ascii="宋体" w:hAnsi="宋体" w:cs="宋体"/>
          <w:color w:val="auto"/>
          <w:sz w:val="24"/>
          <w:szCs w:val="24"/>
          <w:highlight w:val="none"/>
        </w:rPr>
      </w:pPr>
      <w:r>
        <w:rPr>
          <w:rFonts w:ascii="宋体" w:hAnsi="宋体" w:cs="宋体"/>
          <w:color w:val="auto"/>
          <w:spacing w:val="-2"/>
          <w:sz w:val="24"/>
          <w:szCs w:val="24"/>
          <w:highlight w:val="none"/>
        </w:rPr>
        <w:t>2.9.2 合同继续履行将损害国家利益和社会公共</w:t>
      </w:r>
      <w:r>
        <w:rPr>
          <w:rFonts w:ascii="宋体" w:hAnsi="宋体" w:cs="宋体"/>
          <w:color w:val="auto"/>
          <w:spacing w:val="-1"/>
          <w:sz w:val="24"/>
          <w:szCs w:val="24"/>
          <w:highlight w:val="none"/>
        </w:rPr>
        <w:t>利益的，双方当事人应当以</w:t>
      </w:r>
    </w:p>
    <w:p w14:paraId="2ACA6CED">
      <w:pPr>
        <w:rPr>
          <w:color w:val="auto"/>
          <w:highlight w:val="none"/>
        </w:rPr>
        <w:sectPr>
          <w:headerReference r:id="rId8" w:type="default"/>
          <w:footerReference r:id="rId9" w:type="default"/>
          <w:pgSz w:w="11907" w:h="16839"/>
          <w:pgMar w:top="1118" w:right="1734" w:bottom="1233" w:left="1771" w:header="877" w:footer="982" w:gutter="0"/>
          <w:pgNumType w:fmt="decimal"/>
          <w:cols w:space="720" w:num="1"/>
        </w:sectPr>
      </w:pPr>
    </w:p>
    <w:p w14:paraId="72E6C1E9">
      <w:pPr>
        <w:spacing w:line="354" w:lineRule="auto"/>
        <w:rPr>
          <w:color w:val="auto"/>
          <w:highlight w:val="none"/>
        </w:rPr>
      </w:pPr>
    </w:p>
    <w:p w14:paraId="042C70D3">
      <w:pPr>
        <w:spacing w:before="78" w:line="360" w:lineRule="auto"/>
        <w:ind w:left="41" w:right="10" w:firstLine="1"/>
        <w:rPr>
          <w:rFonts w:ascii="宋体" w:hAnsi="宋体" w:cs="宋体"/>
          <w:color w:val="auto"/>
          <w:sz w:val="24"/>
          <w:szCs w:val="24"/>
          <w:highlight w:val="none"/>
        </w:rPr>
      </w:pPr>
      <w:r>
        <w:rPr>
          <w:rFonts w:ascii="宋体" w:hAnsi="宋体" w:cs="宋体"/>
          <w:color w:val="auto"/>
          <w:spacing w:val="-8"/>
          <w:sz w:val="24"/>
          <w:szCs w:val="24"/>
          <w:highlight w:val="none"/>
        </w:rPr>
        <w:t>书面形式变更</w:t>
      </w:r>
      <w:r>
        <w:rPr>
          <w:rFonts w:ascii="宋体" w:hAnsi="宋体" w:cs="宋体"/>
          <w:color w:val="auto"/>
          <w:spacing w:val="-5"/>
          <w:sz w:val="24"/>
          <w:szCs w:val="24"/>
          <w:highlight w:val="none"/>
        </w:rPr>
        <w:t>合</w:t>
      </w:r>
      <w:r>
        <w:rPr>
          <w:rFonts w:ascii="宋体" w:hAnsi="宋体" w:cs="宋体"/>
          <w:color w:val="auto"/>
          <w:spacing w:val="-4"/>
          <w:sz w:val="24"/>
          <w:szCs w:val="24"/>
          <w:highlight w:val="none"/>
        </w:rPr>
        <w:t>同。有过错的一方应当承担赔偿责任， 双方当事人都有过错的，</w:t>
      </w:r>
      <w:r>
        <w:rPr>
          <w:rFonts w:ascii="宋体" w:hAnsi="宋体" w:cs="宋体"/>
          <w:color w:val="auto"/>
          <w:sz w:val="24"/>
          <w:szCs w:val="24"/>
          <w:highlight w:val="none"/>
        </w:rPr>
        <w:t xml:space="preserve"> </w:t>
      </w:r>
      <w:r>
        <w:rPr>
          <w:rFonts w:ascii="宋体" w:hAnsi="宋体" w:cs="宋体"/>
          <w:color w:val="auto"/>
          <w:spacing w:val="-7"/>
          <w:sz w:val="24"/>
          <w:szCs w:val="24"/>
          <w:highlight w:val="none"/>
        </w:rPr>
        <w:t>各</w:t>
      </w:r>
      <w:r>
        <w:rPr>
          <w:rFonts w:ascii="宋体" w:hAnsi="宋体" w:cs="宋体"/>
          <w:color w:val="auto"/>
          <w:spacing w:val="-4"/>
          <w:sz w:val="24"/>
          <w:szCs w:val="24"/>
          <w:highlight w:val="none"/>
        </w:rPr>
        <w:t>自承担相应的责任。</w:t>
      </w:r>
    </w:p>
    <w:p w14:paraId="0E2A6AD0">
      <w:pPr>
        <w:spacing w:line="218" w:lineRule="auto"/>
        <w:ind w:left="477"/>
        <w:outlineLvl w:val="0"/>
        <w:rPr>
          <w:rFonts w:ascii="宋体" w:hAnsi="宋体" w:cs="宋体"/>
          <w:color w:val="auto"/>
          <w:sz w:val="24"/>
          <w:szCs w:val="24"/>
          <w:highlight w:val="none"/>
        </w:rPr>
      </w:pPr>
      <w:r>
        <w:rPr>
          <w:rFonts w:ascii="宋体" w:hAnsi="宋体" w:cs="宋体"/>
          <w:color w:val="auto"/>
          <w:spacing w:val="-9"/>
          <w:sz w:val="24"/>
          <w:szCs w:val="24"/>
          <w:highlight w:val="none"/>
        </w:rPr>
        <w:t>2</w:t>
      </w:r>
      <w:r>
        <w:rPr>
          <w:rFonts w:ascii="宋体" w:hAnsi="宋体" w:cs="宋体"/>
          <w:color w:val="auto"/>
          <w:spacing w:val="-5"/>
          <w:sz w:val="24"/>
          <w:szCs w:val="24"/>
          <w:highlight w:val="none"/>
        </w:rPr>
        <w:t>.10 合同转让和分包</w:t>
      </w:r>
    </w:p>
    <w:p w14:paraId="7CDCC155">
      <w:pPr>
        <w:spacing w:before="184" w:line="360" w:lineRule="auto"/>
        <w:ind w:left="40" w:right="69" w:firstLine="433"/>
        <w:rPr>
          <w:rFonts w:hint="default" w:ascii="宋体" w:hAnsi="宋体" w:eastAsia="宋体" w:cs="宋体"/>
          <w:color w:val="auto"/>
          <w:sz w:val="24"/>
          <w:szCs w:val="24"/>
          <w:highlight w:val="none"/>
          <w:lang w:val="en-US" w:eastAsia="zh-CN"/>
        </w:rPr>
      </w:pPr>
      <w:r>
        <w:rPr>
          <w:rFonts w:ascii="宋体" w:hAnsi="宋体" w:cs="宋体"/>
          <w:color w:val="auto"/>
          <w:spacing w:val="-10"/>
          <w:sz w:val="24"/>
          <w:szCs w:val="24"/>
          <w:highlight w:val="none"/>
        </w:rPr>
        <w:t>合</w:t>
      </w:r>
      <w:r>
        <w:rPr>
          <w:rFonts w:ascii="宋体" w:hAnsi="宋体" w:cs="宋体"/>
          <w:color w:val="auto"/>
          <w:spacing w:val="-8"/>
          <w:sz w:val="24"/>
          <w:szCs w:val="24"/>
          <w:highlight w:val="none"/>
        </w:rPr>
        <w:t>同</w:t>
      </w:r>
      <w:r>
        <w:rPr>
          <w:rFonts w:ascii="宋体" w:hAnsi="宋体" w:cs="宋体"/>
          <w:color w:val="auto"/>
          <w:spacing w:val="-5"/>
          <w:sz w:val="24"/>
          <w:szCs w:val="24"/>
          <w:highlight w:val="none"/>
        </w:rPr>
        <w:t>的权利义务依法不得转让，但经甲方同意，乙方可以依法采取分包方式</w:t>
      </w:r>
      <w:r>
        <w:rPr>
          <w:rFonts w:ascii="宋体" w:hAnsi="宋体" w:cs="宋体"/>
          <w:color w:val="auto"/>
          <w:spacing w:val="-18"/>
          <w:sz w:val="24"/>
          <w:szCs w:val="24"/>
          <w:highlight w:val="none"/>
        </w:rPr>
        <w:t>履</w:t>
      </w:r>
      <w:r>
        <w:rPr>
          <w:rFonts w:ascii="宋体" w:hAnsi="宋体" w:cs="宋体"/>
          <w:color w:val="auto"/>
          <w:spacing w:val="-12"/>
          <w:sz w:val="24"/>
          <w:szCs w:val="24"/>
          <w:highlight w:val="none"/>
        </w:rPr>
        <w:t>行</w:t>
      </w:r>
      <w:r>
        <w:rPr>
          <w:rFonts w:ascii="宋体" w:hAnsi="宋体" w:cs="宋体"/>
          <w:color w:val="auto"/>
          <w:spacing w:val="-9"/>
          <w:sz w:val="24"/>
          <w:szCs w:val="24"/>
          <w:highlight w:val="none"/>
        </w:rPr>
        <w:t>合同，即： 依法可以将合同项下的部分非主体、非关键性工作分包给他人完</w:t>
      </w:r>
      <w:r>
        <w:rPr>
          <w:rFonts w:ascii="宋体" w:hAnsi="宋体" w:cs="宋体"/>
          <w:color w:val="auto"/>
          <w:spacing w:val="-12"/>
          <w:sz w:val="24"/>
          <w:szCs w:val="24"/>
          <w:highlight w:val="none"/>
        </w:rPr>
        <w:t>成</w:t>
      </w:r>
      <w:r>
        <w:rPr>
          <w:rFonts w:ascii="宋体" w:hAnsi="宋体" w:cs="宋体"/>
          <w:color w:val="auto"/>
          <w:spacing w:val="-8"/>
          <w:sz w:val="24"/>
          <w:szCs w:val="24"/>
          <w:highlight w:val="none"/>
        </w:rPr>
        <w:t>，</w:t>
      </w:r>
      <w:r>
        <w:rPr>
          <w:rFonts w:ascii="宋体" w:hAnsi="宋体" w:cs="宋体"/>
          <w:color w:val="auto"/>
          <w:spacing w:val="-6"/>
          <w:sz w:val="24"/>
          <w:szCs w:val="24"/>
          <w:highlight w:val="none"/>
        </w:rPr>
        <w:t>接受分包的人应当具备相应的资格条件，并不得再次分包，且乙方应就分包</w:t>
      </w:r>
      <w:r>
        <w:rPr>
          <w:rFonts w:ascii="宋体" w:hAnsi="宋体" w:cs="宋体"/>
          <w:color w:val="auto"/>
          <w:spacing w:val="-2"/>
          <w:sz w:val="24"/>
          <w:szCs w:val="24"/>
          <w:highlight w:val="none"/>
        </w:rPr>
        <w:t>项目向甲方负责，并与分包供应</w:t>
      </w:r>
      <w:r>
        <w:rPr>
          <w:rFonts w:ascii="宋体" w:hAnsi="宋体" w:cs="宋体"/>
          <w:color w:val="auto"/>
          <w:spacing w:val="-1"/>
          <w:sz w:val="24"/>
          <w:szCs w:val="24"/>
          <w:highlight w:val="none"/>
        </w:rPr>
        <w:t>商就分包项目向甲方承担连带责任。</w:t>
      </w:r>
    </w:p>
    <w:p w14:paraId="01F6386D">
      <w:pPr>
        <w:spacing w:line="219" w:lineRule="auto"/>
        <w:ind w:left="477"/>
        <w:outlineLvl w:val="0"/>
        <w:rPr>
          <w:rFonts w:ascii="宋体" w:hAnsi="宋体" w:cs="宋体"/>
          <w:color w:val="auto"/>
          <w:sz w:val="24"/>
          <w:szCs w:val="24"/>
          <w:highlight w:val="none"/>
        </w:rPr>
      </w:pPr>
      <w:r>
        <w:rPr>
          <w:rFonts w:ascii="宋体" w:hAnsi="宋体" w:cs="宋体"/>
          <w:color w:val="auto"/>
          <w:spacing w:val="-1"/>
          <w:sz w:val="24"/>
          <w:szCs w:val="24"/>
          <w:highlight w:val="none"/>
        </w:rPr>
        <w:t>2.11 不</w:t>
      </w:r>
      <w:r>
        <w:rPr>
          <w:rFonts w:ascii="宋体" w:hAnsi="宋体" w:cs="宋体"/>
          <w:color w:val="auto"/>
          <w:sz w:val="24"/>
          <w:szCs w:val="24"/>
          <w:highlight w:val="none"/>
        </w:rPr>
        <w:t>可抗力</w:t>
      </w:r>
    </w:p>
    <w:p w14:paraId="03A0F3CD">
      <w:pPr>
        <w:spacing w:before="183" w:line="360" w:lineRule="auto"/>
        <w:ind w:left="39" w:right="72" w:firstLine="436"/>
        <w:rPr>
          <w:rFonts w:ascii="宋体" w:hAnsi="宋体" w:cs="宋体"/>
          <w:color w:val="auto"/>
          <w:sz w:val="24"/>
          <w:szCs w:val="24"/>
          <w:highlight w:val="none"/>
        </w:rPr>
      </w:pPr>
      <w:r>
        <w:rPr>
          <w:rFonts w:ascii="宋体" w:hAnsi="宋体" w:cs="宋体"/>
          <w:color w:val="auto"/>
          <w:spacing w:val="-11"/>
          <w:sz w:val="24"/>
          <w:szCs w:val="24"/>
          <w:highlight w:val="none"/>
        </w:rPr>
        <w:t>2.11.1 如果任何一方遭遇法律规定的不可抗力， 致使合同履行受阻时， 履</w:t>
      </w:r>
      <w:r>
        <w:rPr>
          <w:rFonts w:ascii="宋体" w:hAnsi="宋体" w:cs="宋体"/>
          <w:color w:val="auto"/>
          <w:spacing w:val="-5"/>
          <w:sz w:val="24"/>
          <w:szCs w:val="24"/>
          <w:highlight w:val="none"/>
        </w:rPr>
        <w:t>行</w:t>
      </w:r>
      <w:r>
        <w:rPr>
          <w:rFonts w:ascii="宋体" w:hAnsi="宋体" w:cs="宋体"/>
          <w:color w:val="auto"/>
          <w:spacing w:val="-1"/>
          <w:sz w:val="24"/>
          <w:szCs w:val="24"/>
          <w:highlight w:val="none"/>
        </w:rPr>
        <w:t>合同的期限应予延长，延</w:t>
      </w:r>
      <w:r>
        <w:rPr>
          <w:rFonts w:ascii="宋体" w:hAnsi="宋体" w:cs="宋体"/>
          <w:color w:val="auto"/>
          <w:sz w:val="24"/>
          <w:szCs w:val="24"/>
          <w:highlight w:val="none"/>
        </w:rPr>
        <w:t>长的期限应相当于不可抗力所影响的时间；</w:t>
      </w:r>
    </w:p>
    <w:p w14:paraId="76F3AD5C">
      <w:pPr>
        <w:spacing w:before="1" w:line="215" w:lineRule="auto"/>
        <w:ind w:left="475"/>
        <w:rPr>
          <w:rFonts w:ascii="宋体" w:hAnsi="宋体" w:cs="宋体"/>
          <w:color w:val="auto"/>
          <w:sz w:val="24"/>
          <w:szCs w:val="24"/>
          <w:highlight w:val="none"/>
        </w:rPr>
      </w:pPr>
      <w:r>
        <w:rPr>
          <w:rFonts w:ascii="宋体" w:hAnsi="宋体" w:cs="宋体"/>
          <w:color w:val="auto"/>
          <w:spacing w:val="-6"/>
          <w:sz w:val="24"/>
          <w:szCs w:val="24"/>
          <w:highlight w:val="none"/>
        </w:rPr>
        <w:t>2.11.2 因</w:t>
      </w:r>
      <w:r>
        <w:rPr>
          <w:rFonts w:ascii="宋体" w:hAnsi="宋体" w:cs="宋体"/>
          <w:color w:val="auto"/>
          <w:spacing w:val="-3"/>
          <w:sz w:val="24"/>
          <w:szCs w:val="24"/>
          <w:highlight w:val="none"/>
        </w:rPr>
        <w:t>不可抗力致使不能实现合同目的的，当事人可以解除合同；</w:t>
      </w:r>
    </w:p>
    <w:p w14:paraId="53FA96E4">
      <w:pPr>
        <w:spacing w:before="186" w:line="353" w:lineRule="auto"/>
        <w:ind w:left="43" w:right="68" w:firstLine="431"/>
        <w:rPr>
          <w:rFonts w:ascii="宋体" w:hAnsi="宋体" w:cs="宋体"/>
          <w:color w:val="auto"/>
          <w:sz w:val="24"/>
          <w:szCs w:val="24"/>
          <w:highlight w:val="none"/>
        </w:rPr>
      </w:pPr>
      <w:r>
        <w:rPr>
          <w:rFonts w:ascii="宋体" w:hAnsi="宋体" w:cs="宋体"/>
          <w:color w:val="auto"/>
          <w:spacing w:val="-18"/>
          <w:sz w:val="24"/>
          <w:szCs w:val="24"/>
          <w:highlight w:val="none"/>
        </w:rPr>
        <w:t>2</w:t>
      </w:r>
      <w:r>
        <w:rPr>
          <w:rFonts w:ascii="宋体" w:hAnsi="宋体" w:cs="宋体"/>
          <w:color w:val="auto"/>
          <w:spacing w:val="-17"/>
          <w:sz w:val="24"/>
          <w:szCs w:val="24"/>
          <w:highlight w:val="none"/>
        </w:rPr>
        <w:t>.</w:t>
      </w:r>
      <w:r>
        <w:rPr>
          <w:rFonts w:ascii="宋体" w:hAnsi="宋体" w:cs="宋体"/>
          <w:color w:val="auto"/>
          <w:spacing w:val="-9"/>
          <w:sz w:val="24"/>
          <w:szCs w:val="24"/>
          <w:highlight w:val="none"/>
        </w:rPr>
        <w:t>11.3 因不可抗力致使合同有变更必要的， 双方当事人应在</w:t>
      </w:r>
      <w:r>
        <w:rPr>
          <w:rFonts w:ascii="宋体" w:hAnsi="宋体" w:cs="宋体"/>
          <w:color w:val="auto"/>
          <w:spacing w:val="-3"/>
          <w:sz w:val="24"/>
          <w:szCs w:val="24"/>
          <w:highlight w:val="none"/>
          <w:u w:val="single"/>
        </w:rPr>
        <w:t>合同专用条款</w:t>
      </w:r>
      <w:r>
        <w:rPr>
          <w:rFonts w:ascii="宋体" w:hAnsi="宋体" w:cs="宋体"/>
          <w:color w:val="auto"/>
          <w:spacing w:val="-3"/>
          <w:sz w:val="24"/>
          <w:szCs w:val="24"/>
          <w:highlight w:val="none"/>
        </w:rPr>
        <w:t>约</w:t>
      </w:r>
      <w:r>
        <w:rPr>
          <w:rFonts w:ascii="宋体" w:hAnsi="宋体" w:cs="宋体"/>
          <w:color w:val="auto"/>
          <w:spacing w:val="-2"/>
          <w:sz w:val="24"/>
          <w:szCs w:val="24"/>
          <w:highlight w:val="none"/>
        </w:rPr>
        <w:t>定时</w:t>
      </w:r>
      <w:r>
        <w:rPr>
          <w:rFonts w:ascii="宋体" w:hAnsi="宋体" w:cs="宋体"/>
          <w:color w:val="auto"/>
          <w:spacing w:val="-1"/>
          <w:sz w:val="24"/>
          <w:szCs w:val="24"/>
          <w:highlight w:val="none"/>
        </w:rPr>
        <w:t>间内以书面形式变更合同；</w:t>
      </w:r>
    </w:p>
    <w:p w14:paraId="2E79A5DF">
      <w:pPr>
        <w:spacing w:before="2" w:line="350" w:lineRule="auto"/>
        <w:ind w:left="42" w:right="68" w:firstLine="432"/>
        <w:rPr>
          <w:rFonts w:ascii="宋体" w:hAnsi="宋体" w:cs="宋体"/>
          <w:color w:val="auto"/>
          <w:sz w:val="24"/>
          <w:szCs w:val="24"/>
          <w:highlight w:val="none"/>
        </w:rPr>
      </w:pPr>
      <w:r>
        <w:rPr>
          <w:rFonts w:ascii="宋体" w:hAnsi="宋体" w:cs="宋体"/>
          <w:color w:val="auto"/>
          <w:spacing w:val="-12"/>
          <w:sz w:val="24"/>
          <w:szCs w:val="24"/>
          <w:highlight w:val="none"/>
        </w:rPr>
        <w:t>2.</w:t>
      </w:r>
      <w:r>
        <w:rPr>
          <w:rFonts w:ascii="宋体" w:hAnsi="宋体" w:cs="宋体"/>
          <w:color w:val="auto"/>
          <w:spacing w:val="-11"/>
          <w:sz w:val="24"/>
          <w:szCs w:val="24"/>
          <w:highlight w:val="none"/>
        </w:rPr>
        <w:t>1</w:t>
      </w:r>
      <w:r>
        <w:rPr>
          <w:rFonts w:ascii="宋体" w:hAnsi="宋体" w:cs="宋体"/>
          <w:color w:val="auto"/>
          <w:spacing w:val="-6"/>
          <w:sz w:val="24"/>
          <w:szCs w:val="24"/>
          <w:highlight w:val="none"/>
        </w:rPr>
        <w:t>1.4 受不可抗力影响的一方在不可抗力发生后，应在</w:t>
      </w:r>
      <w:r>
        <w:rPr>
          <w:rFonts w:ascii="宋体" w:hAnsi="宋体" w:cs="宋体"/>
          <w:color w:val="auto"/>
          <w:spacing w:val="-9"/>
          <w:sz w:val="24"/>
          <w:szCs w:val="24"/>
          <w:highlight w:val="none"/>
          <w:u w:val="single"/>
        </w:rPr>
        <w:t>合同专用条款</w:t>
      </w:r>
      <w:r>
        <w:rPr>
          <w:rFonts w:ascii="宋体" w:hAnsi="宋体" w:cs="宋体"/>
          <w:color w:val="auto"/>
          <w:spacing w:val="-6"/>
          <w:sz w:val="24"/>
          <w:szCs w:val="24"/>
          <w:highlight w:val="none"/>
        </w:rPr>
        <w:t>约定时</w:t>
      </w:r>
      <w:r>
        <w:rPr>
          <w:rFonts w:ascii="宋体" w:hAnsi="宋体" w:cs="宋体"/>
          <w:color w:val="auto"/>
          <w:spacing w:val="-14"/>
          <w:sz w:val="24"/>
          <w:szCs w:val="24"/>
          <w:highlight w:val="none"/>
        </w:rPr>
        <w:t>间</w:t>
      </w:r>
      <w:r>
        <w:rPr>
          <w:rFonts w:ascii="宋体" w:hAnsi="宋体" w:cs="宋体"/>
          <w:color w:val="auto"/>
          <w:spacing w:val="-11"/>
          <w:sz w:val="24"/>
          <w:szCs w:val="24"/>
          <w:highlight w:val="none"/>
        </w:rPr>
        <w:t>内以书面形式通知对方当事人， 并在</w:t>
      </w:r>
      <w:r>
        <w:rPr>
          <w:rFonts w:ascii="宋体" w:hAnsi="宋体" w:cs="宋体"/>
          <w:color w:val="auto"/>
          <w:spacing w:val="-6"/>
          <w:sz w:val="24"/>
          <w:szCs w:val="24"/>
          <w:highlight w:val="none"/>
          <w:u w:val="single"/>
        </w:rPr>
        <w:t>合同专用条款</w:t>
      </w:r>
      <w:r>
        <w:rPr>
          <w:rFonts w:ascii="宋体" w:hAnsi="宋体" w:cs="宋体"/>
          <w:color w:val="auto"/>
          <w:spacing w:val="-11"/>
          <w:sz w:val="24"/>
          <w:szCs w:val="24"/>
          <w:highlight w:val="none"/>
        </w:rPr>
        <w:t>约定时间内， 将有关部门出</w:t>
      </w:r>
      <w:r>
        <w:rPr>
          <w:rFonts w:ascii="宋体" w:hAnsi="宋体" w:cs="宋体"/>
          <w:color w:val="auto"/>
          <w:spacing w:val="-1"/>
          <w:sz w:val="24"/>
          <w:szCs w:val="24"/>
          <w:highlight w:val="none"/>
        </w:rPr>
        <w:t>具的证明文件送达对方当事人。</w:t>
      </w:r>
    </w:p>
    <w:p w14:paraId="1B156754">
      <w:pPr>
        <w:spacing w:before="1" w:line="218" w:lineRule="auto"/>
        <w:ind w:left="477"/>
        <w:outlineLvl w:val="0"/>
        <w:rPr>
          <w:rFonts w:ascii="宋体" w:hAnsi="宋体" w:cs="宋体"/>
          <w:color w:val="auto"/>
          <w:sz w:val="24"/>
          <w:szCs w:val="24"/>
          <w:highlight w:val="none"/>
        </w:rPr>
      </w:pPr>
      <w:r>
        <w:rPr>
          <w:rFonts w:ascii="宋体" w:hAnsi="宋体" w:cs="宋体"/>
          <w:color w:val="auto"/>
          <w:spacing w:val="-10"/>
          <w:sz w:val="24"/>
          <w:szCs w:val="24"/>
          <w:highlight w:val="none"/>
        </w:rPr>
        <w:t>2</w:t>
      </w:r>
      <w:r>
        <w:rPr>
          <w:rFonts w:ascii="宋体" w:hAnsi="宋体" w:cs="宋体"/>
          <w:color w:val="auto"/>
          <w:spacing w:val="-9"/>
          <w:sz w:val="24"/>
          <w:szCs w:val="24"/>
          <w:highlight w:val="none"/>
        </w:rPr>
        <w:t>.12 税费</w:t>
      </w:r>
    </w:p>
    <w:p w14:paraId="742B39B8">
      <w:pPr>
        <w:spacing w:before="183" w:line="219" w:lineRule="auto"/>
        <w:ind w:left="477"/>
        <w:rPr>
          <w:rFonts w:ascii="宋体" w:hAnsi="宋体" w:cs="宋体"/>
          <w:color w:val="auto"/>
          <w:sz w:val="24"/>
          <w:szCs w:val="24"/>
          <w:highlight w:val="none"/>
        </w:rPr>
      </w:pPr>
      <w:r>
        <w:rPr>
          <w:rFonts w:ascii="宋体" w:hAnsi="宋体" w:cs="宋体"/>
          <w:color w:val="auto"/>
          <w:spacing w:val="-1"/>
          <w:sz w:val="24"/>
          <w:szCs w:val="24"/>
          <w:highlight w:val="none"/>
        </w:rPr>
        <w:t>与合同有关的一切税费，均按</w:t>
      </w:r>
      <w:r>
        <w:rPr>
          <w:rFonts w:ascii="宋体" w:hAnsi="宋体" w:cs="宋体"/>
          <w:color w:val="auto"/>
          <w:sz w:val="24"/>
          <w:szCs w:val="24"/>
          <w:highlight w:val="none"/>
        </w:rPr>
        <w:t>照中华人民共和国法律的相关规定缴纳。</w:t>
      </w:r>
    </w:p>
    <w:p w14:paraId="5C42E2F7">
      <w:pPr>
        <w:spacing w:before="183" w:line="220" w:lineRule="auto"/>
        <w:ind w:left="477"/>
        <w:outlineLvl w:val="0"/>
        <w:rPr>
          <w:rFonts w:ascii="宋体" w:hAnsi="宋体" w:cs="宋体"/>
          <w:color w:val="auto"/>
          <w:sz w:val="24"/>
          <w:szCs w:val="24"/>
          <w:highlight w:val="none"/>
        </w:rPr>
      </w:pPr>
      <w:r>
        <w:rPr>
          <w:rFonts w:ascii="宋体" w:hAnsi="宋体" w:cs="宋体"/>
          <w:color w:val="auto"/>
          <w:spacing w:val="-10"/>
          <w:sz w:val="24"/>
          <w:szCs w:val="24"/>
          <w:highlight w:val="none"/>
        </w:rPr>
        <w:t>2</w:t>
      </w:r>
      <w:r>
        <w:rPr>
          <w:rFonts w:ascii="宋体" w:hAnsi="宋体" w:cs="宋体"/>
          <w:color w:val="auto"/>
          <w:spacing w:val="-7"/>
          <w:sz w:val="24"/>
          <w:szCs w:val="24"/>
          <w:highlight w:val="none"/>
        </w:rPr>
        <w:t>.13 乙方破产</w:t>
      </w:r>
    </w:p>
    <w:p w14:paraId="037A5682">
      <w:pPr>
        <w:spacing w:before="183" w:line="360" w:lineRule="auto"/>
        <w:ind w:left="37" w:right="69" w:firstLine="439"/>
        <w:rPr>
          <w:rFonts w:ascii="宋体" w:hAnsi="宋体" w:cs="宋体"/>
          <w:color w:val="auto"/>
          <w:sz w:val="24"/>
          <w:szCs w:val="24"/>
          <w:highlight w:val="none"/>
        </w:rPr>
      </w:pPr>
      <w:r>
        <w:rPr>
          <w:rFonts w:ascii="宋体" w:hAnsi="宋体" w:cs="宋体"/>
          <w:color w:val="auto"/>
          <w:spacing w:val="-10"/>
          <w:sz w:val="24"/>
          <w:szCs w:val="24"/>
          <w:highlight w:val="none"/>
        </w:rPr>
        <w:t>如果</w:t>
      </w:r>
      <w:r>
        <w:rPr>
          <w:rFonts w:ascii="宋体" w:hAnsi="宋体" w:cs="宋体"/>
          <w:color w:val="auto"/>
          <w:spacing w:val="-7"/>
          <w:sz w:val="24"/>
          <w:szCs w:val="24"/>
          <w:highlight w:val="none"/>
        </w:rPr>
        <w:t>乙</w:t>
      </w:r>
      <w:r>
        <w:rPr>
          <w:rFonts w:ascii="宋体" w:hAnsi="宋体" w:cs="宋体"/>
          <w:color w:val="auto"/>
          <w:spacing w:val="-5"/>
          <w:sz w:val="24"/>
          <w:szCs w:val="24"/>
          <w:highlight w:val="none"/>
        </w:rPr>
        <w:t>方破产导致合同无法履行时，甲方可以书面形式通知乙方终止合同且</w:t>
      </w:r>
      <w:r>
        <w:rPr>
          <w:rFonts w:ascii="宋体" w:hAnsi="宋体" w:cs="宋体"/>
          <w:color w:val="auto"/>
          <w:spacing w:val="-3"/>
          <w:sz w:val="24"/>
          <w:szCs w:val="24"/>
          <w:highlight w:val="none"/>
        </w:rPr>
        <w:t>不给予乙方任何补偿和赔偿，但合同的终止不损害或不影响甲方已经采取或将</w:t>
      </w:r>
      <w:r>
        <w:rPr>
          <w:rFonts w:ascii="宋体" w:hAnsi="宋体" w:cs="宋体"/>
          <w:color w:val="auto"/>
          <w:sz w:val="24"/>
          <w:szCs w:val="24"/>
          <w:highlight w:val="none"/>
        </w:rPr>
        <w:t>要</w:t>
      </w:r>
      <w:r>
        <w:rPr>
          <w:rFonts w:ascii="宋体" w:hAnsi="宋体" w:cs="宋体"/>
          <w:color w:val="auto"/>
          <w:spacing w:val="-1"/>
          <w:sz w:val="24"/>
          <w:szCs w:val="24"/>
          <w:highlight w:val="none"/>
        </w:rPr>
        <w:t>采取的任何要求乙</w:t>
      </w:r>
      <w:r>
        <w:rPr>
          <w:rFonts w:ascii="宋体" w:hAnsi="宋体" w:cs="宋体"/>
          <w:color w:val="auto"/>
          <w:sz w:val="24"/>
          <w:szCs w:val="24"/>
          <w:highlight w:val="none"/>
        </w:rPr>
        <w:t>方支付违约金、赔偿损失等的行动或补救措施的权利。</w:t>
      </w:r>
    </w:p>
    <w:p w14:paraId="69BB3634">
      <w:pPr>
        <w:spacing w:line="220" w:lineRule="auto"/>
        <w:ind w:left="477"/>
        <w:outlineLvl w:val="0"/>
        <w:rPr>
          <w:rFonts w:ascii="宋体" w:hAnsi="宋体" w:cs="宋体"/>
          <w:color w:val="auto"/>
          <w:sz w:val="24"/>
          <w:szCs w:val="24"/>
          <w:highlight w:val="none"/>
        </w:rPr>
      </w:pPr>
      <w:r>
        <w:rPr>
          <w:rFonts w:ascii="宋体" w:hAnsi="宋体" w:cs="宋体"/>
          <w:color w:val="auto"/>
          <w:spacing w:val="-1"/>
          <w:sz w:val="24"/>
          <w:szCs w:val="24"/>
          <w:highlight w:val="none"/>
        </w:rPr>
        <w:t>2</w:t>
      </w:r>
      <w:r>
        <w:rPr>
          <w:rFonts w:ascii="宋体" w:hAnsi="宋体" w:cs="宋体"/>
          <w:color w:val="auto"/>
          <w:sz w:val="24"/>
          <w:szCs w:val="24"/>
          <w:highlight w:val="none"/>
        </w:rPr>
        <w:t>.14 合同中止、终止</w:t>
      </w:r>
    </w:p>
    <w:p w14:paraId="5184A9BF">
      <w:pPr>
        <w:spacing w:before="182" w:line="220" w:lineRule="auto"/>
        <w:ind w:left="475"/>
        <w:rPr>
          <w:rFonts w:ascii="宋体" w:hAnsi="宋体" w:cs="宋体"/>
          <w:color w:val="auto"/>
          <w:sz w:val="24"/>
          <w:szCs w:val="24"/>
          <w:highlight w:val="none"/>
        </w:rPr>
      </w:pPr>
      <w:r>
        <w:rPr>
          <w:rFonts w:ascii="宋体" w:hAnsi="宋体" w:cs="宋体"/>
          <w:color w:val="auto"/>
          <w:spacing w:val="-5"/>
          <w:sz w:val="24"/>
          <w:szCs w:val="24"/>
          <w:highlight w:val="none"/>
        </w:rPr>
        <w:t>2.14.1 双方当事人不得擅自中止或者终止合同；</w:t>
      </w:r>
    </w:p>
    <w:p w14:paraId="5EE9F9A8">
      <w:pPr>
        <w:keepNext w:val="0"/>
        <w:keepLines w:val="0"/>
        <w:pageBreakBefore w:val="0"/>
        <w:widowControl w:val="0"/>
        <w:kinsoku/>
        <w:wordWrap/>
        <w:overflowPunct/>
        <w:topLinePunct w:val="0"/>
        <w:autoSpaceDE/>
        <w:autoSpaceDN/>
        <w:bidi w:val="0"/>
        <w:adjustRightInd/>
        <w:snapToGrid/>
        <w:spacing w:before="182" w:line="360" w:lineRule="auto"/>
        <w:ind w:left="476"/>
        <w:textAlignment w:val="auto"/>
        <w:rPr>
          <w:rFonts w:ascii="宋体" w:hAnsi="宋体" w:eastAsia="宋体" w:cs="宋体"/>
          <w:color w:val="auto"/>
          <w:spacing w:val="-5"/>
          <w:sz w:val="24"/>
          <w:szCs w:val="24"/>
          <w:highlight w:val="none"/>
        </w:rPr>
      </w:pPr>
      <w:r>
        <w:rPr>
          <w:rFonts w:ascii="宋体" w:hAnsi="宋体" w:cs="宋体"/>
          <w:color w:val="auto"/>
          <w:spacing w:val="-8"/>
          <w:sz w:val="24"/>
          <w:szCs w:val="24"/>
          <w:highlight w:val="none"/>
        </w:rPr>
        <w:t xml:space="preserve">2.14.2 </w:t>
      </w:r>
      <w:r>
        <w:rPr>
          <w:rFonts w:ascii="宋体" w:hAnsi="宋体" w:eastAsia="宋体" w:cs="宋体"/>
          <w:color w:val="auto"/>
          <w:spacing w:val="-5"/>
          <w:sz w:val="24"/>
          <w:szCs w:val="24"/>
          <w:highlight w:val="none"/>
        </w:rPr>
        <w:t>合同继续履行将损害国家利益和社会公共利益的， 双方当事人应当中止或者终止合同。有过错的一方应当承担赔偿责任，双方当事人都有过错的， 各自承担相应的责任。</w:t>
      </w:r>
    </w:p>
    <w:p w14:paraId="32E78FAB">
      <w:pPr>
        <w:keepNext w:val="0"/>
        <w:keepLines w:val="0"/>
        <w:pageBreakBefore w:val="0"/>
        <w:widowControl w:val="0"/>
        <w:kinsoku/>
        <w:wordWrap/>
        <w:overflowPunct/>
        <w:topLinePunct w:val="0"/>
        <w:autoSpaceDE/>
        <w:autoSpaceDN/>
        <w:bidi w:val="0"/>
        <w:adjustRightInd/>
        <w:snapToGrid/>
        <w:spacing w:line="360" w:lineRule="auto"/>
        <w:ind w:left="477"/>
        <w:textAlignment w:val="auto"/>
        <w:outlineLvl w:val="0"/>
        <w:rPr>
          <w:rFonts w:ascii="宋体" w:hAnsi="宋体" w:cs="宋体"/>
          <w:color w:val="auto"/>
          <w:sz w:val="24"/>
          <w:szCs w:val="24"/>
          <w:highlight w:val="none"/>
        </w:rPr>
      </w:pPr>
      <w:r>
        <w:rPr>
          <w:rFonts w:ascii="宋体" w:hAnsi="宋体" w:cs="宋体"/>
          <w:color w:val="auto"/>
          <w:spacing w:val="-1"/>
          <w:sz w:val="24"/>
          <w:szCs w:val="24"/>
          <w:highlight w:val="none"/>
        </w:rPr>
        <w:t>2.15</w:t>
      </w:r>
      <w:r>
        <w:rPr>
          <w:rFonts w:ascii="宋体" w:hAnsi="宋体" w:cs="宋体"/>
          <w:color w:val="auto"/>
          <w:sz w:val="24"/>
          <w:szCs w:val="24"/>
          <w:highlight w:val="none"/>
        </w:rPr>
        <w:t xml:space="preserve"> 检验和验收</w:t>
      </w:r>
    </w:p>
    <w:p w14:paraId="312BA37B">
      <w:pPr>
        <w:spacing w:before="182" w:line="211" w:lineRule="auto"/>
        <w:ind w:left="475"/>
        <w:rPr>
          <w:rFonts w:ascii="宋体" w:hAnsi="宋体" w:cs="宋体"/>
          <w:color w:val="auto"/>
          <w:spacing w:val="-5"/>
          <w:sz w:val="24"/>
          <w:szCs w:val="24"/>
          <w:highlight w:val="none"/>
          <w:u w:val="single"/>
        </w:rPr>
      </w:pPr>
      <w:r>
        <w:rPr>
          <w:rFonts w:ascii="宋体" w:hAnsi="宋体" w:cs="宋体"/>
          <w:color w:val="auto"/>
          <w:spacing w:val="-10"/>
          <w:sz w:val="24"/>
          <w:szCs w:val="24"/>
          <w:highlight w:val="none"/>
        </w:rPr>
        <w:t>2.1</w:t>
      </w:r>
      <w:r>
        <w:rPr>
          <w:rFonts w:ascii="宋体" w:hAnsi="宋体" w:cs="宋体"/>
          <w:color w:val="auto"/>
          <w:spacing w:val="-6"/>
          <w:sz w:val="24"/>
          <w:szCs w:val="24"/>
          <w:highlight w:val="none"/>
        </w:rPr>
        <w:t>5</w:t>
      </w:r>
      <w:r>
        <w:rPr>
          <w:rFonts w:ascii="宋体" w:hAnsi="宋体" w:cs="宋体"/>
          <w:color w:val="auto"/>
          <w:spacing w:val="-5"/>
          <w:sz w:val="24"/>
          <w:szCs w:val="24"/>
          <w:highlight w:val="none"/>
        </w:rPr>
        <w:t>.1 乙方按照</w:t>
      </w:r>
      <w:r>
        <w:rPr>
          <w:rFonts w:ascii="宋体" w:hAnsi="宋体" w:cs="宋体"/>
          <w:color w:val="auto"/>
          <w:sz w:val="24"/>
          <w:szCs w:val="24"/>
          <w:highlight w:val="none"/>
          <w:u w:val="single"/>
        </w:rPr>
        <w:t>合同专用条款</w:t>
      </w:r>
      <w:r>
        <w:rPr>
          <w:rFonts w:ascii="宋体" w:hAnsi="宋体" w:cs="宋体"/>
          <w:color w:val="auto"/>
          <w:spacing w:val="-5"/>
          <w:sz w:val="24"/>
          <w:szCs w:val="24"/>
          <w:highlight w:val="none"/>
        </w:rPr>
        <w:t>的约定，定期提交服务报告，甲方按照</w:t>
      </w:r>
      <w:r>
        <w:rPr>
          <w:rFonts w:ascii="宋体" w:hAnsi="宋体" w:cs="宋体"/>
          <w:color w:val="auto"/>
          <w:spacing w:val="-5"/>
          <w:sz w:val="24"/>
          <w:szCs w:val="24"/>
          <w:highlight w:val="none"/>
          <w:u w:val="single"/>
        </w:rPr>
        <w:t>合同专</w:t>
      </w:r>
    </w:p>
    <w:p w14:paraId="07CE5E88">
      <w:pPr>
        <w:rPr>
          <w:rFonts w:ascii="宋体" w:hAnsi="宋体" w:cs="宋体"/>
          <w:color w:val="auto"/>
          <w:spacing w:val="-5"/>
          <w:sz w:val="24"/>
          <w:szCs w:val="24"/>
          <w:highlight w:val="none"/>
          <w:u w:val="single"/>
        </w:rPr>
        <w:sectPr>
          <w:headerReference r:id="rId10" w:type="default"/>
          <w:footerReference r:id="rId11" w:type="default"/>
          <w:pgSz w:w="11907" w:h="16839"/>
          <w:pgMar w:top="1118" w:right="1729" w:bottom="1233" w:left="1771" w:header="877" w:footer="982" w:gutter="0"/>
          <w:pgNumType w:fmt="decimal"/>
          <w:cols w:space="720" w:num="1"/>
        </w:sectPr>
      </w:pPr>
    </w:p>
    <w:p w14:paraId="75FA76E0">
      <w:pPr>
        <w:spacing w:before="82" w:line="212" w:lineRule="auto"/>
        <w:ind w:left="28"/>
        <w:rPr>
          <w:rFonts w:ascii="宋体" w:hAnsi="宋体" w:cs="宋体"/>
          <w:color w:val="auto"/>
          <w:sz w:val="24"/>
          <w:szCs w:val="24"/>
          <w:highlight w:val="none"/>
        </w:rPr>
      </w:pPr>
      <w:r>
        <w:rPr>
          <w:rFonts w:ascii="宋体" w:hAnsi="宋体" w:cs="宋体"/>
          <w:color w:val="auto"/>
          <w:spacing w:val="-5"/>
          <w:sz w:val="24"/>
          <w:szCs w:val="24"/>
          <w:highlight w:val="none"/>
          <w:u w:val="single"/>
        </w:rPr>
        <w:t>用条款</w:t>
      </w:r>
      <w:r>
        <w:rPr>
          <w:rFonts w:ascii="宋体" w:hAnsi="宋体" w:cs="宋体"/>
          <w:color w:val="auto"/>
          <w:spacing w:val="-2"/>
          <w:sz w:val="24"/>
          <w:szCs w:val="24"/>
          <w:highlight w:val="none"/>
        </w:rPr>
        <w:t>的约定进行定期验收；</w:t>
      </w:r>
    </w:p>
    <w:p w14:paraId="732A89B1">
      <w:pPr>
        <w:spacing w:before="180" w:line="360" w:lineRule="auto"/>
        <w:ind w:left="36" w:right="67" w:firstLine="439"/>
        <w:rPr>
          <w:rFonts w:ascii="宋体" w:hAnsi="宋体" w:cs="宋体"/>
          <w:color w:val="auto"/>
          <w:sz w:val="24"/>
          <w:szCs w:val="24"/>
          <w:highlight w:val="none"/>
        </w:rPr>
      </w:pPr>
      <w:r>
        <w:rPr>
          <w:rFonts w:ascii="宋体" w:hAnsi="宋体" w:cs="宋体"/>
          <w:color w:val="auto"/>
          <w:spacing w:val="-10"/>
          <w:sz w:val="24"/>
          <w:szCs w:val="24"/>
          <w:highlight w:val="none"/>
        </w:rPr>
        <w:t>2.</w:t>
      </w:r>
      <w:r>
        <w:rPr>
          <w:rFonts w:ascii="宋体" w:hAnsi="宋体" w:cs="宋体"/>
          <w:color w:val="auto"/>
          <w:spacing w:val="-7"/>
          <w:sz w:val="24"/>
          <w:szCs w:val="24"/>
          <w:highlight w:val="none"/>
        </w:rPr>
        <w:t>1</w:t>
      </w:r>
      <w:r>
        <w:rPr>
          <w:rFonts w:ascii="宋体" w:hAnsi="宋体" w:cs="宋体"/>
          <w:color w:val="auto"/>
          <w:spacing w:val="-5"/>
          <w:sz w:val="24"/>
          <w:szCs w:val="24"/>
          <w:highlight w:val="none"/>
        </w:rPr>
        <w:t>5.2 合同期满或者履行完毕后，甲方有权组织(包括依法邀请国家认可的</w:t>
      </w:r>
      <w:r>
        <w:rPr>
          <w:rFonts w:ascii="宋体" w:hAnsi="宋体" w:cs="宋体"/>
          <w:color w:val="auto"/>
          <w:spacing w:val="-12"/>
          <w:sz w:val="24"/>
          <w:szCs w:val="24"/>
          <w:highlight w:val="none"/>
        </w:rPr>
        <w:t>质量检测机构参加) 对乙方履约的验收， 即：按照合同约定的标准，组织对乙</w:t>
      </w:r>
      <w:r>
        <w:rPr>
          <w:rFonts w:ascii="宋体" w:hAnsi="宋体" w:cs="宋体"/>
          <w:color w:val="auto"/>
          <w:spacing w:val="-8"/>
          <w:sz w:val="24"/>
          <w:szCs w:val="24"/>
          <w:highlight w:val="none"/>
        </w:rPr>
        <w:t>方</w:t>
      </w:r>
      <w:r>
        <w:rPr>
          <w:rFonts w:ascii="宋体" w:hAnsi="宋体" w:cs="宋体"/>
          <w:color w:val="auto"/>
          <w:spacing w:val="-18"/>
          <w:sz w:val="24"/>
          <w:szCs w:val="24"/>
          <w:highlight w:val="none"/>
        </w:rPr>
        <w:t>履</w:t>
      </w:r>
      <w:r>
        <w:rPr>
          <w:rFonts w:ascii="宋体" w:hAnsi="宋体" w:cs="宋体"/>
          <w:color w:val="auto"/>
          <w:spacing w:val="-12"/>
          <w:sz w:val="24"/>
          <w:szCs w:val="24"/>
          <w:highlight w:val="none"/>
        </w:rPr>
        <w:t>约情况的验收，并出具验收书；向社会公众提供的公共服务项目，验收时应当</w:t>
      </w:r>
      <w:r>
        <w:rPr>
          <w:rFonts w:ascii="宋体" w:hAnsi="宋体" w:cs="宋体"/>
          <w:color w:val="auto"/>
          <w:spacing w:val="-4"/>
          <w:sz w:val="24"/>
          <w:szCs w:val="24"/>
          <w:highlight w:val="none"/>
        </w:rPr>
        <w:t>邀请服务对</w:t>
      </w:r>
      <w:r>
        <w:rPr>
          <w:rFonts w:ascii="宋体" w:hAnsi="宋体" w:cs="宋体"/>
          <w:color w:val="auto"/>
          <w:spacing w:val="-2"/>
          <w:sz w:val="24"/>
          <w:szCs w:val="24"/>
          <w:highlight w:val="none"/>
        </w:rPr>
        <w:t>象参与并出具意见，验收结果应当向社会公告；</w:t>
      </w:r>
    </w:p>
    <w:p w14:paraId="6D68F989">
      <w:pPr>
        <w:spacing w:before="1" w:line="345" w:lineRule="auto"/>
        <w:ind w:left="28" w:firstLine="446"/>
        <w:rPr>
          <w:rFonts w:ascii="宋体" w:hAnsi="宋体" w:cs="宋体"/>
          <w:color w:val="auto"/>
          <w:sz w:val="25"/>
          <w:szCs w:val="25"/>
          <w:highlight w:val="none"/>
        </w:rPr>
      </w:pPr>
      <w:r>
        <w:rPr>
          <w:rFonts w:ascii="宋体" w:hAnsi="宋体" w:cs="宋体"/>
          <w:color w:val="auto"/>
          <w:spacing w:val="-4"/>
          <w:sz w:val="24"/>
          <w:szCs w:val="24"/>
          <w:highlight w:val="none"/>
        </w:rPr>
        <w:t>2.15.3 检验和验收标准、程序等具体内容以及前述验收书的效力详见</w:t>
      </w:r>
      <w:r>
        <w:rPr>
          <w:rFonts w:ascii="宋体" w:hAnsi="宋体" w:cs="宋体"/>
          <w:color w:val="auto"/>
          <w:spacing w:val="-12"/>
          <w:sz w:val="24"/>
          <w:szCs w:val="24"/>
          <w:highlight w:val="none"/>
          <w:u w:val="single"/>
        </w:rPr>
        <w:t>合同专用条款。</w:t>
      </w:r>
    </w:p>
    <w:p w14:paraId="42016AB8">
      <w:pPr>
        <w:spacing w:line="219" w:lineRule="auto"/>
        <w:ind w:left="477"/>
        <w:outlineLvl w:val="0"/>
        <w:rPr>
          <w:rFonts w:ascii="宋体" w:hAnsi="宋体" w:cs="宋体"/>
          <w:color w:val="auto"/>
          <w:sz w:val="24"/>
          <w:szCs w:val="24"/>
          <w:highlight w:val="none"/>
        </w:rPr>
      </w:pPr>
      <w:r>
        <w:rPr>
          <w:rFonts w:ascii="宋体" w:hAnsi="宋体" w:cs="宋体"/>
          <w:color w:val="auto"/>
          <w:spacing w:val="-6"/>
          <w:sz w:val="24"/>
          <w:szCs w:val="24"/>
          <w:highlight w:val="none"/>
        </w:rPr>
        <w:t>2</w:t>
      </w:r>
      <w:r>
        <w:rPr>
          <w:rFonts w:ascii="宋体" w:hAnsi="宋体" w:cs="宋体"/>
          <w:color w:val="auto"/>
          <w:spacing w:val="-4"/>
          <w:sz w:val="24"/>
          <w:szCs w:val="24"/>
          <w:highlight w:val="none"/>
        </w:rPr>
        <w:t>.</w:t>
      </w:r>
      <w:r>
        <w:rPr>
          <w:rFonts w:ascii="宋体" w:hAnsi="宋体" w:cs="宋体"/>
          <w:color w:val="auto"/>
          <w:spacing w:val="-3"/>
          <w:sz w:val="24"/>
          <w:szCs w:val="24"/>
          <w:highlight w:val="none"/>
        </w:rPr>
        <w:t>16 合同使用的文字和适用的法律</w:t>
      </w:r>
    </w:p>
    <w:p w14:paraId="58C7F1D7">
      <w:pPr>
        <w:spacing w:before="183" w:line="219" w:lineRule="auto"/>
        <w:ind w:left="475"/>
        <w:rPr>
          <w:rFonts w:ascii="宋体" w:hAnsi="宋体" w:cs="宋体"/>
          <w:color w:val="auto"/>
          <w:sz w:val="24"/>
          <w:szCs w:val="24"/>
          <w:highlight w:val="none"/>
        </w:rPr>
      </w:pPr>
      <w:r>
        <w:rPr>
          <w:rFonts w:ascii="宋体" w:hAnsi="宋体" w:cs="宋体"/>
          <w:color w:val="auto"/>
          <w:spacing w:val="-6"/>
          <w:sz w:val="24"/>
          <w:szCs w:val="24"/>
          <w:highlight w:val="none"/>
        </w:rPr>
        <w:t>2.</w:t>
      </w:r>
      <w:r>
        <w:rPr>
          <w:rFonts w:ascii="宋体" w:hAnsi="宋体" w:cs="宋体"/>
          <w:color w:val="auto"/>
          <w:spacing w:val="-3"/>
          <w:sz w:val="24"/>
          <w:szCs w:val="24"/>
          <w:highlight w:val="none"/>
        </w:rPr>
        <w:t>16.1 合同使用汉语书就、变更和解释；</w:t>
      </w:r>
    </w:p>
    <w:p w14:paraId="6265EB7D">
      <w:pPr>
        <w:spacing w:before="182" w:line="220" w:lineRule="auto"/>
        <w:ind w:left="475"/>
        <w:rPr>
          <w:rFonts w:ascii="宋体" w:hAnsi="宋体" w:cs="宋体"/>
          <w:color w:val="auto"/>
          <w:sz w:val="24"/>
          <w:szCs w:val="24"/>
          <w:highlight w:val="none"/>
        </w:rPr>
      </w:pPr>
      <w:r>
        <w:rPr>
          <w:rFonts w:ascii="宋体" w:hAnsi="宋体" w:cs="宋体"/>
          <w:color w:val="auto"/>
          <w:spacing w:val="-5"/>
          <w:sz w:val="24"/>
          <w:szCs w:val="24"/>
          <w:highlight w:val="none"/>
        </w:rPr>
        <w:t>2.16.2 合同适用中华人民共和国法律</w:t>
      </w:r>
      <w:r>
        <w:rPr>
          <w:rFonts w:ascii="宋体" w:hAnsi="宋体" w:cs="宋体"/>
          <w:color w:val="auto"/>
          <w:spacing w:val="-4"/>
          <w:sz w:val="24"/>
          <w:szCs w:val="24"/>
          <w:highlight w:val="none"/>
        </w:rPr>
        <w:t>。</w:t>
      </w:r>
    </w:p>
    <w:p w14:paraId="0062128B">
      <w:pPr>
        <w:spacing w:before="183" w:line="220" w:lineRule="auto"/>
        <w:ind w:left="477"/>
        <w:rPr>
          <w:rFonts w:ascii="宋体" w:hAnsi="宋体" w:cs="宋体"/>
          <w:color w:val="auto"/>
          <w:sz w:val="24"/>
          <w:szCs w:val="24"/>
          <w:highlight w:val="none"/>
        </w:rPr>
      </w:pPr>
      <w:r>
        <w:rPr>
          <w:rFonts w:ascii="宋体" w:hAnsi="宋体" w:cs="宋体"/>
          <w:color w:val="auto"/>
          <w:spacing w:val="-10"/>
          <w:sz w:val="24"/>
          <w:szCs w:val="24"/>
          <w:highlight w:val="none"/>
        </w:rPr>
        <w:t>2</w:t>
      </w:r>
      <w:r>
        <w:rPr>
          <w:rFonts w:ascii="宋体" w:hAnsi="宋体" w:cs="宋体"/>
          <w:color w:val="auto"/>
          <w:spacing w:val="-6"/>
          <w:sz w:val="24"/>
          <w:szCs w:val="24"/>
          <w:highlight w:val="none"/>
        </w:rPr>
        <w:t>.17 履约保证金</w:t>
      </w:r>
    </w:p>
    <w:p w14:paraId="1EC15D3E">
      <w:pPr>
        <w:spacing w:before="182" w:line="211" w:lineRule="auto"/>
        <w:ind w:left="475"/>
        <w:rPr>
          <w:rFonts w:ascii="宋体" w:hAnsi="宋体" w:cs="宋体"/>
          <w:color w:val="auto"/>
          <w:spacing w:val="-10"/>
          <w:sz w:val="24"/>
          <w:szCs w:val="24"/>
          <w:highlight w:val="none"/>
        </w:rPr>
      </w:pPr>
      <w:r>
        <w:rPr>
          <w:rFonts w:ascii="宋体" w:hAnsi="宋体" w:cs="宋体"/>
          <w:color w:val="auto"/>
          <w:spacing w:val="-9"/>
          <w:sz w:val="24"/>
          <w:szCs w:val="24"/>
          <w:highlight w:val="none"/>
        </w:rPr>
        <w:t>2.17.1 采购文件要求乙方提交履约保证金的，乙方应按</w:t>
      </w:r>
      <w:r>
        <w:rPr>
          <w:rFonts w:hint="eastAsia" w:ascii="宋体" w:hAnsi="宋体" w:cs="宋体"/>
          <w:color w:val="auto"/>
          <w:spacing w:val="-5"/>
          <w:sz w:val="24"/>
          <w:szCs w:val="24"/>
          <w:highlight w:val="none"/>
          <w:u w:val="single"/>
        </w:rPr>
        <w:t>供应商须知前附表的</w:t>
      </w:r>
      <w:r>
        <w:rPr>
          <w:rFonts w:ascii="宋体" w:hAnsi="宋体" w:cs="宋体"/>
          <w:color w:val="auto"/>
          <w:spacing w:val="-9"/>
          <w:sz w:val="24"/>
          <w:szCs w:val="24"/>
          <w:highlight w:val="none"/>
        </w:rPr>
        <w:t>约定</w:t>
      </w:r>
    </w:p>
    <w:p w14:paraId="1697E8B9">
      <w:pPr>
        <w:spacing w:before="182" w:line="360" w:lineRule="auto"/>
        <w:ind w:left="39" w:right="8"/>
        <w:rPr>
          <w:rFonts w:ascii="宋体" w:hAnsi="宋体" w:cs="宋体"/>
          <w:color w:val="auto"/>
          <w:sz w:val="24"/>
          <w:szCs w:val="24"/>
          <w:highlight w:val="none"/>
        </w:rPr>
      </w:pPr>
      <w:r>
        <w:rPr>
          <w:rFonts w:ascii="宋体" w:hAnsi="宋体" w:cs="宋体"/>
          <w:color w:val="auto"/>
          <w:spacing w:val="-10"/>
          <w:sz w:val="24"/>
          <w:szCs w:val="24"/>
          <w:highlight w:val="none"/>
        </w:rPr>
        <w:t>提</w:t>
      </w:r>
      <w:r>
        <w:rPr>
          <w:rFonts w:ascii="宋体" w:hAnsi="宋体" w:cs="宋体"/>
          <w:color w:val="auto"/>
          <w:spacing w:val="-6"/>
          <w:sz w:val="24"/>
          <w:szCs w:val="24"/>
          <w:highlight w:val="none"/>
        </w:rPr>
        <w:t xml:space="preserve">交不超过合同价 </w:t>
      </w:r>
      <w:r>
        <w:rPr>
          <w:rFonts w:hint="eastAsia" w:ascii="宋体" w:hAnsi="宋体" w:cs="宋体"/>
          <w:color w:val="auto"/>
          <w:spacing w:val="-6"/>
          <w:sz w:val="24"/>
          <w:szCs w:val="24"/>
          <w:highlight w:val="none"/>
          <w:lang w:val="en-US" w:eastAsia="zh-CN"/>
        </w:rPr>
        <w:t>/</w:t>
      </w:r>
      <w:r>
        <w:rPr>
          <w:rFonts w:ascii="宋体" w:hAnsi="宋体" w:cs="宋体"/>
          <w:color w:val="auto"/>
          <w:spacing w:val="-6"/>
          <w:sz w:val="24"/>
          <w:szCs w:val="24"/>
          <w:highlight w:val="none"/>
        </w:rPr>
        <w:t>的履约保证金；</w:t>
      </w:r>
    </w:p>
    <w:p w14:paraId="44D07048">
      <w:pPr>
        <w:spacing w:before="3" w:line="352" w:lineRule="auto"/>
        <w:ind w:left="38" w:right="80" w:firstLine="437"/>
        <w:rPr>
          <w:rFonts w:ascii="宋体" w:hAnsi="宋体" w:cs="宋体"/>
          <w:color w:val="auto"/>
          <w:sz w:val="24"/>
          <w:szCs w:val="24"/>
          <w:highlight w:val="none"/>
        </w:rPr>
      </w:pPr>
      <w:r>
        <w:rPr>
          <w:rFonts w:ascii="宋体" w:hAnsi="宋体" w:cs="宋体"/>
          <w:color w:val="auto"/>
          <w:spacing w:val="-7"/>
          <w:sz w:val="24"/>
          <w:szCs w:val="24"/>
          <w:highlight w:val="none"/>
        </w:rPr>
        <w:t>2.17.2 履约保证金在</w:t>
      </w:r>
      <w:r>
        <w:rPr>
          <w:rFonts w:ascii="宋体" w:hAnsi="宋体" w:cs="宋体"/>
          <w:color w:val="auto"/>
          <w:spacing w:val="-1"/>
          <w:sz w:val="24"/>
          <w:szCs w:val="24"/>
          <w:highlight w:val="none"/>
          <w:u w:val="single"/>
        </w:rPr>
        <w:t>合同专用条款</w:t>
      </w:r>
      <w:r>
        <w:rPr>
          <w:rFonts w:ascii="宋体" w:hAnsi="宋体" w:cs="宋体"/>
          <w:color w:val="auto"/>
          <w:spacing w:val="-7"/>
          <w:sz w:val="24"/>
          <w:szCs w:val="24"/>
          <w:highlight w:val="none"/>
        </w:rPr>
        <w:t>约定期间内不予退还或者应完全有效，</w:t>
      </w:r>
      <w:r>
        <w:rPr>
          <w:rFonts w:ascii="宋体" w:hAnsi="宋体" w:cs="宋体"/>
          <w:color w:val="auto"/>
          <w:spacing w:val="-2"/>
          <w:sz w:val="24"/>
          <w:szCs w:val="24"/>
          <w:highlight w:val="none"/>
        </w:rPr>
        <w:t>前</w:t>
      </w:r>
      <w:r>
        <w:rPr>
          <w:rFonts w:ascii="宋体" w:hAnsi="宋体" w:cs="宋体"/>
          <w:color w:val="auto"/>
          <w:sz w:val="24"/>
          <w:szCs w:val="24"/>
          <w:highlight w:val="none"/>
        </w:rPr>
        <w:t xml:space="preserve"> </w:t>
      </w:r>
      <w:r>
        <w:rPr>
          <w:rFonts w:ascii="宋体" w:hAnsi="宋体" w:cs="宋体"/>
          <w:color w:val="auto"/>
          <w:spacing w:val="-1"/>
          <w:sz w:val="24"/>
          <w:szCs w:val="24"/>
          <w:highlight w:val="none"/>
        </w:rPr>
        <w:t>述约定期间届满之日</w:t>
      </w:r>
      <w:r>
        <w:rPr>
          <w:rFonts w:ascii="宋体" w:hAnsi="宋体" w:cs="宋体"/>
          <w:color w:val="auto"/>
          <w:sz w:val="24"/>
          <w:szCs w:val="24"/>
          <w:highlight w:val="none"/>
        </w:rPr>
        <w:t>起</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rPr>
        <w:t>个工作日内，甲方应将履约保证金退还乙方；</w:t>
      </w:r>
    </w:p>
    <w:p w14:paraId="320769C8">
      <w:pPr>
        <w:spacing w:before="3" w:line="359" w:lineRule="auto"/>
        <w:ind w:left="39" w:right="68" w:firstLine="436"/>
        <w:rPr>
          <w:rFonts w:ascii="宋体" w:hAnsi="宋体" w:cs="宋体"/>
          <w:color w:val="auto"/>
          <w:sz w:val="24"/>
          <w:szCs w:val="24"/>
          <w:highlight w:val="none"/>
        </w:rPr>
      </w:pPr>
      <w:r>
        <w:rPr>
          <w:rFonts w:ascii="宋体" w:hAnsi="宋体" w:cs="宋体"/>
          <w:color w:val="auto"/>
          <w:spacing w:val="-8"/>
          <w:sz w:val="24"/>
          <w:szCs w:val="24"/>
          <w:highlight w:val="none"/>
        </w:rPr>
        <w:t>2.17.3 如果乙方不履行合同，履约保证金不予退还； 如果乙方未能按合同</w:t>
      </w:r>
      <w:r>
        <w:rPr>
          <w:rFonts w:ascii="宋体" w:hAnsi="宋体" w:cs="宋体"/>
          <w:color w:val="auto"/>
          <w:spacing w:val="-6"/>
          <w:sz w:val="24"/>
          <w:szCs w:val="24"/>
          <w:highlight w:val="none"/>
        </w:rPr>
        <w:t>约</w:t>
      </w:r>
      <w:r>
        <w:rPr>
          <w:rFonts w:ascii="宋体" w:hAnsi="宋体" w:cs="宋体"/>
          <w:color w:val="auto"/>
          <w:spacing w:val="-12"/>
          <w:sz w:val="24"/>
          <w:szCs w:val="24"/>
          <w:highlight w:val="none"/>
        </w:rPr>
        <w:t>定</w:t>
      </w:r>
      <w:r>
        <w:rPr>
          <w:rFonts w:ascii="宋体" w:hAnsi="宋体" w:cs="宋体"/>
          <w:color w:val="auto"/>
          <w:spacing w:val="-10"/>
          <w:sz w:val="24"/>
          <w:szCs w:val="24"/>
          <w:highlight w:val="none"/>
        </w:rPr>
        <w:t>全</w:t>
      </w:r>
      <w:r>
        <w:rPr>
          <w:rFonts w:ascii="宋体" w:hAnsi="宋体" w:cs="宋体"/>
          <w:color w:val="auto"/>
          <w:spacing w:val="-6"/>
          <w:sz w:val="24"/>
          <w:szCs w:val="24"/>
          <w:highlight w:val="none"/>
        </w:rPr>
        <w:t>面履行义务，那么甲方有权从履约保证金中取得补偿或赔偿，同时不影响甲</w:t>
      </w:r>
      <w:r>
        <w:rPr>
          <w:rFonts w:ascii="宋体" w:hAnsi="宋体" w:cs="宋体"/>
          <w:color w:val="auto"/>
          <w:spacing w:val="-2"/>
          <w:sz w:val="24"/>
          <w:szCs w:val="24"/>
          <w:highlight w:val="none"/>
        </w:rPr>
        <w:t>方要求乙方承担合同约定的超过履约</w:t>
      </w:r>
      <w:r>
        <w:rPr>
          <w:rFonts w:ascii="宋体" w:hAnsi="宋体" w:cs="宋体"/>
          <w:color w:val="auto"/>
          <w:spacing w:val="-1"/>
          <w:sz w:val="24"/>
          <w:szCs w:val="24"/>
          <w:highlight w:val="none"/>
        </w:rPr>
        <w:t>保证金的违约责任的权利。</w:t>
      </w:r>
    </w:p>
    <w:p w14:paraId="5EB31071">
      <w:pPr>
        <w:spacing w:before="1" w:line="219" w:lineRule="auto"/>
        <w:ind w:left="477"/>
        <w:outlineLvl w:val="0"/>
        <w:rPr>
          <w:rFonts w:ascii="宋体" w:hAnsi="宋体" w:cs="宋体"/>
          <w:color w:val="auto"/>
          <w:sz w:val="24"/>
          <w:szCs w:val="24"/>
          <w:highlight w:val="none"/>
        </w:rPr>
      </w:pPr>
      <w:r>
        <w:rPr>
          <w:rFonts w:ascii="宋体" w:hAnsi="宋体" w:cs="宋体"/>
          <w:color w:val="auto"/>
          <w:spacing w:val="-1"/>
          <w:sz w:val="24"/>
          <w:szCs w:val="24"/>
          <w:highlight w:val="none"/>
        </w:rPr>
        <w:t>2.18 合</w:t>
      </w:r>
      <w:r>
        <w:rPr>
          <w:rFonts w:ascii="宋体" w:hAnsi="宋体" w:cs="宋体"/>
          <w:color w:val="auto"/>
          <w:sz w:val="24"/>
          <w:szCs w:val="24"/>
          <w:highlight w:val="none"/>
        </w:rPr>
        <w:t>同份数</w:t>
      </w:r>
    </w:p>
    <w:p w14:paraId="18B38824">
      <w:pPr>
        <w:spacing w:before="182" w:line="211" w:lineRule="auto"/>
        <w:ind w:left="473"/>
        <w:rPr>
          <w:rFonts w:ascii="宋体" w:hAnsi="宋体" w:cs="宋体"/>
          <w:color w:val="auto"/>
          <w:sz w:val="24"/>
          <w:szCs w:val="24"/>
          <w:highlight w:val="none"/>
        </w:rPr>
      </w:pPr>
      <w:r>
        <w:rPr>
          <w:rFonts w:ascii="宋体" w:hAnsi="宋体" w:cs="宋体"/>
          <w:color w:val="auto"/>
          <w:spacing w:val="-4"/>
          <w:sz w:val="24"/>
          <w:szCs w:val="24"/>
          <w:highlight w:val="none"/>
        </w:rPr>
        <w:t>合同份数按</w:t>
      </w:r>
      <w:r>
        <w:rPr>
          <w:rFonts w:ascii="宋体" w:hAnsi="宋体" w:cs="宋体"/>
          <w:color w:val="auto"/>
          <w:spacing w:val="-1"/>
          <w:sz w:val="24"/>
          <w:szCs w:val="24"/>
          <w:highlight w:val="none"/>
          <w:u w:val="single"/>
        </w:rPr>
        <w:t>合同专用条款</w:t>
      </w:r>
      <w:r>
        <w:rPr>
          <w:rFonts w:ascii="宋体" w:hAnsi="宋体" w:cs="宋体"/>
          <w:color w:val="auto"/>
          <w:spacing w:val="-2"/>
          <w:sz w:val="24"/>
          <w:szCs w:val="24"/>
          <w:highlight w:val="none"/>
        </w:rPr>
        <w:t>规定，每份均具有同等法律效力。</w:t>
      </w:r>
    </w:p>
    <w:p w14:paraId="44027803">
      <w:pPr>
        <w:rPr>
          <w:color w:val="auto"/>
          <w:highlight w:val="none"/>
        </w:rPr>
        <w:sectPr>
          <w:headerReference r:id="rId12" w:type="default"/>
          <w:footerReference r:id="rId13" w:type="default"/>
          <w:pgSz w:w="11907" w:h="16839"/>
          <w:pgMar w:top="1118" w:right="1731" w:bottom="1233" w:left="1771" w:header="877" w:footer="982" w:gutter="0"/>
          <w:pgNumType w:fmt="decimal"/>
          <w:cols w:space="720" w:num="1"/>
        </w:sectPr>
      </w:pPr>
    </w:p>
    <w:p w14:paraId="0CC03F01">
      <w:pPr>
        <w:spacing w:line="354" w:lineRule="auto"/>
        <w:rPr>
          <w:color w:val="auto"/>
          <w:highlight w:val="none"/>
        </w:rPr>
      </w:pPr>
    </w:p>
    <w:p w14:paraId="2932CEB1">
      <w:pPr>
        <w:spacing w:before="78" w:line="218" w:lineRule="auto"/>
        <w:ind w:left="2990"/>
        <w:rPr>
          <w:rFonts w:ascii="宋体" w:hAnsi="宋体" w:cs="宋体"/>
          <w:color w:val="auto"/>
          <w:sz w:val="24"/>
          <w:szCs w:val="24"/>
          <w:highlight w:val="none"/>
        </w:rPr>
      </w:pPr>
      <w:r>
        <w:rPr>
          <w:rFonts w:ascii="宋体" w:hAnsi="宋体" w:cs="宋体"/>
          <w:color w:val="auto"/>
          <w:spacing w:val="-1"/>
          <w:sz w:val="24"/>
          <w:szCs w:val="24"/>
          <w:highlight w:val="none"/>
        </w:rPr>
        <w:t>第</w:t>
      </w:r>
      <w:r>
        <w:rPr>
          <w:rFonts w:ascii="宋体" w:hAnsi="宋体" w:cs="宋体"/>
          <w:color w:val="auto"/>
          <w:sz w:val="24"/>
          <w:szCs w:val="24"/>
          <w:highlight w:val="none"/>
        </w:rPr>
        <w:t>三部分合同专用条款</w:t>
      </w:r>
    </w:p>
    <w:p w14:paraId="2DF7C229">
      <w:pPr>
        <w:spacing w:before="184" w:line="360" w:lineRule="auto"/>
        <w:ind w:left="42" w:firstLine="435"/>
        <w:rPr>
          <w:rFonts w:ascii="宋体" w:hAnsi="宋体" w:cs="宋体"/>
          <w:color w:val="auto"/>
          <w:sz w:val="24"/>
          <w:szCs w:val="24"/>
          <w:highlight w:val="none"/>
        </w:rPr>
      </w:pPr>
      <w:r>
        <w:rPr>
          <w:rFonts w:ascii="宋体" w:hAnsi="宋体" w:cs="宋体"/>
          <w:color w:val="auto"/>
          <w:spacing w:val="1"/>
          <w:sz w:val="24"/>
          <w:szCs w:val="24"/>
          <w:highlight w:val="none"/>
        </w:rPr>
        <w:t>本部分是对前两</w:t>
      </w:r>
      <w:r>
        <w:rPr>
          <w:rFonts w:ascii="宋体" w:hAnsi="宋体" w:cs="宋体"/>
          <w:color w:val="auto"/>
          <w:sz w:val="24"/>
          <w:szCs w:val="24"/>
          <w:highlight w:val="none"/>
        </w:rPr>
        <w:t xml:space="preserve">部分的补充和修改，如果前两部分和本部分的约定不一致， </w:t>
      </w:r>
      <w:r>
        <w:rPr>
          <w:rFonts w:ascii="宋体" w:hAnsi="宋体" w:cs="宋体"/>
          <w:color w:val="auto"/>
          <w:spacing w:val="-4"/>
          <w:sz w:val="24"/>
          <w:szCs w:val="24"/>
          <w:highlight w:val="none"/>
        </w:rPr>
        <w:t>应以本部分的约定为准。本部</w:t>
      </w:r>
      <w:r>
        <w:rPr>
          <w:rFonts w:ascii="宋体" w:hAnsi="宋体" w:cs="宋体"/>
          <w:color w:val="auto"/>
          <w:spacing w:val="-3"/>
          <w:sz w:val="24"/>
          <w:szCs w:val="24"/>
          <w:highlight w:val="none"/>
        </w:rPr>
        <w:t>分</w:t>
      </w:r>
      <w:r>
        <w:rPr>
          <w:rFonts w:ascii="宋体" w:hAnsi="宋体" w:cs="宋体"/>
          <w:color w:val="auto"/>
          <w:spacing w:val="-2"/>
          <w:sz w:val="24"/>
          <w:szCs w:val="24"/>
          <w:highlight w:val="none"/>
        </w:rPr>
        <w:t>的条款号应与前两部分的条款号保持对应；与前</w:t>
      </w:r>
      <w:r>
        <w:rPr>
          <w:rFonts w:ascii="宋体" w:hAnsi="宋体" w:cs="宋体"/>
          <w:color w:val="auto"/>
          <w:spacing w:val="-1"/>
          <w:sz w:val="24"/>
          <w:szCs w:val="24"/>
          <w:highlight w:val="none"/>
        </w:rPr>
        <w:t>两部分无对应关系的内容</w:t>
      </w:r>
      <w:r>
        <w:rPr>
          <w:rFonts w:ascii="宋体" w:hAnsi="宋体" w:cs="宋体"/>
          <w:color w:val="auto"/>
          <w:sz w:val="24"/>
          <w:szCs w:val="24"/>
          <w:highlight w:val="none"/>
        </w:rPr>
        <w:t>可另行编制条款号。</w:t>
      </w:r>
    </w:p>
    <w:p w14:paraId="25B2F56D">
      <w:pPr>
        <w:spacing w:line="69" w:lineRule="exact"/>
        <w:rPr>
          <w:color w:val="auto"/>
          <w:highlight w:val="none"/>
        </w:rPr>
      </w:pPr>
    </w:p>
    <w:tbl>
      <w:tblPr>
        <w:tblStyle w:val="103"/>
        <w:tblW w:w="83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7572"/>
      </w:tblGrid>
      <w:tr w14:paraId="62353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98" w:type="dxa"/>
            <w:tcBorders>
              <w:right w:val="single" w:color="000000" w:sz="4" w:space="0"/>
            </w:tcBorders>
          </w:tcPr>
          <w:p w14:paraId="215305F2">
            <w:pPr>
              <w:spacing w:before="83" w:line="220" w:lineRule="auto"/>
              <w:rPr>
                <w:rFonts w:ascii="宋体" w:hAnsi="宋体" w:cs="宋体"/>
                <w:color w:val="auto"/>
                <w:sz w:val="24"/>
                <w:szCs w:val="24"/>
                <w:highlight w:val="none"/>
              </w:rPr>
            </w:pPr>
            <w:r>
              <w:rPr>
                <w:rFonts w:ascii="宋体" w:hAnsi="宋体" w:cs="宋体"/>
                <w:color w:val="auto"/>
                <w:spacing w:val="-4"/>
                <w:sz w:val="24"/>
                <w:szCs w:val="24"/>
                <w:highlight w:val="none"/>
              </w:rPr>
              <w:t>条</w:t>
            </w:r>
            <w:r>
              <w:rPr>
                <w:rFonts w:ascii="宋体" w:hAnsi="宋体" w:cs="宋体"/>
                <w:color w:val="auto"/>
                <w:spacing w:val="-3"/>
                <w:sz w:val="24"/>
                <w:szCs w:val="24"/>
                <w:highlight w:val="none"/>
              </w:rPr>
              <w:t>款号</w:t>
            </w:r>
          </w:p>
        </w:tc>
        <w:tc>
          <w:tcPr>
            <w:tcW w:w="7572" w:type="dxa"/>
            <w:tcBorders>
              <w:left w:val="single" w:color="000000" w:sz="4" w:space="0"/>
              <w:right w:val="single" w:color="000000" w:sz="4" w:space="0"/>
            </w:tcBorders>
          </w:tcPr>
          <w:p w14:paraId="48C0B6F0">
            <w:pPr>
              <w:spacing w:before="83" w:line="220" w:lineRule="auto"/>
              <w:ind w:left="3311" w:firstLine="464"/>
              <w:rPr>
                <w:rFonts w:ascii="宋体" w:hAnsi="宋体" w:cs="宋体"/>
                <w:color w:val="auto"/>
                <w:sz w:val="24"/>
                <w:szCs w:val="24"/>
                <w:highlight w:val="none"/>
              </w:rPr>
            </w:pPr>
            <w:r>
              <w:rPr>
                <w:rFonts w:ascii="宋体" w:hAnsi="宋体" w:cs="宋体"/>
                <w:color w:val="auto"/>
                <w:spacing w:val="-4"/>
                <w:sz w:val="24"/>
                <w:szCs w:val="24"/>
                <w:highlight w:val="none"/>
              </w:rPr>
              <w:t>约</w:t>
            </w:r>
            <w:r>
              <w:rPr>
                <w:rFonts w:ascii="宋体" w:hAnsi="宋体" w:cs="宋体"/>
                <w:color w:val="auto"/>
                <w:spacing w:val="-3"/>
                <w:sz w:val="24"/>
                <w:szCs w:val="24"/>
                <w:highlight w:val="none"/>
              </w:rPr>
              <w:t>定</w:t>
            </w:r>
            <w:r>
              <w:rPr>
                <w:rFonts w:ascii="宋体" w:hAnsi="宋体" w:cs="宋体"/>
                <w:color w:val="auto"/>
                <w:spacing w:val="-2"/>
                <w:sz w:val="24"/>
                <w:szCs w:val="24"/>
                <w:highlight w:val="none"/>
              </w:rPr>
              <w:t>内容</w:t>
            </w:r>
          </w:p>
        </w:tc>
      </w:tr>
      <w:tr w14:paraId="3098D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98" w:type="dxa"/>
            <w:tcBorders>
              <w:right w:val="single" w:color="000000" w:sz="4" w:space="0"/>
            </w:tcBorders>
          </w:tcPr>
          <w:p w14:paraId="50644DF4">
            <w:pPr>
              <w:rPr>
                <w:rFonts w:cs="Arial"/>
                <w:color w:val="auto"/>
                <w:highlight w:val="none"/>
              </w:rPr>
            </w:pPr>
          </w:p>
        </w:tc>
        <w:tc>
          <w:tcPr>
            <w:tcW w:w="7572" w:type="dxa"/>
            <w:tcBorders>
              <w:left w:val="single" w:color="000000" w:sz="4" w:space="0"/>
              <w:right w:val="single" w:color="000000" w:sz="4" w:space="0"/>
            </w:tcBorders>
          </w:tcPr>
          <w:p w14:paraId="1A3C1391">
            <w:pPr>
              <w:rPr>
                <w:rFonts w:cs="Arial"/>
                <w:color w:val="auto"/>
                <w:highlight w:val="none"/>
              </w:rPr>
            </w:pPr>
          </w:p>
        </w:tc>
      </w:tr>
      <w:tr w14:paraId="7330B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98" w:type="dxa"/>
            <w:tcBorders>
              <w:right w:val="single" w:color="000000" w:sz="4" w:space="0"/>
            </w:tcBorders>
          </w:tcPr>
          <w:p w14:paraId="32E6C27A">
            <w:pPr>
              <w:rPr>
                <w:rFonts w:cs="Arial"/>
                <w:color w:val="auto"/>
                <w:highlight w:val="none"/>
              </w:rPr>
            </w:pPr>
          </w:p>
        </w:tc>
        <w:tc>
          <w:tcPr>
            <w:tcW w:w="7572" w:type="dxa"/>
            <w:tcBorders>
              <w:left w:val="single" w:color="000000" w:sz="4" w:space="0"/>
              <w:right w:val="single" w:color="000000" w:sz="4" w:space="0"/>
            </w:tcBorders>
          </w:tcPr>
          <w:p w14:paraId="26DBA823">
            <w:pPr>
              <w:rPr>
                <w:rFonts w:cs="Arial"/>
                <w:color w:val="auto"/>
                <w:highlight w:val="none"/>
              </w:rPr>
            </w:pPr>
          </w:p>
        </w:tc>
      </w:tr>
      <w:tr w14:paraId="54B27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tcBorders>
              <w:right w:val="single" w:color="000000" w:sz="4" w:space="0"/>
            </w:tcBorders>
          </w:tcPr>
          <w:p w14:paraId="0E5D3516">
            <w:pPr>
              <w:rPr>
                <w:rFonts w:cs="Arial"/>
                <w:color w:val="auto"/>
                <w:highlight w:val="none"/>
              </w:rPr>
            </w:pPr>
          </w:p>
        </w:tc>
        <w:tc>
          <w:tcPr>
            <w:tcW w:w="7572" w:type="dxa"/>
            <w:tcBorders>
              <w:left w:val="single" w:color="000000" w:sz="4" w:space="0"/>
              <w:right w:val="single" w:color="000000" w:sz="4" w:space="0"/>
            </w:tcBorders>
          </w:tcPr>
          <w:p w14:paraId="65A6B9E7">
            <w:pPr>
              <w:rPr>
                <w:rFonts w:cs="Arial"/>
                <w:color w:val="auto"/>
                <w:highlight w:val="none"/>
              </w:rPr>
            </w:pPr>
          </w:p>
        </w:tc>
      </w:tr>
      <w:tr w14:paraId="55E5D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98" w:type="dxa"/>
            <w:tcBorders>
              <w:right w:val="single" w:color="000000" w:sz="4" w:space="0"/>
            </w:tcBorders>
          </w:tcPr>
          <w:p w14:paraId="65C24354">
            <w:pPr>
              <w:rPr>
                <w:rFonts w:cs="Arial"/>
                <w:color w:val="auto"/>
                <w:highlight w:val="none"/>
              </w:rPr>
            </w:pPr>
          </w:p>
        </w:tc>
        <w:tc>
          <w:tcPr>
            <w:tcW w:w="7572" w:type="dxa"/>
            <w:tcBorders>
              <w:left w:val="single" w:color="000000" w:sz="4" w:space="0"/>
              <w:right w:val="single" w:color="000000" w:sz="4" w:space="0"/>
            </w:tcBorders>
          </w:tcPr>
          <w:p w14:paraId="58C3692A">
            <w:pPr>
              <w:rPr>
                <w:rFonts w:cs="Arial"/>
                <w:color w:val="auto"/>
                <w:highlight w:val="none"/>
              </w:rPr>
            </w:pPr>
          </w:p>
        </w:tc>
      </w:tr>
      <w:tr w14:paraId="084F6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98" w:type="dxa"/>
            <w:tcBorders>
              <w:right w:val="single" w:color="000000" w:sz="4" w:space="0"/>
            </w:tcBorders>
          </w:tcPr>
          <w:p w14:paraId="0963D364">
            <w:pPr>
              <w:rPr>
                <w:rFonts w:cs="Arial"/>
                <w:color w:val="auto"/>
                <w:highlight w:val="none"/>
              </w:rPr>
            </w:pPr>
          </w:p>
        </w:tc>
        <w:tc>
          <w:tcPr>
            <w:tcW w:w="7572" w:type="dxa"/>
            <w:tcBorders>
              <w:left w:val="single" w:color="000000" w:sz="4" w:space="0"/>
              <w:right w:val="single" w:color="000000" w:sz="4" w:space="0"/>
            </w:tcBorders>
          </w:tcPr>
          <w:p w14:paraId="365FD18A">
            <w:pPr>
              <w:rPr>
                <w:rFonts w:cs="Arial"/>
                <w:color w:val="auto"/>
                <w:highlight w:val="none"/>
              </w:rPr>
            </w:pPr>
          </w:p>
        </w:tc>
      </w:tr>
      <w:tr w14:paraId="427F1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tcBorders>
              <w:right w:val="single" w:color="000000" w:sz="4" w:space="0"/>
            </w:tcBorders>
          </w:tcPr>
          <w:p w14:paraId="57625EC3">
            <w:pPr>
              <w:rPr>
                <w:rFonts w:cs="Arial"/>
                <w:color w:val="auto"/>
                <w:highlight w:val="none"/>
              </w:rPr>
            </w:pPr>
          </w:p>
        </w:tc>
        <w:tc>
          <w:tcPr>
            <w:tcW w:w="7572" w:type="dxa"/>
            <w:tcBorders>
              <w:left w:val="single" w:color="000000" w:sz="4" w:space="0"/>
              <w:right w:val="single" w:color="000000" w:sz="4" w:space="0"/>
            </w:tcBorders>
          </w:tcPr>
          <w:p w14:paraId="65CFCFAA">
            <w:pPr>
              <w:rPr>
                <w:rFonts w:cs="Arial"/>
                <w:color w:val="auto"/>
                <w:highlight w:val="none"/>
              </w:rPr>
            </w:pPr>
          </w:p>
        </w:tc>
      </w:tr>
      <w:tr w14:paraId="03269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98" w:type="dxa"/>
            <w:tcBorders>
              <w:right w:val="single" w:color="000000" w:sz="4" w:space="0"/>
            </w:tcBorders>
          </w:tcPr>
          <w:p w14:paraId="16A4962D">
            <w:pPr>
              <w:rPr>
                <w:rFonts w:cs="Arial"/>
                <w:color w:val="auto"/>
                <w:highlight w:val="none"/>
              </w:rPr>
            </w:pPr>
          </w:p>
        </w:tc>
        <w:tc>
          <w:tcPr>
            <w:tcW w:w="7572" w:type="dxa"/>
            <w:tcBorders>
              <w:left w:val="single" w:color="000000" w:sz="4" w:space="0"/>
              <w:right w:val="single" w:color="000000" w:sz="4" w:space="0"/>
            </w:tcBorders>
          </w:tcPr>
          <w:p w14:paraId="3B109607">
            <w:pPr>
              <w:rPr>
                <w:rFonts w:cs="Arial"/>
                <w:color w:val="auto"/>
                <w:highlight w:val="none"/>
              </w:rPr>
            </w:pPr>
          </w:p>
        </w:tc>
      </w:tr>
      <w:tr w14:paraId="473CB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tcBorders>
              <w:right w:val="single" w:color="000000" w:sz="4" w:space="0"/>
            </w:tcBorders>
          </w:tcPr>
          <w:p w14:paraId="249EDD7A">
            <w:pPr>
              <w:rPr>
                <w:rFonts w:cs="Arial"/>
                <w:color w:val="auto"/>
                <w:highlight w:val="none"/>
              </w:rPr>
            </w:pPr>
          </w:p>
        </w:tc>
        <w:tc>
          <w:tcPr>
            <w:tcW w:w="7572" w:type="dxa"/>
            <w:tcBorders>
              <w:left w:val="single" w:color="000000" w:sz="4" w:space="0"/>
              <w:right w:val="single" w:color="000000" w:sz="4" w:space="0"/>
            </w:tcBorders>
          </w:tcPr>
          <w:p w14:paraId="6A799295">
            <w:pPr>
              <w:rPr>
                <w:rFonts w:cs="Arial"/>
                <w:color w:val="auto"/>
                <w:highlight w:val="none"/>
              </w:rPr>
            </w:pPr>
          </w:p>
        </w:tc>
      </w:tr>
      <w:tr w14:paraId="74E65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98" w:type="dxa"/>
            <w:tcBorders>
              <w:right w:val="single" w:color="000000" w:sz="4" w:space="0"/>
            </w:tcBorders>
          </w:tcPr>
          <w:p w14:paraId="4D38543E">
            <w:pPr>
              <w:rPr>
                <w:rFonts w:cs="Arial"/>
                <w:color w:val="auto"/>
                <w:highlight w:val="none"/>
              </w:rPr>
            </w:pPr>
          </w:p>
        </w:tc>
        <w:tc>
          <w:tcPr>
            <w:tcW w:w="7572" w:type="dxa"/>
            <w:tcBorders>
              <w:left w:val="single" w:color="000000" w:sz="4" w:space="0"/>
              <w:right w:val="single" w:color="000000" w:sz="4" w:space="0"/>
            </w:tcBorders>
          </w:tcPr>
          <w:p w14:paraId="39FF46DD">
            <w:pPr>
              <w:rPr>
                <w:rFonts w:cs="Arial"/>
                <w:color w:val="auto"/>
                <w:highlight w:val="none"/>
              </w:rPr>
            </w:pPr>
          </w:p>
        </w:tc>
      </w:tr>
      <w:tr w14:paraId="1855B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tcBorders>
              <w:right w:val="single" w:color="000000" w:sz="4" w:space="0"/>
            </w:tcBorders>
          </w:tcPr>
          <w:p w14:paraId="67A63112">
            <w:pPr>
              <w:rPr>
                <w:rFonts w:cs="Arial"/>
                <w:color w:val="auto"/>
                <w:highlight w:val="none"/>
              </w:rPr>
            </w:pPr>
          </w:p>
        </w:tc>
        <w:tc>
          <w:tcPr>
            <w:tcW w:w="7572" w:type="dxa"/>
            <w:tcBorders>
              <w:left w:val="single" w:color="000000" w:sz="4" w:space="0"/>
              <w:right w:val="single" w:color="000000" w:sz="4" w:space="0"/>
            </w:tcBorders>
          </w:tcPr>
          <w:p w14:paraId="7B46AE48">
            <w:pPr>
              <w:rPr>
                <w:rFonts w:cs="Arial"/>
                <w:color w:val="auto"/>
                <w:highlight w:val="none"/>
              </w:rPr>
            </w:pPr>
          </w:p>
        </w:tc>
      </w:tr>
      <w:tr w14:paraId="33FC6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tcBorders>
              <w:right w:val="single" w:color="000000" w:sz="4" w:space="0"/>
            </w:tcBorders>
          </w:tcPr>
          <w:p w14:paraId="7B411132">
            <w:pPr>
              <w:rPr>
                <w:rFonts w:cs="Arial"/>
                <w:color w:val="auto"/>
                <w:highlight w:val="none"/>
              </w:rPr>
            </w:pPr>
          </w:p>
        </w:tc>
        <w:tc>
          <w:tcPr>
            <w:tcW w:w="7572" w:type="dxa"/>
            <w:tcBorders>
              <w:left w:val="single" w:color="000000" w:sz="4" w:space="0"/>
              <w:right w:val="single" w:color="000000" w:sz="4" w:space="0"/>
            </w:tcBorders>
          </w:tcPr>
          <w:p w14:paraId="0E4C78C2">
            <w:pPr>
              <w:rPr>
                <w:rFonts w:cs="Arial"/>
                <w:color w:val="auto"/>
                <w:highlight w:val="none"/>
              </w:rPr>
            </w:pPr>
          </w:p>
        </w:tc>
      </w:tr>
      <w:tr w14:paraId="25D10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98" w:type="dxa"/>
            <w:tcBorders>
              <w:right w:val="single" w:color="000000" w:sz="4" w:space="0"/>
            </w:tcBorders>
          </w:tcPr>
          <w:p w14:paraId="43E6FBD9">
            <w:pPr>
              <w:rPr>
                <w:rFonts w:cs="Arial"/>
                <w:color w:val="auto"/>
                <w:highlight w:val="none"/>
              </w:rPr>
            </w:pPr>
          </w:p>
        </w:tc>
        <w:tc>
          <w:tcPr>
            <w:tcW w:w="7572" w:type="dxa"/>
            <w:tcBorders>
              <w:left w:val="single" w:color="000000" w:sz="4" w:space="0"/>
              <w:right w:val="single" w:color="000000" w:sz="4" w:space="0"/>
            </w:tcBorders>
          </w:tcPr>
          <w:p w14:paraId="69125D49">
            <w:pPr>
              <w:rPr>
                <w:rFonts w:cs="Arial"/>
                <w:color w:val="auto"/>
                <w:highlight w:val="none"/>
              </w:rPr>
            </w:pPr>
          </w:p>
        </w:tc>
      </w:tr>
    </w:tbl>
    <w:p w14:paraId="477A6AD3">
      <w:pPr>
        <w:rPr>
          <w:color w:val="auto"/>
          <w:sz w:val="24"/>
          <w:szCs w:val="24"/>
          <w:highlight w:val="none"/>
        </w:rPr>
      </w:pPr>
    </w:p>
    <w:p w14:paraId="7A35D311">
      <w:pPr>
        <w:rPr>
          <w:color w:val="auto"/>
          <w:highlight w:val="none"/>
        </w:rPr>
      </w:pPr>
      <w:r>
        <w:rPr>
          <w:color w:val="auto"/>
          <w:highlight w:val="none"/>
        </w:rPr>
        <w:br w:type="page"/>
      </w:r>
    </w:p>
    <w:p w14:paraId="29F6C14F">
      <w:pPr>
        <w:pStyle w:val="3"/>
        <w:numPr>
          <w:ilvl w:val="0"/>
          <w:numId w:val="2"/>
        </w:numPr>
        <w:spacing w:before="0" w:after="0"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w:t>
      </w:r>
      <w:bookmarkEnd w:id="65"/>
    </w:p>
    <w:p w14:paraId="1BD06DA8">
      <w:pPr>
        <w:numPr>
          <w:ilvl w:val="0"/>
          <w:numId w:val="0"/>
        </w:numPr>
        <w:spacing w:before="184" w:line="360" w:lineRule="auto"/>
        <w:ind w:left="477" w:leftChars="0"/>
        <w:rPr>
          <w:rFonts w:hint="eastAsia" w:ascii="宋体" w:hAnsi="宋体" w:eastAsia="宋体" w:cs="宋体"/>
          <w:color w:val="auto"/>
          <w:sz w:val="24"/>
          <w:szCs w:val="24"/>
          <w:highlight w:val="none"/>
        </w:rPr>
      </w:pPr>
      <w:bookmarkStart w:id="66" w:name="_Toc16717"/>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项目概况</w:t>
      </w:r>
    </w:p>
    <w:p w14:paraId="054CAD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根据省安全生产标准化现场考核以及2024年度直管工程汛后检查情况，4座排涝站还存在一些影响工程安全运行的问题，为切实保障直管工程安全运行，需开展现场问题整改及维修养护工作。</w:t>
      </w:r>
    </w:p>
    <w:p w14:paraId="25B6D220">
      <w:pPr>
        <w:numPr>
          <w:ilvl w:val="0"/>
          <w:numId w:val="3"/>
        </w:numPr>
        <w:spacing w:before="184" w:line="360" w:lineRule="auto"/>
        <w:ind w:left="477"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工作内容</w:t>
      </w:r>
    </w:p>
    <w:p w14:paraId="4FEBE15C">
      <w:pPr>
        <w:pStyle w:val="2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（1）安全生产标准化问题整改</w:t>
      </w:r>
    </w:p>
    <w:p w14:paraId="680CEE40">
      <w:pPr>
        <w:pStyle w:val="2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主要包含：1、苏大堰排涝站清污机龙门架基础处理；2、四座排涝站卷扬式启闭机钢丝绳端头加装护套；3、平桥排涝站拦污格栅除锈油漆；4、苏大堰排涝站交通桥取芯孔封堵；5、四座排涝站前池钢爬梯加装安全防护栏；6、清污机钢丝绳加装卡扣；7、大雁河排涝站补充绝缘地垫；8、各排涝站配电房补充设备状态指示、禁止入内等安全标牌。</w:t>
      </w:r>
    </w:p>
    <w:p w14:paraId="7C73F1E3">
      <w:pPr>
        <w:pStyle w:val="2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（2）汛后检查发现问题维保</w:t>
      </w:r>
    </w:p>
    <w:p w14:paraId="7C6C75BF">
      <w:pPr>
        <w:pStyle w:val="2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主要包含：张小园排涝涵供电线路维修更换、平桥排涝站水泵综合保护器更换、平桥排涝站仓库（活动板房）维修、汪冲水库电动巡逻车维修等13项内容（详见清单）。</w:t>
      </w:r>
    </w:p>
    <w:p w14:paraId="1708475E">
      <w:pPr>
        <w:numPr>
          <w:ilvl w:val="0"/>
          <w:numId w:val="0"/>
        </w:numPr>
        <w:spacing w:before="184" w:line="360" w:lineRule="auto"/>
        <w:ind w:left="477"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三、供应商资质要求</w:t>
      </w:r>
    </w:p>
    <w:p w14:paraId="267FC4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投标供应商能力要求:具有有效的水利水电工程施工总承包三级及以上资质，具有有效的安全生产许可证。</w:t>
      </w:r>
    </w:p>
    <w:p w14:paraId="18DE8348">
      <w:pPr>
        <w:numPr>
          <w:ilvl w:val="0"/>
          <w:numId w:val="0"/>
        </w:numPr>
        <w:spacing w:before="184" w:line="360" w:lineRule="auto"/>
        <w:ind w:left="477"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四、人员配置要求</w:t>
      </w:r>
    </w:p>
    <w:p w14:paraId="10AABC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1.项目经理一名，供应商需承诺项目经理(建造师)目前未在其他项目上任职(含已中标/成交的待建工程)，响应文件中提供承诺函，格式自拟。</w:t>
      </w:r>
      <w:r>
        <w:rPr>
          <w:rFonts w:hint="eastAsia" w:ascii="宋体" w:hAnsi="宋体" w:cs="宋体"/>
          <w:color w:val="auto"/>
          <w:kern w:val="2"/>
          <w:sz w:val="24"/>
          <w:szCs w:val="24"/>
          <w:highlight w:val="none"/>
          <w:lang w:val="en-US" w:eastAsia="zh-CN" w:bidi="ar-SA"/>
        </w:rPr>
        <w:t>须持有水行政主管部门颁发的在有效期内的安全B证。</w:t>
      </w:r>
    </w:p>
    <w:p w14:paraId="20A7D7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、安全员一名</w:t>
      </w:r>
      <w:r>
        <w:rPr>
          <w:rFonts w:hint="eastAsia" w:ascii="宋体" w:hAnsi="宋体" w:cs="宋体"/>
          <w:color w:val="auto"/>
          <w:kern w:val="2"/>
          <w:sz w:val="24"/>
          <w:szCs w:val="24"/>
          <w:highlight w:val="none"/>
          <w:lang w:val="en-US" w:eastAsia="zh-CN" w:bidi="ar-SA"/>
        </w:rPr>
        <w:t>（须持有水行政主管部门颁发的在有效期内的安全C证）</w:t>
      </w:r>
      <w:r>
        <w:rPr>
          <w:rFonts w:hint="eastAsia" w:ascii="宋体" w:hAnsi="宋体" w:eastAsia="宋体" w:cs="宋体"/>
          <w:color w:val="auto"/>
          <w:kern w:val="2"/>
          <w:sz w:val="24"/>
          <w:szCs w:val="24"/>
          <w:highlight w:val="none"/>
          <w:lang w:val="en-US" w:eastAsia="zh-CN" w:bidi="ar-SA"/>
        </w:rPr>
        <w:t>。</w:t>
      </w:r>
    </w:p>
    <w:p w14:paraId="5F7124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备注:响应文件中须提供项目经理(建造师)在响应截止日所属月份(含)过去6个月以内任意1个月的社保证明材料:其他施工项目部关键岗位人员则由供应商列出对应岗位的人员姓名、身份证号码(格式自拟)。</w:t>
      </w:r>
    </w:p>
    <w:p w14:paraId="0AF3AC56">
      <w:pPr>
        <w:numPr>
          <w:ilvl w:val="0"/>
          <w:numId w:val="0"/>
        </w:numPr>
        <w:spacing w:before="184" w:line="360" w:lineRule="auto"/>
        <w:ind w:left="477"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五、项目质保</w:t>
      </w:r>
    </w:p>
    <w:p w14:paraId="226669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质保期1年，质保期内出现非人为损坏，成交供应商提供维修方案，经采购人同意由成交供应商免费维修，如果采购人不同意成交供应商提供的维修方案，可以自行维修(限于需维修部分)，费用由成交供应商承担。</w:t>
      </w:r>
    </w:p>
    <w:p w14:paraId="6EBB888A">
      <w:pPr>
        <w:numPr>
          <w:ilvl w:val="0"/>
          <w:numId w:val="0"/>
        </w:numPr>
        <w:spacing w:before="184" w:line="360" w:lineRule="auto"/>
        <w:ind w:left="477"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六、质量、安全要求</w:t>
      </w:r>
    </w:p>
    <w:p w14:paraId="7BB344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所提供的工程、中间产品、原材料等均需达到合格要求</w:t>
      </w:r>
      <w:r>
        <w:rPr>
          <w:rFonts w:hint="eastAsia" w:ascii="宋体" w:hAnsi="宋体" w:eastAsia="宋体" w:cs="宋体"/>
          <w:color w:val="auto"/>
          <w:kern w:val="2"/>
          <w:sz w:val="24"/>
          <w:szCs w:val="24"/>
          <w:highlight w:val="none"/>
          <w:lang w:val="en-US" w:eastAsia="zh-CN" w:bidi="ar-SA"/>
        </w:rPr>
        <w:t>。</w:t>
      </w:r>
    </w:p>
    <w:p w14:paraId="2F901C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本项目相关工程临水、临边，供应商应做好安全防护工作。按照相关安全工作管理要求开展安全工作。</w:t>
      </w:r>
    </w:p>
    <w:p w14:paraId="446F4FDE">
      <w:pPr>
        <w:numPr>
          <w:ilvl w:val="0"/>
          <w:numId w:val="0"/>
        </w:numPr>
        <w:spacing w:before="184" w:line="360" w:lineRule="auto"/>
        <w:ind w:left="477"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七、工期</w:t>
      </w:r>
    </w:p>
    <w:p w14:paraId="745C2A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12月15日前完成全部内容并组织验收，成交供应商每延期一天. 采购人从成交供应商结算工程款中扣除未完成工程量的1%/每天。</w:t>
      </w:r>
    </w:p>
    <w:p w14:paraId="1787397D">
      <w:pPr>
        <w:numPr>
          <w:ilvl w:val="0"/>
          <w:numId w:val="0"/>
        </w:numPr>
        <w:spacing w:before="184" w:line="360" w:lineRule="auto"/>
        <w:ind w:left="477"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八、付款方式</w:t>
      </w:r>
    </w:p>
    <w:p w14:paraId="38956D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所有维修养护工作完成并验收合格后，一次性支付98%合同款，剩余2%作为质保金一年后支付。</w:t>
      </w:r>
    </w:p>
    <w:p w14:paraId="664386A6">
      <w:pPr>
        <w:numPr>
          <w:ilvl w:val="0"/>
          <w:numId w:val="0"/>
        </w:numPr>
        <w:spacing w:before="184" w:line="360" w:lineRule="auto"/>
        <w:ind w:left="477"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九、其他要求:</w:t>
      </w:r>
    </w:p>
    <w:p w14:paraId="6D445C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1、供应商应根据本项目实际需求制订确保工程质量的管理体系与措施，包含质量技术管理班子完善和制度健全;确保主要工序的质量技术保证措施和手段;自控体系等。</w:t>
      </w:r>
    </w:p>
    <w:p w14:paraId="264432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2、供应商应根据本项目实际需求制订确保安全生产的管理体系与措施，包含安全管理人员和制度;各道工序安全技术措施，符合安全技术标准要求;现场防火、安全防护措施等。</w:t>
      </w:r>
    </w:p>
    <w:p w14:paraId="47C9D8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3、供应商应根据本项目实际需求制订工程重难点及对应保证措施，包含工程施工的重点和难点；解决方案和措施等。</w:t>
      </w:r>
    </w:p>
    <w:p w14:paraId="7F80C0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供应商在响应文件上填报的施工项目经理(建造师)须常驻施工现场，在施工过程中不准更换，特殊情况必须更换的，须经过建设单位和相关行政监督部门同意，并支付相应违约金详见合同条款)，否则建设单位将解除合同，同时供应商向建设单位赔偿一切损失。</w:t>
      </w:r>
    </w:p>
    <w:p w14:paraId="391999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5、施工单位要安全文明施工，施工现场的垃圾、弃物等及时清运，保持道路清洁。在施工过程中所有外运土方运输车辆必须三证齐全(驾驶证、行驶证、运营证)，车辆出入必须冲洗干净,严禁污染市政路面，发</w:t>
      </w:r>
      <w:r>
        <w:rPr>
          <w:rFonts w:hint="eastAsia" w:ascii="宋体" w:hAnsi="宋体" w:cs="宋体"/>
          <w:color w:val="auto"/>
          <w:kern w:val="2"/>
          <w:sz w:val="24"/>
          <w:szCs w:val="24"/>
          <w:highlight w:val="none"/>
          <w:lang w:val="en-US" w:eastAsia="zh-CN" w:bidi="ar-SA"/>
        </w:rPr>
        <w:t>包</w:t>
      </w:r>
      <w:r>
        <w:rPr>
          <w:rFonts w:hint="eastAsia" w:ascii="宋体" w:hAnsi="宋体" w:eastAsia="宋体" w:cs="宋体"/>
          <w:color w:val="auto"/>
          <w:kern w:val="2"/>
          <w:sz w:val="24"/>
          <w:szCs w:val="24"/>
          <w:highlight w:val="none"/>
          <w:lang w:val="en-US" w:eastAsia="zh-CN" w:bidi="ar-SA"/>
        </w:rPr>
        <w:t>人每发现承包方一次罚款 1000元。进行土方运输时必须覆盖，严禁酒滴，发包人每发现车辆没覆盖一次罚款 1000元。前两次子以警告及罚款，第三次发包方有权终止合同。</w:t>
      </w:r>
    </w:p>
    <w:p w14:paraId="7E537F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6、成交供应商应严格执行国家相关法律法规、工程建设管理及省、市、县有关管理规定。</w:t>
      </w:r>
    </w:p>
    <w:p w14:paraId="687439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7、其他:</w:t>
      </w:r>
    </w:p>
    <w:p w14:paraId="21A168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（1）废料清运车辆需严格按规定路线行驶。</w:t>
      </w:r>
    </w:p>
    <w:p w14:paraId="1B2640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施工过程中，要重视对施工现场及运输路线上现有设施的保护，如有损坏要及时无偿修复。如果供应商不修复或不及时修复，采购人对供应商进行双倍罚款(维修恢复所发生的全费用)并委托第三方修复。</w:t>
      </w:r>
    </w:p>
    <w:p w14:paraId="4BCD9A8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8、本工程使用的材料由承包方采购供应:</w:t>
      </w:r>
    </w:p>
    <w:p w14:paraId="11C62B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(1)因成交供应商自行采购的材料质量引起的工程质量问题由成交供应商承担所造成的一切损失。</w:t>
      </w:r>
    </w:p>
    <w:p w14:paraId="19E0A9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自行采购的材料应满足设计和规范要求的质量等级，并须按有关技术规范要求对材料质量进行检验，采购的成品元件需提供合格证。成交供应商选定的材料供应厂家和价格须经采购人认可。如采购人对某种或某些材料的质量有异议，有权提出停止使用，成交供应商必须服从。若该材料经权威检验部门鉴定确有质量问题，由此发生的一切费用由成交供应商自行承担。</w:t>
      </w:r>
    </w:p>
    <w:p w14:paraId="114267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备注:上述涉及到的国家、省、市、县相关规定有最新政策变化的，执行最新出台的政策文件，除招标文件和合同条款约定外，不调整工程价款。</w:t>
      </w:r>
    </w:p>
    <w:p w14:paraId="10CA13A9">
      <w:pPr>
        <w:numPr>
          <w:ilvl w:val="0"/>
          <w:numId w:val="0"/>
        </w:numPr>
        <w:spacing w:before="184" w:line="360" w:lineRule="auto"/>
        <w:ind w:left="477"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十、工程量清单:详见附件。安全文明措施费为明标价，不做竞争。如部分中间产品需要更换种类，需经采购人确认后方可使用和更换。</w:t>
      </w:r>
    </w:p>
    <w:p w14:paraId="05F277B3">
      <w:pPr>
        <w:numPr>
          <w:ilvl w:val="0"/>
          <w:numId w:val="0"/>
        </w:numPr>
        <w:spacing w:before="184" w:line="360" w:lineRule="auto"/>
        <w:ind w:left="477" w:leftChars="0"/>
        <w:rPr>
          <w:rFonts w:hint="eastAsia" w:ascii="宋体" w:hAnsi="宋体" w:cs="宋体"/>
          <w:b/>
          <w:bCs/>
          <w:color w:val="auto"/>
          <w:sz w:val="24"/>
          <w:szCs w:val="24"/>
          <w:highlight w:val="none"/>
          <w:lang w:val="en-US" w:eastAsia="zh-CN"/>
        </w:rPr>
      </w:pPr>
    </w:p>
    <w:p w14:paraId="5C4D2439">
      <w:pPr>
        <w:pStyle w:val="32"/>
        <w:ind w:left="0" w:leftChars="0" w:firstLine="229" w:firstLineChars="100"/>
        <w:rPr>
          <w:rFonts w:hint="eastAsia" w:ascii="宋体" w:hAnsi="宋体" w:cs="宋体"/>
          <w:b/>
          <w:bCs/>
          <w:color w:val="auto"/>
          <w:spacing w:val="-6"/>
          <w:szCs w:val="24"/>
          <w:highlight w:val="none"/>
        </w:rPr>
      </w:pPr>
      <w:r>
        <w:rPr>
          <w:rFonts w:hint="eastAsia" w:ascii="宋体" w:hAnsi="宋体" w:cs="宋体"/>
          <w:b/>
          <w:bCs/>
          <w:color w:val="auto"/>
          <w:spacing w:val="-6"/>
          <w:szCs w:val="24"/>
          <w:highlight w:val="none"/>
        </w:rPr>
        <w:t>注：供应商的响应报价须包含上述所有</w:t>
      </w:r>
      <w:r>
        <w:rPr>
          <w:rFonts w:hint="eastAsia" w:ascii="宋体" w:hAnsi="宋体" w:cs="宋体"/>
          <w:b/>
          <w:bCs/>
          <w:color w:val="auto"/>
          <w:spacing w:val="-6"/>
          <w:szCs w:val="24"/>
          <w:highlight w:val="none"/>
          <w:lang w:val="en-US" w:eastAsia="zh-CN"/>
        </w:rPr>
        <w:t>工程</w:t>
      </w:r>
      <w:r>
        <w:rPr>
          <w:rFonts w:hint="eastAsia" w:ascii="宋体" w:hAnsi="宋体" w:cs="宋体"/>
          <w:b/>
          <w:bCs/>
          <w:color w:val="auto"/>
          <w:spacing w:val="-6"/>
          <w:szCs w:val="24"/>
          <w:highlight w:val="none"/>
        </w:rPr>
        <w:t>服务内容</w:t>
      </w:r>
      <w:r>
        <w:rPr>
          <w:rFonts w:hint="eastAsia" w:ascii="宋体" w:hAnsi="宋体" w:cs="宋体"/>
          <w:b/>
          <w:bCs/>
          <w:color w:val="auto"/>
          <w:spacing w:val="-6"/>
          <w:szCs w:val="24"/>
          <w:highlight w:val="none"/>
          <w:lang w:eastAsia="zh-CN"/>
        </w:rPr>
        <w:t>和国家规定的税金</w:t>
      </w:r>
      <w:r>
        <w:rPr>
          <w:rFonts w:hint="eastAsia" w:ascii="宋体" w:hAnsi="宋体" w:cs="宋体"/>
          <w:b/>
          <w:bCs/>
          <w:color w:val="auto"/>
          <w:spacing w:val="-6"/>
          <w:szCs w:val="24"/>
          <w:highlight w:val="none"/>
        </w:rPr>
        <w:t>，合同执行中不再另行支付。</w:t>
      </w:r>
    </w:p>
    <w:p w14:paraId="6BFAB6FD">
      <w:pPr>
        <w:rPr>
          <w:rFonts w:hint="eastAsia" w:ascii="宋体" w:hAnsi="宋体" w:cs="宋体"/>
          <w:b/>
          <w:bCs/>
          <w:color w:val="auto"/>
          <w:spacing w:val="-6"/>
          <w:szCs w:val="24"/>
          <w:highlight w:val="none"/>
        </w:rPr>
      </w:pPr>
      <w:r>
        <w:rPr>
          <w:rFonts w:hint="eastAsia" w:ascii="宋体" w:hAnsi="宋体" w:cs="宋体"/>
          <w:b/>
          <w:bCs/>
          <w:color w:val="auto"/>
          <w:spacing w:val="-6"/>
          <w:szCs w:val="24"/>
          <w:highlight w:val="none"/>
        </w:rPr>
        <w:br w:type="page"/>
      </w:r>
    </w:p>
    <w:p w14:paraId="422C1DA4">
      <w:pPr>
        <w:pStyle w:val="24"/>
        <w:rPr>
          <w:rFonts w:hint="default"/>
          <w:color w:val="auto"/>
          <w:highlight w:val="none"/>
          <w:lang w:val="en-US" w:eastAsia="zh-CN"/>
        </w:rPr>
      </w:pPr>
    </w:p>
    <w:p w14:paraId="4D6164BC">
      <w:pPr>
        <w:pStyle w:val="32"/>
        <w:numPr>
          <w:ilvl w:val="0"/>
          <w:numId w:val="0"/>
        </w:numPr>
        <w:rPr>
          <w:rFonts w:hint="default" w:ascii="宋体" w:hAnsi="宋体" w:eastAsia="宋体" w:cs="宋体"/>
          <w:color w:val="auto"/>
          <w:highlight w:val="none"/>
          <w:lang w:val="en-US" w:eastAsia="zh-CN"/>
        </w:rPr>
      </w:pPr>
    </w:p>
    <w:p w14:paraId="05E6A9D0">
      <w:pPr>
        <w:pStyle w:val="3"/>
        <w:spacing w:before="0" w:after="0"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四、响应文件格式</w:t>
      </w:r>
      <w:bookmarkEnd w:id="66"/>
    </w:p>
    <w:p w14:paraId="0086CF51">
      <w:pPr>
        <w:spacing w:line="500" w:lineRule="exact"/>
        <w:jc w:val="center"/>
        <w:rPr>
          <w:rFonts w:hint="eastAsia" w:ascii="宋体" w:hAnsi="宋体" w:eastAsia="宋体" w:cs="宋体"/>
          <w:b/>
          <w:color w:val="auto"/>
          <w:sz w:val="32"/>
          <w:highlight w:val="none"/>
        </w:rPr>
      </w:pPr>
    </w:p>
    <w:p w14:paraId="692BC77D">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项目</w:t>
      </w:r>
    </w:p>
    <w:p w14:paraId="3E55F180">
      <w:pPr>
        <w:spacing w:line="900" w:lineRule="exact"/>
        <w:rPr>
          <w:rFonts w:hint="eastAsia" w:ascii="宋体" w:hAnsi="宋体" w:eastAsia="宋体" w:cs="宋体"/>
          <w:b/>
          <w:color w:val="auto"/>
          <w:sz w:val="72"/>
          <w:highlight w:val="none"/>
        </w:rPr>
      </w:pPr>
    </w:p>
    <w:p w14:paraId="3EDCD25F">
      <w:pPr>
        <w:spacing w:line="900" w:lineRule="exact"/>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响</w:t>
      </w:r>
    </w:p>
    <w:p w14:paraId="55E26985">
      <w:pPr>
        <w:spacing w:line="900" w:lineRule="exact"/>
        <w:jc w:val="center"/>
        <w:rPr>
          <w:rFonts w:hint="eastAsia" w:ascii="宋体" w:hAnsi="宋体" w:eastAsia="宋体" w:cs="宋体"/>
          <w:b/>
          <w:color w:val="auto"/>
          <w:sz w:val="72"/>
          <w:highlight w:val="none"/>
        </w:rPr>
      </w:pPr>
    </w:p>
    <w:p w14:paraId="778E2DD7">
      <w:pPr>
        <w:spacing w:line="900" w:lineRule="exact"/>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应</w:t>
      </w:r>
    </w:p>
    <w:p w14:paraId="69DCDC00">
      <w:pPr>
        <w:spacing w:line="900" w:lineRule="exact"/>
        <w:jc w:val="center"/>
        <w:rPr>
          <w:rFonts w:hint="eastAsia" w:ascii="宋体" w:hAnsi="宋体" w:eastAsia="宋体" w:cs="宋体"/>
          <w:b/>
          <w:color w:val="auto"/>
          <w:sz w:val="72"/>
          <w:highlight w:val="none"/>
        </w:rPr>
      </w:pPr>
    </w:p>
    <w:p w14:paraId="131DBFBD">
      <w:pPr>
        <w:spacing w:line="900" w:lineRule="exact"/>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文</w:t>
      </w:r>
    </w:p>
    <w:p w14:paraId="3C00EDBE">
      <w:pPr>
        <w:spacing w:line="900" w:lineRule="exact"/>
        <w:jc w:val="center"/>
        <w:rPr>
          <w:rFonts w:hint="eastAsia" w:ascii="宋体" w:hAnsi="宋体" w:eastAsia="宋体" w:cs="宋体"/>
          <w:b/>
          <w:color w:val="auto"/>
          <w:sz w:val="72"/>
          <w:highlight w:val="none"/>
        </w:rPr>
      </w:pPr>
    </w:p>
    <w:p w14:paraId="6ECCDC74">
      <w:pPr>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件</w:t>
      </w:r>
    </w:p>
    <w:p w14:paraId="0C029DFE">
      <w:pPr>
        <w:spacing w:after="156" w:afterLines="50"/>
        <w:jc w:val="center"/>
        <w:rPr>
          <w:rFonts w:hint="eastAsia" w:ascii="宋体" w:hAnsi="宋体" w:eastAsia="宋体" w:cs="宋体"/>
          <w:b/>
          <w:color w:val="auto"/>
          <w:sz w:val="72"/>
          <w:highlight w:val="none"/>
        </w:rPr>
      </w:pPr>
    </w:p>
    <w:p w14:paraId="21F9E3DD">
      <w:pPr>
        <w:spacing w:after="156" w:afterLines="50" w:line="500" w:lineRule="exact"/>
        <w:jc w:val="center"/>
        <w:rPr>
          <w:rFonts w:hint="eastAsia" w:ascii="宋体" w:hAnsi="宋体" w:eastAsia="宋体" w:cs="宋体"/>
          <w:b/>
          <w:color w:val="auto"/>
          <w:sz w:val="30"/>
          <w:szCs w:val="30"/>
          <w:highlight w:val="none"/>
        </w:rPr>
      </w:pPr>
    </w:p>
    <w:p w14:paraId="1F1593F2">
      <w:pPr>
        <w:spacing w:after="156" w:afterLines="50" w:line="500" w:lineRule="exact"/>
        <w:jc w:val="center"/>
        <w:rPr>
          <w:rFonts w:hint="eastAsia" w:ascii="宋体" w:hAnsi="宋体" w:eastAsia="宋体" w:cs="宋体"/>
          <w:b/>
          <w:color w:val="auto"/>
          <w:sz w:val="72"/>
          <w:highlight w:val="none"/>
        </w:rPr>
      </w:pPr>
    </w:p>
    <w:p w14:paraId="5D2A84A4">
      <w:pPr>
        <w:spacing w:after="156" w:afterLines="50" w:line="500" w:lineRule="exact"/>
        <w:ind w:firstLine="2570" w:firstLineChars="800"/>
        <w:rPr>
          <w:rFonts w:hint="eastAsia" w:ascii="宋体" w:hAnsi="宋体" w:eastAsia="宋体" w:cs="宋体"/>
          <w:b/>
          <w:color w:val="auto"/>
          <w:sz w:val="32"/>
          <w:highlight w:val="none"/>
          <w:u w:val="single"/>
          <w:lang w:eastAsia="zh-CN"/>
        </w:rPr>
      </w:pPr>
      <w:r>
        <w:rPr>
          <w:rFonts w:hint="eastAsia" w:ascii="宋体" w:hAnsi="宋体" w:eastAsia="宋体" w:cs="宋体"/>
          <w:b/>
          <w:color w:val="auto"/>
          <w:sz w:val="32"/>
          <w:highlight w:val="none"/>
        </w:rPr>
        <w:t>供应商：</w:t>
      </w:r>
      <w:r>
        <w:rPr>
          <w:rFonts w:hint="eastAsia" w:ascii="宋体" w:hAnsi="宋体" w:cs="宋体"/>
          <w:b/>
          <w:color w:val="auto"/>
          <w:sz w:val="32"/>
          <w:highlight w:val="none"/>
          <w:u w:val="single"/>
          <w:lang w:val="en-US" w:eastAsia="zh-CN"/>
        </w:rPr>
        <w:t xml:space="preserve">         </w:t>
      </w:r>
      <w:r>
        <w:rPr>
          <w:rFonts w:hint="eastAsia" w:ascii="宋体" w:hAnsi="宋体" w:cs="宋体"/>
          <w:b/>
          <w:color w:val="auto"/>
          <w:sz w:val="32"/>
          <w:highlight w:val="none"/>
          <w:lang w:eastAsia="zh-CN"/>
        </w:rPr>
        <w:t>（</w:t>
      </w:r>
      <w:r>
        <w:rPr>
          <w:rFonts w:hint="eastAsia" w:ascii="宋体" w:hAnsi="宋体" w:cs="宋体"/>
          <w:b/>
          <w:color w:val="auto"/>
          <w:sz w:val="32"/>
          <w:highlight w:val="none"/>
          <w:lang w:val="en-US" w:eastAsia="zh-CN"/>
        </w:rPr>
        <w:t>盖章</w:t>
      </w:r>
      <w:r>
        <w:rPr>
          <w:rFonts w:hint="eastAsia" w:ascii="宋体" w:hAnsi="宋体" w:cs="宋体"/>
          <w:b/>
          <w:color w:val="auto"/>
          <w:sz w:val="32"/>
          <w:highlight w:val="none"/>
          <w:lang w:eastAsia="zh-CN"/>
        </w:rPr>
        <w:t>）</w:t>
      </w:r>
    </w:p>
    <w:p w14:paraId="388F07B2">
      <w:pPr>
        <w:spacing w:after="156" w:afterLines="50"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年  月  日</w:t>
      </w:r>
    </w:p>
    <w:p w14:paraId="7236CCEA">
      <w:pPr>
        <w:spacing w:after="156" w:afterLines="50" w:line="500" w:lineRule="exact"/>
        <w:jc w:val="center"/>
        <w:rPr>
          <w:rFonts w:hint="eastAsia" w:ascii="宋体" w:hAnsi="宋体" w:eastAsia="宋体" w:cs="宋体"/>
          <w:b/>
          <w:color w:val="auto"/>
          <w:sz w:val="32"/>
          <w:highlight w:val="none"/>
        </w:rPr>
      </w:pPr>
    </w:p>
    <w:p w14:paraId="1D7E5F81">
      <w:pPr>
        <w:spacing w:line="360" w:lineRule="auto"/>
        <w:rPr>
          <w:rFonts w:hint="eastAsia" w:ascii="宋体" w:hAnsi="宋体" w:eastAsia="宋体" w:cs="宋体"/>
          <w:color w:val="auto"/>
          <w:sz w:val="24"/>
          <w:szCs w:val="28"/>
          <w:highlight w:val="none"/>
        </w:rPr>
      </w:pPr>
    </w:p>
    <w:bookmarkEnd w:id="64"/>
    <w:p w14:paraId="5E1AFA1F">
      <w:pPr>
        <w:pStyle w:val="3"/>
        <w:spacing w:before="0" w:after="0" w:line="560" w:lineRule="exact"/>
        <w:jc w:val="center"/>
        <w:rPr>
          <w:rFonts w:hint="eastAsia" w:ascii="宋体" w:hAnsi="宋体" w:eastAsia="宋体" w:cs="宋体"/>
          <w:color w:val="auto"/>
          <w:sz w:val="24"/>
          <w:szCs w:val="24"/>
          <w:highlight w:val="none"/>
        </w:rPr>
      </w:pPr>
      <w:bookmarkStart w:id="67" w:name="_Toc219"/>
      <w:r>
        <w:rPr>
          <w:rFonts w:hint="eastAsia" w:ascii="宋体" w:hAnsi="宋体" w:eastAsia="宋体" w:cs="宋体"/>
          <w:color w:val="auto"/>
          <w:sz w:val="24"/>
          <w:szCs w:val="24"/>
          <w:highlight w:val="none"/>
        </w:rPr>
        <w:t>响应文件资料清单</w:t>
      </w:r>
      <w:bookmarkEnd w:id="67"/>
    </w:p>
    <w:tbl>
      <w:tblPr>
        <w:tblStyle w:val="3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1E68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2848BF64">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6038" w:type="dxa"/>
            <w:vAlign w:val="center"/>
          </w:tcPr>
          <w:p w14:paraId="5BEA981D">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资料名称</w:t>
            </w:r>
          </w:p>
        </w:tc>
        <w:tc>
          <w:tcPr>
            <w:tcW w:w="1417" w:type="dxa"/>
            <w:vAlign w:val="center"/>
          </w:tcPr>
          <w:p w14:paraId="7DA185ED">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198D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0F2C76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p>
        </w:tc>
        <w:tc>
          <w:tcPr>
            <w:tcW w:w="6038" w:type="dxa"/>
            <w:vAlign w:val="center"/>
          </w:tcPr>
          <w:p w14:paraId="0BF022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报价单</w:t>
            </w:r>
          </w:p>
        </w:tc>
        <w:tc>
          <w:tcPr>
            <w:tcW w:w="1417" w:type="dxa"/>
            <w:vAlign w:val="center"/>
          </w:tcPr>
          <w:p w14:paraId="17800D5D">
            <w:pPr>
              <w:spacing w:line="360" w:lineRule="auto"/>
              <w:jc w:val="center"/>
              <w:rPr>
                <w:rFonts w:hint="eastAsia" w:ascii="宋体" w:hAnsi="宋体" w:eastAsia="宋体" w:cs="宋体"/>
                <w:b/>
                <w:color w:val="auto"/>
                <w:sz w:val="24"/>
                <w:highlight w:val="none"/>
              </w:rPr>
            </w:pPr>
          </w:p>
        </w:tc>
      </w:tr>
      <w:tr w14:paraId="02E6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406C45D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p>
        </w:tc>
        <w:tc>
          <w:tcPr>
            <w:tcW w:w="6038" w:type="dxa"/>
            <w:vAlign w:val="center"/>
          </w:tcPr>
          <w:p w14:paraId="6C916B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供应商基本信息</w:t>
            </w:r>
          </w:p>
        </w:tc>
        <w:tc>
          <w:tcPr>
            <w:tcW w:w="1417" w:type="dxa"/>
            <w:vAlign w:val="center"/>
          </w:tcPr>
          <w:p w14:paraId="37C47FCE">
            <w:pPr>
              <w:spacing w:line="360" w:lineRule="auto"/>
              <w:jc w:val="center"/>
              <w:rPr>
                <w:rFonts w:hint="eastAsia" w:ascii="宋体" w:hAnsi="宋体" w:eastAsia="宋体" w:cs="宋体"/>
                <w:b/>
                <w:color w:val="auto"/>
                <w:sz w:val="24"/>
                <w:highlight w:val="none"/>
              </w:rPr>
            </w:pPr>
          </w:p>
        </w:tc>
      </w:tr>
      <w:tr w14:paraId="4346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60FEC4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p>
        </w:tc>
        <w:tc>
          <w:tcPr>
            <w:tcW w:w="6038" w:type="dxa"/>
            <w:vAlign w:val="center"/>
          </w:tcPr>
          <w:p w14:paraId="07807170">
            <w:pPr>
              <w:pStyle w:val="68"/>
              <w:rPr>
                <w:rFonts w:hint="eastAsia" w:ascii="宋体" w:hAnsi="宋体" w:eastAsia="宋体" w:cs="宋体"/>
                <w:color w:val="auto"/>
                <w:highlight w:val="none"/>
              </w:rPr>
            </w:pPr>
            <w:r>
              <w:rPr>
                <w:rFonts w:hint="eastAsia" w:ascii="宋体" w:hAnsi="宋体" w:eastAsia="宋体" w:cs="宋体"/>
                <w:color w:val="auto"/>
                <w:szCs w:val="24"/>
                <w:highlight w:val="none"/>
              </w:rPr>
              <w:t>谈判授权书</w:t>
            </w:r>
          </w:p>
        </w:tc>
        <w:tc>
          <w:tcPr>
            <w:tcW w:w="1417" w:type="dxa"/>
            <w:vAlign w:val="center"/>
          </w:tcPr>
          <w:p w14:paraId="407AD9D3">
            <w:pPr>
              <w:spacing w:line="360" w:lineRule="auto"/>
              <w:jc w:val="center"/>
              <w:rPr>
                <w:rFonts w:hint="eastAsia" w:ascii="宋体" w:hAnsi="宋体" w:eastAsia="宋体" w:cs="宋体"/>
                <w:b/>
                <w:color w:val="auto"/>
                <w:sz w:val="24"/>
                <w:highlight w:val="none"/>
              </w:rPr>
            </w:pPr>
          </w:p>
        </w:tc>
      </w:tr>
      <w:tr w14:paraId="4525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7B10B0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四</w:t>
            </w:r>
          </w:p>
        </w:tc>
        <w:tc>
          <w:tcPr>
            <w:tcW w:w="6038" w:type="dxa"/>
            <w:vAlign w:val="center"/>
          </w:tcPr>
          <w:p w14:paraId="1935D8B4">
            <w:pPr>
              <w:pStyle w:val="68"/>
              <w:rPr>
                <w:rFonts w:hint="eastAsia" w:ascii="宋体" w:hAnsi="宋体" w:eastAsia="宋体" w:cs="宋体"/>
                <w:color w:val="auto"/>
                <w:highlight w:val="none"/>
              </w:rPr>
            </w:pPr>
            <w:r>
              <w:rPr>
                <w:rFonts w:hint="eastAsia" w:ascii="宋体" w:hAnsi="宋体" w:eastAsia="宋体" w:cs="宋体"/>
                <w:color w:val="auto"/>
                <w:szCs w:val="24"/>
                <w:highlight w:val="none"/>
              </w:rPr>
              <w:t>谈判响应函</w:t>
            </w:r>
          </w:p>
        </w:tc>
        <w:tc>
          <w:tcPr>
            <w:tcW w:w="1417" w:type="dxa"/>
            <w:vAlign w:val="center"/>
          </w:tcPr>
          <w:p w14:paraId="09708F27">
            <w:pPr>
              <w:spacing w:line="360" w:lineRule="auto"/>
              <w:jc w:val="center"/>
              <w:rPr>
                <w:rFonts w:hint="eastAsia" w:ascii="宋体" w:hAnsi="宋体" w:eastAsia="宋体" w:cs="宋体"/>
                <w:b/>
                <w:color w:val="auto"/>
                <w:sz w:val="24"/>
                <w:highlight w:val="none"/>
              </w:rPr>
            </w:pPr>
          </w:p>
        </w:tc>
      </w:tr>
      <w:tr w14:paraId="5445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8D660F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五</w:t>
            </w:r>
          </w:p>
        </w:tc>
        <w:tc>
          <w:tcPr>
            <w:tcW w:w="6038" w:type="dxa"/>
            <w:vAlign w:val="center"/>
          </w:tcPr>
          <w:p w14:paraId="6DE8587A">
            <w:pP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无重大违法记录声明函、无不良信用记录承诺函</w:t>
            </w:r>
          </w:p>
        </w:tc>
        <w:tc>
          <w:tcPr>
            <w:tcW w:w="1417" w:type="dxa"/>
            <w:vAlign w:val="center"/>
          </w:tcPr>
          <w:p w14:paraId="3F866C71">
            <w:pPr>
              <w:spacing w:line="360" w:lineRule="auto"/>
              <w:jc w:val="center"/>
              <w:rPr>
                <w:rFonts w:hint="eastAsia" w:ascii="宋体" w:hAnsi="宋体" w:eastAsia="宋体" w:cs="宋体"/>
                <w:b/>
                <w:color w:val="auto"/>
                <w:sz w:val="24"/>
                <w:highlight w:val="none"/>
              </w:rPr>
            </w:pPr>
          </w:p>
        </w:tc>
      </w:tr>
      <w:tr w14:paraId="08D2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62A17C0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六</w:t>
            </w:r>
          </w:p>
        </w:tc>
        <w:tc>
          <w:tcPr>
            <w:tcW w:w="6038" w:type="dxa"/>
            <w:vAlign w:val="center"/>
          </w:tcPr>
          <w:p w14:paraId="419CF90C">
            <w:pP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响应情况表</w:t>
            </w:r>
          </w:p>
        </w:tc>
        <w:tc>
          <w:tcPr>
            <w:tcW w:w="1417" w:type="dxa"/>
            <w:vAlign w:val="center"/>
          </w:tcPr>
          <w:p w14:paraId="45FE3309">
            <w:pPr>
              <w:spacing w:line="360" w:lineRule="auto"/>
              <w:rPr>
                <w:rFonts w:hint="eastAsia" w:ascii="宋体" w:hAnsi="宋体" w:eastAsia="宋体" w:cs="宋体"/>
                <w:b/>
                <w:color w:val="auto"/>
                <w:sz w:val="24"/>
                <w:highlight w:val="none"/>
              </w:rPr>
            </w:pPr>
          </w:p>
        </w:tc>
      </w:tr>
      <w:tr w14:paraId="5505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30CA1191">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七</w:t>
            </w:r>
          </w:p>
        </w:tc>
        <w:tc>
          <w:tcPr>
            <w:tcW w:w="6038" w:type="dxa"/>
            <w:vAlign w:val="center"/>
          </w:tcPr>
          <w:p w14:paraId="4356F4D2">
            <w:pP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谈判文件要求和供应商认为需要提供的其它说明和资料</w:t>
            </w:r>
          </w:p>
        </w:tc>
        <w:tc>
          <w:tcPr>
            <w:tcW w:w="1417" w:type="dxa"/>
            <w:vAlign w:val="center"/>
          </w:tcPr>
          <w:p w14:paraId="6C2791EC">
            <w:pPr>
              <w:spacing w:line="360" w:lineRule="auto"/>
              <w:rPr>
                <w:rFonts w:hint="eastAsia" w:ascii="宋体" w:hAnsi="宋体" w:eastAsia="宋体" w:cs="宋体"/>
                <w:b/>
                <w:color w:val="auto"/>
                <w:sz w:val="24"/>
                <w:highlight w:val="none"/>
              </w:rPr>
            </w:pPr>
          </w:p>
        </w:tc>
      </w:tr>
      <w:tr w14:paraId="0A73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DFBEA1A">
            <w:pPr>
              <w:jc w:val="center"/>
              <w:rPr>
                <w:rFonts w:hint="eastAsia" w:ascii="宋体" w:hAnsi="宋体" w:eastAsia="宋体" w:cs="宋体"/>
                <w:color w:val="auto"/>
                <w:sz w:val="24"/>
                <w:highlight w:val="none"/>
              </w:rPr>
            </w:pPr>
          </w:p>
        </w:tc>
        <w:tc>
          <w:tcPr>
            <w:tcW w:w="6038" w:type="dxa"/>
            <w:vAlign w:val="center"/>
          </w:tcPr>
          <w:p w14:paraId="47978BA2">
            <w:pPr>
              <w:rPr>
                <w:rFonts w:hint="eastAsia" w:ascii="宋体" w:hAnsi="宋体" w:eastAsia="宋体" w:cs="宋体"/>
                <w:color w:val="auto"/>
                <w:sz w:val="24"/>
                <w:highlight w:val="none"/>
              </w:rPr>
            </w:pPr>
          </w:p>
        </w:tc>
        <w:tc>
          <w:tcPr>
            <w:tcW w:w="1417" w:type="dxa"/>
            <w:vAlign w:val="center"/>
          </w:tcPr>
          <w:p w14:paraId="4E0524BE">
            <w:pPr>
              <w:spacing w:line="360" w:lineRule="auto"/>
              <w:rPr>
                <w:rFonts w:hint="eastAsia" w:ascii="宋体" w:hAnsi="宋体" w:eastAsia="宋体" w:cs="宋体"/>
                <w:b/>
                <w:color w:val="auto"/>
                <w:sz w:val="24"/>
                <w:highlight w:val="none"/>
              </w:rPr>
            </w:pPr>
          </w:p>
        </w:tc>
      </w:tr>
      <w:tr w14:paraId="0B6B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7F1C4206">
            <w:pPr>
              <w:jc w:val="center"/>
              <w:rPr>
                <w:rFonts w:hint="eastAsia" w:ascii="宋体" w:hAnsi="宋体" w:eastAsia="宋体" w:cs="宋体"/>
                <w:color w:val="auto"/>
                <w:sz w:val="24"/>
                <w:highlight w:val="none"/>
              </w:rPr>
            </w:pPr>
          </w:p>
        </w:tc>
        <w:tc>
          <w:tcPr>
            <w:tcW w:w="6038" w:type="dxa"/>
            <w:vAlign w:val="center"/>
          </w:tcPr>
          <w:p w14:paraId="2936EA3A">
            <w:pPr>
              <w:rPr>
                <w:rFonts w:hint="eastAsia" w:ascii="宋体" w:hAnsi="宋体" w:eastAsia="宋体" w:cs="宋体"/>
                <w:color w:val="auto"/>
                <w:sz w:val="24"/>
                <w:highlight w:val="none"/>
              </w:rPr>
            </w:pPr>
          </w:p>
        </w:tc>
        <w:tc>
          <w:tcPr>
            <w:tcW w:w="1417" w:type="dxa"/>
            <w:vAlign w:val="center"/>
          </w:tcPr>
          <w:p w14:paraId="41BD3819">
            <w:pPr>
              <w:spacing w:line="360" w:lineRule="auto"/>
              <w:rPr>
                <w:rFonts w:hint="eastAsia" w:ascii="宋体" w:hAnsi="宋体" w:eastAsia="宋体" w:cs="宋体"/>
                <w:b/>
                <w:color w:val="auto"/>
                <w:sz w:val="24"/>
                <w:highlight w:val="none"/>
              </w:rPr>
            </w:pPr>
          </w:p>
        </w:tc>
      </w:tr>
      <w:tr w14:paraId="343E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66E16070">
            <w:pPr>
              <w:jc w:val="center"/>
              <w:rPr>
                <w:rFonts w:hint="eastAsia" w:ascii="宋体" w:hAnsi="宋体" w:eastAsia="宋体" w:cs="宋体"/>
                <w:color w:val="auto"/>
                <w:sz w:val="24"/>
                <w:highlight w:val="none"/>
              </w:rPr>
            </w:pPr>
          </w:p>
        </w:tc>
        <w:tc>
          <w:tcPr>
            <w:tcW w:w="6038" w:type="dxa"/>
            <w:vAlign w:val="center"/>
          </w:tcPr>
          <w:p w14:paraId="5C4A42B3">
            <w:pPr>
              <w:rPr>
                <w:rFonts w:hint="eastAsia" w:ascii="宋体" w:hAnsi="宋体" w:eastAsia="宋体" w:cs="宋体"/>
                <w:color w:val="auto"/>
                <w:sz w:val="24"/>
                <w:highlight w:val="none"/>
              </w:rPr>
            </w:pPr>
          </w:p>
        </w:tc>
        <w:tc>
          <w:tcPr>
            <w:tcW w:w="1417" w:type="dxa"/>
            <w:vAlign w:val="center"/>
          </w:tcPr>
          <w:p w14:paraId="26417CB7">
            <w:pPr>
              <w:spacing w:line="360" w:lineRule="auto"/>
              <w:rPr>
                <w:rFonts w:hint="eastAsia" w:ascii="宋体" w:hAnsi="宋体" w:eastAsia="宋体" w:cs="宋体"/>
                <w:b/>
                <w:color w:val="auto"/>
                <w:sz w:val="24"/>
                <w:highlight w:val="none"/>
              </w:rPr>
            </w:pPr>
          </w:p>
        </w:tc>
      </w:tr>
    </w:tbl>
    <w:p w14:paraId="00EE62AE">
      <w:pPr>
        <w:spacing w:line="360" w:lineRule="auto"/>
        <w:jc w:val="center"/>
        <w:rPr>
          <w:rFonts w:hint="eastAsia" w:ascii="宋体" w:hAnsi="宋体" w:eastAsia="宋体" w:cs="宋体"/>
          <w:b/>
          <w:color w:val="auto"/>
          <w:sz w:val="24"/>
          <w:highlight w:val="none"/>
        </w:rPr>
      </w:pPr>
    </w:p>
    <w:p w14:paraId="309034ED">
      <w:pPr>
        <w:spacing w:line="360" w:lineRule="auto"/>
        <w:jc w:val="center"/>
        <w:rPr>
          <w:rFonts w:hint="eastAsia" w:ascii="宋体" w:hAnsi="宋体" w:eastAsia="宋体" w:cs="宋体"/>
          <w:b/>
          <w:color w:val="auto"/>
          <w:sz w:val="24"/>
          <w:highlight w:val="none"/>
        </w:rPr>
      </w:pPr>
    </w:p>
    <w:p w14:paraId="59419981">
      <w:pPr>
        <w:spacing w:line="360" w:lineRule="auto"/>
        <w:jc w:val="center"/>
        <w:rPr>
          <w:rFonts w:hint="eastAsia" w:ascii="宋体" w:hAnsi="宋体" w:eastAsia="宋体" w:cs="宋体"/>
          <w:b/>
          <w:color w:val="auto"/>
          <w:sz w:val="24"/>
          <w:highlight w:val="none"/>
        </w:rPr>
      </w:pPr>
    </w:p>
    <w:p w14:paraId="434A322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345FF4F">
      <w:pPr>
        <w:pStyle w:val="3"/>
        <w:spacing w:before="0" w:after="0" w:line="560" w:lineRule="exact"/>
        <w:rPr>
          <w:rFonts w:hint="eastAsia" w:ascii="宋体" w:hAnsi="宋体" w:eastAsia="宋体" w:cs="宋体"/>
          <w:color w:val="auto"/>
          <w:sz w:val="24"/>
          <w:szCs w:val="24"/>
          <w:highlight w:val="none"/>
        </w:rPr>
      </w:pPr>
      <w:bookmarkStart w:id="68" w:name="_Toc10531"/>
      <w:r>
        <w:rPr>
          <w:rFonts w:hint="eastAsia" w:ascii="宋体" w:hAnsi="宋体" w:eastAsia="宋体" w:cs="宋体"/>
          <w:color w:val="auto"/>
          <w:sz w:val="24"/>
          <w:szCs w:val="24"/>
          <w:highlight w:val="none"/>
        </w:rPr>
        <w:t>附件一</w:t>
      </w:r>
      <w:bookmarkEnd w:id="68"/>
    </w:p>
    <w:p w14:paraId="29DD5758">
      <w:pPr>
        <w:pStyle w:val="3"/>
        <w:spacing w:before="156" w:beforeLines="50" w:after="156" w:afterLines="50" w:line="560" w:lineRule="exact"/>
        <w:jc w:val="center"/>
        <w:rPr>
          <w:rFonts w:hint="eastAsia" w:ascii="宋体" w:hAnsi="宋体" w:eastAsia="宋体" w:cs="宋体"/>
          <w:color w:val="auto"/>
          <w:sz w:val="24"/>
          <w:szCs w:val="24"/>
          <w:highlight w:val="none"/>
        </w:rPr>
      </w:pPr>
      <w:bookmarkStart w:id="69" w:name="_Toc21540"/>
      <w:bookmarkStart w:id="70" w:name="_Toc5601"/>
      <w:r>
        <w:rPr>
          <w:rFonts w:hint="eastAsia" w:ascii="宋体" w:hAnsi="宋体" w:eastAsia="宋体" w:cs="宋体"/>
          <w:color w:val="auto"/>
          <w:sz w:val="24"/>
          <w:szCs w:val="24"/>
          <w:highlight w:val="none"/>
        </w:rPr>
        <w:t>报价单</w:t>
      </w:r>
      <w:bookmarkEnd w:id="69"/>
      <w:bookmarkEnd w:id="70"/>
    </w:p>
    <w:p w14:paraId="6A733C05">
      <w:pPr>
        <w:snapToGrid w:val="0"/>
        <w:spacing w:line="360" w:lineRule="auto"/>
        <w:rPr>
          <w:rFonts w:hint="eastAsia" w:ascii="宋体" w:hAnsi="宋体" w:cs="宋体"/>
          <w:b/>
          <w:bCs w:val="0"/>
          <w:color w:val="auto"/>
          <w:sz w:val="24"/>
          <w:szCs w:val="24"/>
          <w:highlight w:val="none"/>
          <w:lang w:val="en-US" w:eastAsia="zh-CN"/>
        </w:rPr>
      </w:pPr>
    </w:p>
    <w:p w14:paraId="645BABE1">
      <w:pPr>
        <w:snapToGrid w:val="0"/>
        <w:spacing w:line="360" w:lineRule="auto"/>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请按清单报价</w:t>
      </w:r>
    </w:p>
    <w:p w14:paraId="4B5F37C2">
      <w:pPr>
        <w:snapToGrid w:val="0"/>
        <w:spacing w:line="360" w:lineRule="auto"/>
        <w:rPr>
          <w:rFonts w:hint="eastAsia" w:ascii="宋体" w:hAnsi="宋体" w:eastAsia="宋体" w:cs="宋体"/>
          <w:bCs/>
          <w:color w:val="auto"/>
          <w:sz w:val="24"/>
          <w:szCs w:val="24"/>
          <w:highlight w:val="none"/>
        </w:rPr>
      </w:pPr>
    </w:p>
    <w:p w14:paraId="584D62BD">
      <w:pPr>
        <w:spacing w:line="360" w:lineRule="auto"/>
        <w:ind w:right="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04EB80C4">
      <w:pPr>
        <w:spacing w:line="560" w:lineRule="exact"/>
        <w:ind w:right="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供应商</w:t>
      </w:r>
      <w:r>
        <w:rPr>
          <w:rFonts w:hint="eastAsia" w:ascii="宋体" w:hAnsi="宋体" w:cs="宋体"/>
          <w:b/>
          <w:bCs/>
          <w:color w:val="auto"/>
          <w:sz w:val="24"/>
          <w:szCs w:val="24"/>
          <w:highlight w:val="none"/>
          <w:lang w:val="en-US" w:eastAsia="zh-CN"/>
        </w:rPr>
        <w:t>盖章</w:t>
      </w:r>
      <w:r>
        <w:rPr>
          <w:rFonts w:hint="eastAsia" w:ascii="宋体" w:hAnsi="宋体" w:eastAsia="宋体" w:cs="宋体"/>
          <w:b/>
          <w:bCs/>
          <w:color w:val="auto"/>
          <w:sz w:val="24"/>
          <w:szCs w:val="24"/>
          <w:highlight w:val="none"/>
        </w:rPr>
        <w:t>：</w:t>
      </w:r>
    </w:p>
    <w:p w14:paraId="6AA34434">
      <w:pPr>
        <w:spacing w:line="560" w:lineRule="exact"/>
        <w:ind w:firstLine="4337" w:firstLineChars="18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日</w:t>
      </w:r>
    </w:p>
    <w:p w14:paraId="21AC00BE">
      <w:pPr>
        <w:adjustRightInd w:val="0"/>
        <w:snapToGrid w:val="0"/>
        <w:spacing w:line="360" w:lineRule="auto"/>
        <w:rPr>
          <w:rFonts w:hint="eastAsia" w:ascii="宋体" w:hAnsi="宋体" w:eastAsia="宋体" w:cs="宋体"/>
          <w:b/>
          <w:color w:val="auto"/>
          <w:sz w:val="24"/>
          <w:szCs w:val="24"/>
          <w:highlight w:val="none"/>
        </w:rPr>
      </w:pPr>
    </w:p>
    <w:p w14:paraId="39E0B731">
      <w:pPr>
        <w:adjustRightInd w:val="0"/>
        <w:snapToGrid w:val="0"/>
        <w:spacing w:line="360" w:lineRule="auto"/>
        <w:rPr>
          <w:rFonts w:hint="eastAsia" w:ascii="宋体" w:hAnsi="宋体" w:eastAsia="宋体" w:cs="宋体"/>
          <w:b/>
          <w:color w:val="auto"/>
          <w:sz w:val="24"/>
          <w:szCs w:val="24"/>
          <w:highlight w:val="none"/>
        </w:rPr>
      </w:pPr>
    </w:p>
    <w:p w14:paraId="2F8A17CF">
      <w:pPr>
        <w:spacing w:line="360" w:lineRule="auto"/>
        <w:rPr>
          <w:rFonts w:hint="eastAsia" w:ascii="宋体" w:hAnsi="宋体" w:eastAsia="宋体" w:cs="宋体"/>
          <w:color w:val="auto"/>
          <w:sz w:val="24"/>
          <w:szCs w:val="24"/>
          <w:highlight w:val="none"/>
        </w:rPr>
      </w:pPr>
    </w:p>
    <w:p w14:paraId="477D525B">
      <w:pPr>
        <w:spacing w:line="360" w:lineRule="auto"/>
        <w:rPr>
          <w:rFonts w:hint="eastAsia" w:ascii="宋体" w:hAnsi="宋体" w:eastAsia="宋体" w:cs="宋体"/>
          <w:color w:val="auto"/>
          <w:sz w:val="24"/>
          <w:szCs w:val="24"/>
          <w:highlight w:val="none"/>
        </w:rPr>
      </w:pPr>
    </w:p>
    <w:p w14:paraId="109BD24E">
      <w:pPr>
        <w:spacing w:line="360" w:lineRule="auto"/>
        <w:rPr>
          <w:rFonts w:hint="eastAsia" w:ascii="宋体" w:hAnsi="宋体" w:eastAsia="宋体" w:cs="宋体"/>
          <w:color w:val="auto"/>
          <w:sz w:val="24"/>
          <w:szCs w:val="24"/>
          <w:highlight w:val="none"/>
        </w:rPr>
      </w:pPr>
    </w:p>
    <w:p w14:paraId="34A97E73">
      <w:pPr>
        <w:spacing w:line="360" w:lineRule="auto"/>
        <w:rPr>
          <w:rFonts w:hint="eastAsia" w:ascii="宋体" w:hAnsi="宋体" w:eastAsia="宋体" w:cs="宋体"/>
          <w:color w:val="auto"/>
          <w:sz w:val="24"/>
          <w:szCs w:val="24"/>
          <w:highlight w:val="none"/>
        </w:rPr>
      </w:pPr>
    </w:p>
    <w:p w14:paraId="00BE9728">
      <w:pPr>
        <w:spacing w:line="360" w:lineRule="auto"/>
        <w:rPr>
          <w:rFonts w:hint="eastAsia" w:ascii="宋体" w:hAnsi="宋体" w:eastAsia="宋体" w:cs="宋体"/>
          <w:color w:val="auto"/>
          <w:sz w:val="24"/>
          <w:szCs w:val="24"/>
          <w:highlight w:val="none"/>
        </w:rPr>
      </w:pPr>
    </w:p>
    <w:p w14:paraId="456941AD">
      <w:pPr>
        <w:spacing w:line="360" w:lineRule="auto"/>
        <w:rPr>
          <w:rFonts w:hint="eastAsia" w:ascii="宋体" w:hAnsi="宋体" w:eastAsia="宋体" w:cs="宋体"/>
          <w:color w:val="auto"/>
          <w:sz w:val="24"/>
          <w:szCs w:val="24"/>
          <w:highlight w:val="none"/>
        </w:rPr>
      </w:pPr>
    </w:p>
    <w:p w14:paraId="2F2E5D24">
      <w:pPr>
        <w:spacing w:line="360" w:lineRule="auto"/>
        <w:rPr>
          <w:rFonts w:hint="eastAsia" w:ascii="宋体" w:hAnsi="宋体" w:eastAsia="宋体" w:cs="宋体"/>
          <w:color w:val="auto"/>
          <w:sz w:val="24"/>
          <w:szCs w:val="24"/>
          <w:highlight w:val="none"/>
        </w:rPr>
      </w:pPr>
    </w:p>
    <w:p w14:paraId="23D9E829">
      <w:pPr>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C541831">
      <w:pPr>
        <w:pStyle w:val="3"/>
        <w:spacing w:before="0" w:after="0" w:line="560" w:lineRule="exact"/>
        <w:rPr>
          <w:rFonts w:hint="eastAsia" w:ascii="宋体" w:hAnsi="宋体" w:eastAsia="宋体" w:cs="宋体"/>
          <w:color w:val="auto"/>
          <w:sz w:val="24"/>
          <w:szCs w:val="24"/>
          <w:highlight w:val="none"/>
        </w:rPr>
      </w:pPr>
      <w:bookmarkStart w:id="71" w:name="_Toc20862"/>
      <w:r>
        <w:rPr>
          <w:rFonts w:hint="eastAsia" w:ascii="宋体" w:hAnsi="宋体" w:eastAsia="宋体" w:cs="宋体"/>
          <w:color w:val="auto"/>
          <w:sz w:val="24"/>
          <w:szCs w:val="24"/>
          <w:highlight w:val="none"/>
        </w:rPr>
        <w:t>附件二</w:t>
      </w:r>
      <w:bookmarkEnd w:id="71"/>
    </w:p>
    <w:p w14:paraId="73741CA2">
      <w:pPr>
        <w:pStyle w:val="3"/>
        <w:spacing w:before="0" w:after="0" w:line="560" w:lineRule="exact"/>
        <w:jc w:val="center"/>
        <w:rPr>
          <w:rFonts w:hint="eastAsia" w:ascii="宋体" w:hAnsi="宋体" w:eastAsia="宋体" w:cs="宋体"/>
          <w:color w:val="auto"/>
          <w:sz w:val="24"/>
          <w:szCs w:val="24"/>
          <w:highlight w:val="none"/>
        </w:rPr>
      </w:pPr>
      <w:bookmarkStart w:id="72" w:name="_Toc17280"/>
      <w:bookmarkStart w:id="73" w:name="_Toc4686"/>
      <w:r>
        <w:rPr>
          <w:rFonts w:hint="eastAsia" w:ascii="宋体" w:hAnsi="宋体" w:eastAsia="宋体" w:cs="宋体"/>
          <w:color w:val="auto"/>
          <w:sz w:val="24"/>
          <w:szCs w:val="24"/>
          <w:highlight w:val="none"/>
        </w:rPr>
        <w:t>供应商基本信息</w:t>
      </w:r>
      <w:bookmarkEnd w:id="72"/>
      <w:bookmarkEnd w:id="73"/>
    </w:p>
    <w:p w14:paraId="78408064">
      <w:pPr>
        <w:spacing w:line="360" w:lineRule="auto"/>
        <w:jc w:val="left"/>
        <w:rPr>
          <w:rFonts w:hint="default" w:ascii="宋体" w:hAnsi="宋体" w:eastAsia="宋体" w:cs="宋体"/>
          <w:color w:val="auto"/>
          <w:highlight w:val="none"/>
          <w:lang w:val="en-US" w:eastAsia="zh-CN"/>
        </w:rPr>
      </w:pPr>
      <w:r>
        <w:rPr>
          <w:rFonts w:hint="eastAsia" w:ascii="宋体" w:hAnsi="宋体" w:cs="宋体"/>
          <w:color w:val="auto"/>
          <w:sz w:val="24"/>
          <w:szCs w:val="24"/>
          <w:highlight w:val="none"/>
          <w:lang w:val="en-US" w:eastAsia="zh-CN"/>
        </w:rPr>
        <w:t>供应商自拟</w:t>
      </w:r>
    </w:p>
    <w:p w14:paraId="3FBCD144">
      <w:pPr>
        <w:pStyle w:val="3"/>
        <w:spacing w:before="0" w:after="0" w:line="560" w:lineRule="exact"/>
        <w:rPr>
          <w:rFonts w:hint="eastAsia" w:ascii="宋体" w:hAnsi="宋体" w:eastAsia="宋体" w:cs="宋体"/>
          <w:color w:val="auto"/>
          <w:sz w:val="24"/>
          <w:szCs w:val="24"/>
          <w:highlight w:val="none"/>
        </w:rPr>
      </w:pPr>
      <w:bookmarkStart w:id="74" w:name="_Toc18811"/>
    </w:p>
    <w:p w14:paraId="07EF6A7A">
      <w:pPr>
        <w:pStyle w:val="3"/>
        <w:spacing w:before="0" w:after="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附件三</w:t>
      </w:r>
      <w:bookmarkEnd w:id="74"/>
    </w:p>
    <w:p w14:paraId="571EF955">
      <w:pPr>
        <w:pStyle w:val="3"/>
        <w:spacing w:before="0" w:after="0" w:line="560" w:lineRule="exact"/>
        <w:jc w:val="center"/>
        <w:rPr>
          <w:rFonts w:hint="eastAsia" w:ascii="宋体" w:hAnsi="宋体" w:eastAsia="宋体" w:cs="宋体"/>
          <w:color w:val="auto"/>
          <w:sz w:val="24"/>
          <w:szCs w:val="24"/>
          <w:highlight w:val="none"/>
        </w:rPr>
      </w:pPr>
      <w:bookmarkStart w:id="75" w:name="_Toc10696"/>
      <w:bookmarkStart w:id="76" w:name="_Toc2697"/>
      <w:r>
        <w:rPr>
          <w:rFonts w:hint="eastAsia" w:ascii="宋体" w:hAnsi="宋体" w:eastAsia="宋体" w:cs="宋体"/>
          <w:color w:val="auto"/>
          <w:sz w:val="24"/>
          <w:szCs w:val="24"/>
          <w:highlight w:val="none"/>
        </w:rPr>
        <w:t>谈判授权书</w:t>
      </w:r>
      <w:bookmarkEnd w:id="75"/>
      <w:bookmarkEnd w:id="76"/>
    </w:p>
    <w:p w14:paraId="662AF070">
      <w:pPr>
        <w:rPr>
          <w:rFonts w:hint="eastAsia" w:ascii="宋体" w:hAnsi="宋体" w:eastAsia="宋体" w:cs="宋体"/>
          <w:color w:val="auto"/>
          <w:sz w:val="24"/>
          <w:szCs w:val="24"/>
          <w:highlight w:val="none"/>
        </w:rPr>
      </w:pPr>
    </w:p>
    <w:p w14:paraId="7CB2FBAF">
      <w:pPr>
        <w:spacing w:line="48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致：_________________</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lang w:eastAsia="zh-CN"/>
        </w:rPr>
        <w:t>）</w:t>
      </w:r>
    </w:p>
    <w:p w14:paraId="6F458722">
      <w:pPr>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（被授权人的姓名）为我方就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项目谈判活动的合法代理人，以我方名义全权处理与该项目谈判、签订合同以及合同执行有关的一切事务。</w:t>
      </w:r>
    </w:p>
    <w:p w14:paraId="0BAE5D48">
      <w:pPr>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0F140C6">
      <w:pPr>
        <w:spacing w:line="360" w:lineRule="auto"/>
        <w:jc w:val="left"/>
        <w:rPr>
          <w:rFonts w:hint="eastAsia" w:ascii="宋体" w:hAnsi="宋体" w:eastAsia="宋体" w:cs="宋体"/>
          <w:color w:val="auto"/>
          <w:sz w:val="24"/>
          <w:szCs w:val="24"/>
          <w:highlight w:val="none"/>
        </w:rPr>
      </w:pPr>
    </w:p>
    <w:p w14:paraId="798E2E5A">
      <w:pPr>
        <w:spacing w:line="360" w:lineRule="auto"/>
        <w:ind w:firstLine="1084" w:firstLineChars="450"/>
        <w:jc w:val="left"/>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14:paraId="3787F3EC">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职    务：</w:t>
      </w:r>
      <w:r>
        <w:rPr>
          <w:rFonts w:hint="eastAsia" w:ascii="宋体" w:hAnsi="宋体" w:eastAsia="宋体" w:cs="宋体"/>
          <w:color w:val="auto"/>
          <w:sz w:val="24"/>
          <w:szCs w:val="24"/>
          <w:highlight w:val="none"/>
          <w:u w:val="single"/>
        </w:rPr>
        <w:t xml:space="preserve">                        </w:t>
      </w:r>
    </w:p>
    <w:p w14:paraId="4D5F76FD">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联系手机：</w:t>
      </w:r>
      <w:r>
        <w:rPr>
          <w:rFonts w:hint="eastAsia" w:ascii="宋体" w:hAnsi="宋体" w:eastAsia="宋体" w:cs="宋体"/>
          <w:color w:val="auto"/>
          <w:sz w:val="24"/>
          <w:szCs w:val="24"/>
          <w:highlight w:val="none"/>
          <w:u w:val="single"/>
        </w:rPr>
        <w:t xml:space="preserve">                        </w:t>
      </w:r>
    </w:p>
    <w:p w14:paraId="5E66DF51">
      <w:pPr>
        <w:spacing w:line="360" w:lineRule="auto"/>
        <w:ind w:firstLine="1200" w:firstLineChars="5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固定电话：</w:t>
      </w:r>
      <w:r>
        <w:rPr>
          <w:rFonts w:hint="eastAsia" w:ascii="宋体" w:hAnsi="宋体" w:eastAsia="宋体" w:cs="宋体"/>
          <w:color w:val="auto"/>
          <w:sz w:val="24"/>
          <w:szCs w:val="24"/>
          <w:highlight w:val="none"/>
          <w:u w:val="single"/>
        </w:rPr>
        <w:t xml:space="preserve">                         </w:t>
      </w:r>
    </w:p>
    <w:p w14:paraId="53112D05">
      <w:pPr>
        <w:spacing w:line="360" w:lineRule="auto"/>
        <w:ind w:firstLine="1084" w:firstLineChars="450"/>
        <w:jc w:val="left"/>
        <w:rPr>
          <w:rFonts w:hint="eastAsia" w:ascii="宋体" w:hAnsi="宋体" w:eastAsia="宋体" w:cs="宋体"/>
          <w:b/>
          <w:bCs/>
          <w:color w:val="auto"/>
          <w:sz w:val="24"/>
          <w:szCs w:val="24"/>
          <w:highlight w:val="none"/>
        </w:rPr>
      </w:pPr>
    </w:p>
    <w:p w14:paraId="464AD56D">
      <w:pPr>
        <w:spacing w:line="360" w:lineRule="auto"/>
        <w:ind w:firstLine="1084" w:firstLineChars="45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代理人（被授权人）签字：</w:t>
      </w:r>
      <w:r>
        <w:rPr>
          <w:rFonts w:hint="eastAsia" w:ascii="宋体" w:hAnsi="宋体" w:eastAsia="宋体" w:cs="宋体"/>
          <w:color w:val="auto"/>
          <w:sz w:val="24"/>
          <w:szCs w:val="24"/>
          <w:highlight w:val="none"/>
          <w:u w:val="single"/>
        </w:rPr>
        <w:t xml:space="preserve">                     </w:t>
      </w:r>
    </w:p>
    <w:p w14:paraId="594728C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职    务：</w:t>
      </w:r>
      <w:r>
        <w:rPr>
          <w:rFonts w:hint="eastAsia" w:ascii="宋体" w:hAnsi="宋体" w:eastAsia="宋体" w:cs="宋体"/>
          <w:color w:val="auto"/>
          <w:sz w:val="24"/>
          <w:szCs w:val="24"/>
          <w:highlight w:val="none"/>
          <w:u w:val="single"/>
        </w:rPr>
        <w:t xml:space="preserve">                         </w:t>
      </w:r>
    </w:p>
    <w:p w14:paraId="202587DF">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联系手机：</w:t>
      </w:r>
      <w:r>
        <w:rPr>
          <w:rFonts w:hint="eastAsia" w:ascii="宋体" w:hAnsi="宋体" w:eastAsia="宋体" w:cs="宋体"/>
          <w:color w:val="auto"/>
          <w:sz w:val="24"/>
          <w:szCs w:val="24"/>
          <w:highlight w:val="none"/>
          <w:u w:val="single"/>
        </w:rPr>
        <w:t xml:space="preserve">                          </w:t>
      </w:r>
    </w:p>
    <w:p w14:paraId="6E9A41D8">
      <w:pPr>
        <w:spacing w:line="360" w:lineRule="auto"/>
        <w:ind w:firstLine="1200" w:firstLineChars="5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固定电话：</w:t>
      </w:r>
      <w:r>
        <w:rPr>
          <w:rFonts w:hint="eastAsia" w:ascii="宋体" w:hAnsi="宋体" w:eastAsia="宋体" w:cs="宋体"/>
          <w:color w:val="auto"/>
          <w:sz w:val="24"/>
          <w:szCs w:val="24"/>
          <w:highlight w:val="none"/>
          <w:u w:val="single"/>
        </w:rPr>
        <w:t xml:space="preserve">                          </w:t>
      </w:r>
    </w:p>
    <w:p w14:paraId="5E3223A0">
      <w:pPr>
        <w:spacing w:line="360" w:lineRule="auto"/>
        <w:jc w:val="left"/>
        <w:rPr>
          <w:rFonts w:hint="eastAsia" w:ascii="宋体" w:hAnsi="宋体" w:eastAsia="宋体" w:cs="宋体"/>
          <w:color w:val="auto"/>
          <w:sz w:val="24"/>
          <w:szCs w:val="24"/>
          <w:highlight w:val="none"/>
        </w:rPr>
      </w:pPr>
    </w:p>
    <w:p w14:paraId="63871B4B">
      <w:pPr>
        <w:wordWrap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154CCE4">
      <w:pPr>
        <w:spacing w:line="560" w:lineRule="exact"/>
        <w:ind w:right="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供应商</w:t>
      </w:r>
      <w:r>
        <w:rPr>
          <w:rFonts w:hint="eastAsia" w:ascii="宋体" w:hAnsi="宋体" w:cs="宋体"/>
          <w:b/>
          <w:bCs/>
          <w:color w:val="auto"/>
          <w:sz w:val="24"/>
          <w:szCs w:val="24"/>
          <w:highlight w:val="none"/>
          <w:lang w:val="en-US" w:eastAsia="zh-CN"/>
        </w:rPr>
        <w:t>盖章</w:t>
      </w:r>
      <w:r>
        <w:rPr>
          <w:rFonts w:hint="eastAsia" w:ascii="宋体" w:hAnsi="宋体" w:eastAsia="宋体" w:cs="宋体"/>
          <w:b/>
          <w:bCs/>
          <w:color w:val="auto"/>
          <w:sz w:val="24"/>
          <w:szCs w:val="24"/>
          <w:highlight w:val="none"/>
        </w:rPr>
        <w:t>：</w:t>
      </w:r>
    </w:p>
    <w:p w14:paraId="24D75999">
      <w:pPr>
        <w:tabs>
          <w:tab w:val="left" w:pos="630"/>
        </w:tabs>
        <w:spacing w:line="360" w:lineRule="auto"/>
        <w:ind w:firstLine="4245" w:firstLineChars="176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日</w:t>
      </w:r>
    </w:p>
    <w:p w14:paraId="5E27B91D">
      <w:pPr>
        <w:pStyle w:val="3"/>
        <w:spacing w:before="0" w:after="0" w:line="560" w:lineRule="exact"/>
        <w:rPr>
          <w:rFonts w:hint="eastAsia" w:ascii="宋体" w:hAnsi="宋体" w:eastAsia="宋体" w:cs="宋体"/>
          <w:color w:val="auto"/>
          <w:sz w:val="24"/>
          <w:szCs w:val="24"/>
          <w:highlight w:val="none"/>
        </w:rPr>
      </w:pPr>
      <w:bookmarkStart w:id="77" w:name="_Toc22863"/>
      <w:r>
        <w:rPr>
          <w:rFonts w:hint="eastAsia" w:ascii="宋体" w:hAnsi="宋体" w:eastAsia="宋体" w:cs="宋体"/>
          <w:color w:val="auto"/>
          <w:sz w:val="24"/>
          <w:szCs w:val="24"/>
          <w:highlight w:val="none"/>
        </w:rPr>
        <w:t>附件四</w:t>
      </w:r>
      <w:bookmarkEnd w:id="77"/>
    </w:p>
    <w:p w14:paraId="66C08635">
      <w:pPr>
        <w:pStyle w:val="3"/>
        <w:spacing w:before="0" w:after="0" w:line="560" w:lineRule="exact"/>
        <w:jc w:val="center"/>
        <w:rPr>
          <w:rFonts w:hint="eastAsia" w:ascii="宋体" w:hAnsi="宋体" w:eastAsia="宋体" w:cs="宋体"/>
          <w:color w:val="auto"/>
          <w:sz w:val="24"/>
          <w:szCs w:val="24"/>
          <w:highlight w:val="none"/>
        </w:rPr>
      </w:pPr>
      <w:bookmarkStart w:id="78" w:name="_Toc9758"/>
      <w:bookmarkStart w:id="79" w:name="_Toc417045478"/>
      <w:r>
        <w:rPr>
          <w:rFonts w:hint="eastAsia" w:ascii="宋体" w:hAnsi="宋体" w:eastAsia="宋体" w:cs="宋体"/>
          <w:color w:val="auto"/>
          <w:sz w:val="24"/>
          <w:szCs w:val="24"/>
          <w:highlight w:val="none"/>
        </w:rPr>
        <w:t>谈判响应函</w:t>
      </w:r>
      <w:bookmarkEnd w:id="78"/>
    </w:p>
    <w:p w14:paraId="698D20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致：_________________</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lang w:eastAsia="zh-CN"/>
        </w:rPr>
        <w:t>）</w:t>
      </w:r>
    </w:p>
    <w:p w14:paraId="3BD413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1、根据项目编号：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val="en-US" w:eastAsia="zh-CN"/>
        </w:rPr>
        <w:t>竞争性谈判公告</w:t>
      </w:r>
      <w:r>
        <w:rPr>
          <w:rFonts w:hint="eastAsia" w:ascii="宋体" w:hAnsi="宋体" w:eastAsia="宋体" w:cs="宋体"/>
          <w:color w:val="auto"/>
          <w:sz w:val="24"/>
          <w:szCs w:val="24"/>
          <w:highlight w:val="none"/>
        </w:rPr>
        <w:t>的内容，我方决定参加贵方组织的“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”项目的竞争性谈判采购。我方授权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(姓名)代表我方___</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（供应商的名称）全权处理本项目谈判的有关事宜。</w:t>
      </w:r>
    </w:p>
    <w:p w14:paraId="48BFA4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2、我方愿意按照采购</w:t>
      </w:r>
      <w:r>
        <w:rPr>
          <w:rFonts w:hint="eastAsia" w:ascii="宋体" w:hAnsi="宋体" w:cs="宋体"/>
          <w:color w:val="auto"/>
          <w:sz w:val="24"/>
          <w:szCs w:val="24"/>
          <w:highlight w:val="none"/>
          <w:lang w:val="en-US" w:eastAsia="zh-CN"/>
        </w:rPr>
        <w:t>文件</w:t>
      </w:r>
      <w:r>
        <w:rPr>
          <w:rFonts w:hint="eastAsia" w:ascii="宋体" w:hAnsi="宋体" w:eastAsia="宋体" w:cs="宋体"/>
          <w:color w:val="auto"/>
          <w:sz w:val="24"/>
          <w:szCs w:val="24"/>
          <w:highlight w:val="none"/>
        </w:rPr>
        <w:t>规定的各项要求，向采购人提供所需的服务。</w:t>
      </w:r>
    </w:p>
    <w:p w14:paraId="4981E2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3、一旦我方</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，我方将严格履行合同规定的责任和义务，保证于采购人要求的日期内完成服务，并交付买方验收、使用。</w:t>
      </w:r>
    </w:p>
    <w:p w14:paraId="12F250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4、如我公司成交，我公司承诺愿意按谈判文件规定缴纳履约保证金。</w:t>
      </w:r>
    </w:p>
    <w:p w14:paraId="4FF8DCF0">
      <w:pPr>
        <w:tabs>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5、我方愿意提供贵方可能另外要求的、与谈判有关的文件资料，并保证我方已提供和将要提供的文件是真实的、准确的。</w:t>
      </w:r>
    </w:p>
    <w:p w14:paraId="16A97E59">
      <w:pPr>
        <w:pStyle w:val="32"/>
        <w:rPr>
          <w:rFonts w:hint="eastAsia"/>
          <w:color w:val="auto"/>
          <w:highlight w:val="none"/>
        </w:rPr>
      </w:pPr>
      <w:r>
        <w:rPr>
          <w:rFonts w:hint="eastAsia" w:ascii="宋体" w:hAnsi="宋体" w:cs="宋体"/>
          <w:color w:val="auto"/>
          <w:sz w:val="24"/>
          <w:szCs w:val="24"/>
          <w:highlight w:val="none"/>
          <w:lang w:val="en-US" w:eastAsia="zh-CN"/>
        </w:rPr>
        <w:t>6、我方承诺</w:t>
      </w:r>
      <w:r>
        <w:rPr>
          <w:rFonts w:hint="eastAsia" w:ascii="宋体" w:hAnsi="宋体" w:cs="宋体"/>
          <w:color w:val="auto"/>
          <w:sz w:val="24"/>
          <w:szCs w:val="24"/>
          <w:highlight w:val="none"/>
        </w:rPr>
        <w:t>满足《中华人民共和国政府采购法》第二十二条规定</w:t>
      </w:r>
      <w:r>
        <w:rPr>
          <w:rFonts w:hint="eastAsia" w:ascii="宋体" w:hAnsi="宋体" w:cs="宋体"/>
          <w:color w:val="auto"/>
          <w:sz w:val="24"/>
          <w:szCs w:val="24"/>
          <w:highlight w:val="none"/>
          <w:lang w:eastAsia="zh-CN"/>
        </w:rPr>
        <w:t>。</w:t>
      </w:r>
    </w:p>
    <w:p w14:paraId="71888AD8">
      <w:pPr>
        <w:tabs>
          <w:tab w:val="left" w:pos="0"/>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、我方完全理解贵方不一定将合同授予最低报价的供应商。</w:t>
      </w:r>
    </w:p>
    <w:p w14:paraId="41A5320B">
      <w:pPr>
        <w:tabs>
          <w:tab w:val="left" w:pos="0"/>
          <w:tab w:val="left" w:pos="840"/>
        </w:tabs>
        <w:spacing w:line="360" w:lineRule="auto"/>
        <w:jc w:val="left"/>
        <w:rPr>
          <w:rFonts w:hint="eastAsia" w:ascii="宋体" w:hAnsi="宋体" w:eastAsia="宋体" w:cs="宋体"/>
          <w:color w:val="auto"/>
          <w:sz w:val="24"/>
          <w:szCs w:val="24"/>
          <w:highlight w:val="none"/>
        </w:rPr>
      </w:pPr>
    </w:p>
    <w:p w14:paraId="236D7730">
      <w:pPr>
        <w:tabs>
          <w:tab w:val="left" w:pos="0"/>
          <w:tab w:val="left" w:pos="840"/>
        </w:tabs>
        <w:rPr>
          <w:rFonts w:hint="eastAsia" w:ascii="宋体" w:hAnsi="宋体" w:eastAsia="宋体" w:cs="宋体"/>
          <w:color w:val="auto"/>
          <w:sz w:val="24"/>
          <w:szCs w:val="24"/>
          <w:highlight w:val="none"/>
        </w:rPr>
      </w:pPr>
    </w:p>
    <w:p w14:paraId="75BE8B76">
      <w:pPr>
        <w:tabs>
          <w:tab w:val="left" w:pos="0"/>
          <w:tab w:val="left" w:pos="840"/>
        </w:tabs>
        <w:rPr>
          <w:rFonts w:hint="eastAsia" w:ascii="宋体" w:hAnsi="宋体" w:eastAsia="宋体" w:cs="宋体"/>
          <w:color w:val="auto"/>
          <w:sz w:val="24"/>
          <w:szCs w:val="24"/>
          <w:highlight w:val="none"/>
        </w:rPr>
      </w:pPr>
    </w:p>
    <w:p w14:paraId="08339B2A">
      <w:pPr>
        <w:tabs>
          <w:tab w:val="left" w:pos="0"/>
          <w:tab w:val="left" w:pos="840"/>
        </w:tabs>
        <w:rPr>
          <w:rFonts w:hint="eastAsia" w:ascii="宋体" w:hAnsi="宋体" w:eastAsia="宋体" w:cs="宋体"/>
          <w:color w:val="auto"/>
          <w:sz w:val="24"/>
          <w:szCs w:val="24"/>
          <w:highlight w:val="none"/>
        </w:rPr>
      </w:pPr>
    </w:p>
    <w:p w14:paraId="0535FAC7">
      <w:pPr>
        <w:tabs>
          <w:tab w:val="left" w:pos="0"/>
          <w:tab w:val="left" w:pos="840"/>
        </w:tabs>
        <w:rPr>
          <w:rFonts w:hint="eastAsia" w:ascii="宋体" w:hAnsi="宋体" w:eastAsia="宋体" w:cs="宋体"/>
          <w:color w:val="auto"/>
          <w:sz w:val="24"/>
          <w:szCs w:val="24"/>
          <w:highlight w:val="none"/>
        </w:rPr>
      </w:pPr>
    </w:p>
    <w:p w14:paraId="68D01908">
      <w:pPr>
        <w:spacing w:line="560" w:lineRule="exact"/>
        <w:ind w:right="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供应商</w:t>
      </w:r>
      <w:r>
        <w:rPr>
          <w:rFonts w:hint="eastAsia" w:ascii="宋体" w:hAnsi="宋体" w:cs="宋体"/>
          <w:b/>
          <w:bCs/>
          <w:color w:val="auto"/>
          <w:sz w:val="24"/>
          <w:szCs w:val="24"/>
          <w:highlight w:val="none"/>
          <w:lang w:val="en-US" w:eastAsia="zh-CN"/>
        </w:rPr>
        <w:t>盖章</w:t>
      </w:r>
      <w:r>
        <w:rPr>
          <w:rFonts w:hint="eastAsia" w:ascii="宋体" w:hAnsi="宋体" w:eastAsia="宋体" w:cs="宋体"/>
          <w:b/>
          <w:bCs/>
          <w:color w:val="auto"/>
          <w:sz w:val="24"/>
          <w:szCs w:val="24"/>
          <w:highlight w:val="none"/>
        </w:rPr>
        <w:t>：</w:t>
      </w:r>
    </w:p>
    <w:p w14:paraId="180098AA">
      <w:pPr>
        <w:tabs>
          <w:tab w:val="left" w:pos="630"/>
        </w:tabs>
        <w:spacing w:line="360" w:lineRule="auto"/>
        <w:ind w:firstLine="4245" w:firstLineChars="176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日</w:t>
      </w:r>
    </w:p>
    <w:p w14:paraId="5FB2E483">
      <w:pPr>
        <w:pStyle w:val="4"/>
        <w:rPr>
          <w:rFonts w:hint="eastAsia" w:ascii="宋体" w:hAnsi="宋体" w:eastAsia="宋体" w:cs="宋体"/>
          <w:color w:val="auto"/>
          <w:sz w:val="24"/>
          <w:szCs w:val="24"/>
          <w:highlight w:val="none"/>
          <w:lang w:val="en-US"/>
        </w:rPr>
      </w:pPr>
    </w:p>
    <w:p w14:paraId="21BFE9AA">
      <w:pPr>
        <w:rPr>
          <w:rFonts w:hint="eastAsia" w:ascii="宋体" w:hAnsi="宋体" w:eastAsia="宋体" w:cs="宋体"/>
          <w:color w:val="auto"/>
          <w:highlight w:val="none"/>
        </w:rPr>
      </w:pPr>
    </w:p>
    <w:p w14:paraId="580C88FE">
      <w:pPr>
        <w:rPr>
          <w:rFonts w:hint="eastAsia" w:ascii="宋体" w:hAnsi="宋体" w:eastAsia="宋体" w:cs="宋体"/>
          <w:color w:val="auto"/>
          <w:highlight w:val="none"/>
        </w:rPr>
      </w:pPr>
    </w:p>
    <w:p w14:paraId="397A1A94">
      <w:pPr>
        <w:pStyle w:val="3"/>
        <w:spacing w:before="0" w:after="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B669289">
      <w:pPr>
        <w:pStyle w:val="3"/>
        <w:spacing w:before="0" w:after="0" w:line="560" w:lineRule="exact"/>
        <w:rPr>
          <w:rFonts w:hint="eastAsia" w:ascii="宋体" w:hAnsi="宋体" w:eastAsia="宋体" w:cs="宋体"/>
          <w:color w:val="auto"/>
          <w:sz w:val="24"/>
          <w:szCs w:val="24"/>
          <w:highlight w:val="none"/>
        </w:rPr>
      </w:pPr>
      <w:bookmarkStart w:id="80" w:name="_Toc1914"/>
      <w:r>
        <w:rPr>
          <w:rFonts w:hint="eastAsia" w:ascii="宋体" w:hAnsi="宋体" w:eastAsia="宋体" w:cs="宋体"/>
          <w:color w:val="auto"/>
          <w:sz w:val="24"/>
          <w:szCs w:val="24"/>
          <w:highlight w:val="none"/>
        </w:rPr>
        <w:t>附件</w:t>
      </w:r>
      <w:bookmarkEnd w:id="79"/>
      <w:r>
        <w:rPr>
          <w:rFonts w:hint="eastAsia" w:ascii="宋体" w:hAnsi="宋体" w:eastAsia="宋体" w:cs="宋体"/>
          <w:color w:val="auto"/>
          <w:sz w:val="24"/>
          <w:szCs w:val="24"/>
          <w:highlight w:val="none"/>
        </w:rPr>
        <w:t>五</w:t>
      </w:r>
      <w:bookmarkEnd w:id="80"/>
    </w:p>
    <w:p w14:paraId="14B0E972">
      <w:pPr>
        <w:pStyle w:val="32"/>
        <w:ind w:firstLine="2891" w:firstLineChars="1200"/>
        <w:rPr>
          <w:rFonts w:hint="eastAsia" w:ascii="宋体" w:hAnsi="宋体" w:eastAsia="宋体" w:cs="宋体"/>
          <w:b/>
          <w:color w:val="auto"/>
          <w:szCs w:val="24"/>
          <w:highlight w:val="none"/>
          <w:lang w:val="zh-CN"/>
        </w:rPr>
      </w:pPr>
      <w:bookmarkStart w:id="81" w:name="_Toc363199274"/>
      <w:r>
        <w:rPr>
          <w:rFonts w:hint="eastAsia" w:ascii="宋体" w:hAnsi="宋体" w:eastAsia="宋体" w:cs="宋体"/>
          <w:b/>
          <w:color w:val="auto"/>
          <w:szCs w:val="24"/>
          <w:highlight w:val="none"/>
          <w:lang w:val="zh-CN"/>
        </w:rPr>
        <w:t>无重大违法记录声明函</w:t>
      </w:r>
    </w:p>
    <w:p w14:paraId="26B9A1B5">
      <w:pPr>
        <w:pStyle w:val="32"/>
        <w:ind w:firstLine="480" w:firstLineChars="200"/>
        <w:rPr>
          <w:rFonts w:hint="eastAsia" w:ascii="宋体" w:hAnsi="宋体" w:eastAsia="宋体" w:cs="宋体"/>
          <w:color w:val="auto"/>
          <w:szCs w:val="24"/>
          <w:highlight w:val="none"/>
        </w:rPr>
      </w:pPr>
      <w:bookmarkStart w:id="82" w:name="_Hlk77793969"/>
      <w:r>
        <w:rPr>
          <w:rFonts w:hint="eastAsia" w:ascii="宋体" w:hAnsi="宋体" w:eastAsia="宋体" w:cs="宋体"/>
          <w:color w:val="auto"/>
          <w:szCs w:val="24"/>
          <w:highlight w:val="none"/>
        </w:rPr>
        <w:t>本公司郑重声明，根据《中华人民共和国政府采购法》及《中华人民共和国政府采购法实施条例》的规定，参加本次采购活动前三年内，本公司在经营活动中没有重大违法记录即没有因违法经营受到刑事处罚或者责令停产停业、吊销许可证或者执照、较大数额罚款等行政处罚。本公司未被监管部门限制参加采购活动或曾被监管部门限制参加采购活动但已不在限制期内。</w:t>
      </w:r>
    </w:p>
    <w:p w14:paraId="4CCD883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14:paraId="7C2386A7">
      <w:pPr>
        <w:spacing w:line="360" w:lineRule="auto"/>
        <w:ind w:firstLine="435"/>
        <w:rPr>
          <w:rFonts w:hint="eastAsia" w:ascii="宋体" w:hAnsi="宋体" w:eastAsia="宋体" w:cs="宋体"/>
          <w:color w:val="auto"/>
          <w:sz w:val="24"/>
          <w:szCs w:val="24"/>
          <w:highlight w:val="none"/>
        </w:rPr>
      </w:pPr>
    </w:p>
    <w:p w14:paraId="51521826">
      <w:pPr>
        <w:spacing w:line="560" w:lineRule="exact"/>
        <w:ind w:right="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供应商</w:t>
      </w:r>
      <w:r>
        <w:rPr>
          <w:rFonts w:hint="eastAsia" w:ascii="宋体" w:hAnsi="宋体" w:cs="宋体"/>
          <w:b/>
          <w:bCs/>
          <w:color w:val="auto"/>
          <w:sz w:val="24"/>
          <w:szCs w:val="24"/>
          <w:highlight w:val="none"/>
          <w:lang w:val="en-US" w:eastAsia="zh-CN"/>
        </w:rPr>
        <w:t>盖章</w:t>
      </w:r>
      <w:r>
        <w:rPr>
          <w:rFonts w:hint="eastAsia" w:ascii="宋体" w:hAnsi="宋体" w:eastAsia="宋体" w:cs="宋体"/>
          <w:b/>
          <w:bCs/>
          <w:color w:val="auto"/>
          <w:sz w:val="24"/>
          <w:szCs w:val="24"/>
          <w:highlight w:val="none"/>
        </w:rPr>
        <w:t>：</w:t>
      </w:r>
    </w:p>
    <w:p w14:paraId="14D6F16D">
      <w:pPr>
        <w:tabs>
          <w:tab w:val="left" w:pos="630"/>
        </w:tabs>
        <w:spacing w:line="360" w:lineRule="auto"/>
        <w:ind w:firstLine="5450" w:firstLineChars="2262"/>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rPr>
        <w:t>日期：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日</w:t>
      </w:r>
    </w:p>
    <w:bookmarkEnd w:id="82"/>
    <w:p w14:paraId="68065C28">
      <w:pPr>
        <w:pStyle w:val="32"/>
        <w:ind w:firstLine="210"/>
        <w:rPr>
          <w:rFonts w:hint="eastAsia" w:ascii="宋体" w:hAnsi="宋体" w:eastAsia="宋体" w:cs="宋体"/>
          <w:color w:val="auto"/>
          <w:highlight w:val="none"/>
        </w:rPr>
      </w:pPr>
    </w:p>
    <w:p w14:paraId="1B0862AC">
      <w:pPr>
        <w:pStyle w:val="32"/>
        <w:ind w:firstLine="210"/>
        <w:rPr>
          <w:rFonts w:hint="eastAsia" w:ascii="宋体" w:hAnsi="宋体" w:eastAsia="宋体" w:cs="宋体"/>
          <w:color w:val="auto"/>
          <w:highlight w:val="none"/>
        </w:rPr>
      </w:pPr>
    </w:p>
    <w:p w14:paraId="1627FC8B">
      <w:pPr>
        <w:tabs>
          <w:tab w:val="left" w:pos="630"/>
        </w:tabs>
        <w:spacing w:after="156" w:afterLines="50" w:line="360" w:lineRule="auto"/>
        <w:ind w:firstLine="3188" w:firstLineChars="132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zh-CN"/>
        </w:rPr>
        <w:t>无不良信用记录承诺函</w:t>
      </w:r>
    </w:p>
    <w:p w14:paraId="2B557BD5">
      <w:pPr>
        <w:spacing w:line="360" w:lineRule="auto"/>
        <w:ind w:firstLine="435"/>
        <w:rPr>
          <w:rFonts w:hint="eastAsia" w:ascii="宋体" w:hAnsi="宋体" w:eastAsia="宋体" w:cs="宋体"/>
          <w:color w:val="auto"/>
          <w:sz w:val="24"/>
          <w:szCs w:val="24"/>
          <w:highlight w:val="none"/>
        </w:rPr>
      </w:pPr>
      <w:bookmarkStart w:id="83" w:name="_Hlk77794010"/>
      <w:r>
        <w:rPr>
          <w:rFonts w:hint="eastAsia" w:ascii="宋体" w:hAnsi="宋体" w:eastAsia="宋体" w:cs="宋体"/>
          <w:color w:val="auto"/>
          <w:sz w:val="24"/>
          <w:szCs w:val="24"/>
          <w:highlight w:val="none"/>
        </w:rPr>
        <w:t>本公司郑重承诺，我公司无以下不良信用记录情形：</w:t>
      </w:r>
    </w:p>
    <w:p w14:paraId="2531FE1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1、公司被人民法院列入失信被执行人；</w:t>
      </w:r>
    </w:p>
    <w:p w14:paraId="1DAE373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2、公司被市场监督管理部门列入企业经营异常名录；</w:t>
      </w:r>
    </w:p>
    <w:p w14:paraId="4BD0D4E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3、公司被税务部门列入重大税收违法案件当事人名单的；</w:t>
      </w:r>
    </w:p>
    <w:p w14:paraId="0D354D9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4、公司被监管部门列入严重违法失信行为记录名单。</w:t>
      </w:r>
    </w:p>
    <w:p w14:paraId="05D881EB">
      <w:pPr>
        <w:spacing w:line="360" w:lineRule="auto"/>
        <w:ind w:firstLine="435"/>
        <w:rPr>
          <w:rFonts w:hint="eastAsia" w:ascii="宋体" w:hAnsi="宋体" w:eastAsia="宋体" w:cs="宋体"/>
          <w:color w:val="auto"/>
          <w:kern w:val="0"/>
          <w:sz w:val="32"/>
          <w:szCs w:val="32"/>
          <w:highlight w:val="none"/>
        </w:rPr>
      </w:pPr>
      <w:r>
        <w:rPr>
          <w:rFonts w:hint="eastAsia" w:ascii="宋体" w:hAnsi="宋体" w:eastAsia="宋体" w:cs="宋体"/>
          <w:color w:val="auto"/>
          <w:sz w:val="24"/>
          <w:szCs w:val="24"/>
          <w:highlight w:val="none"/>
        </w:rPr>
        <w:t xml:space="preserve">我公司承诺：合同签订前，若我公司具有不良信用记录情形，贵方可取消我公司成交资格或者不授予合同，所有责任由我公司自行承担。同时，我公司愿意无条件接受监管部门的调查处理。 </w:t>
      </w:r>
    </w:p>
    <w:p w14:paraId="78A01A12">
      <w:pPr>
        <w:tabs>
          <w:tab w:val="left" w:pos="630"/>
        </w:tabs>
        <w:spacing w:line="360" w:lineRule="auto"/>
        <w:ind w:firstLine="630"/>
        <w:rPr>
          <w:rFonts w:hint="eastAsia" w:ascii="宋体" w:hAnsi="宋体" w:eastAsia="宋体" w:cs="宋体"/>
          <w:color w:val="auto"/>
          <w:sz w:val="24"/>
          <w:szCs w:val="24"/>
          <w:highlight w:val="none"/>
        </w:rPr>
      </w:pPr>
    </w:p>
    <w:p w14:paraId="3AA391DC">
      <w:pPr>
        <w:spacing w:line="560" w:lineRule="exact"/>
        <w:ind w:right="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供应商</w:t>
      </w:r>
      <w:r>
        <w:rPr>
          <w:rFonts w:hint="eastAsia" w:ascii="宋体" w:hAnsi="宋体" w:cs="宋体"/>
          <w:b/>
          <w:bCs/>
          <w:color w:val="auto"/>
          <w:sz w:val="24"/>
          <w:szCs w:val="24"/>
          <w:highlight w:val="none"/>
          <w:lang w:val="en-US" w:eastAsia="zh-CN"/>
        </w:rPr>
        <w:t>盖章</w:t>
      </w:r>
      <w:r>
        <w:rPr>
          <w:rFonts w:hint="eastAsia" w:ascii="宋体" w:hAnsi="宋体" w:eastAsia="宋体" w:cs="宋体"/>
          <w:b/>
          <w:bCs/>
          <w:color w:val="auto"/>
          <w:sz w:val="24"/>
          <w:szCs w:val="24"/>
          <w:highlight w:val="none"/>
        </w:rPr>
        <w:t>：</w:t>
      </w:r>
    </w:p>
    <w:p w14:paraId="73059710">
      <w:pPr>
        <w:tabs>
          <w:tab w:val="left" w:pos="630"/>
        </w:tabs>
        <w:spacing w:line="360" w:lineRule="auto"/>
        <w:ind w:firstLine="5450" w:firstLineChars="2262"/>
        <w:rPr>
          <w:rFonts w:hint="eastAsia" w:ascii="宋体" w:hAnsi="宋体" w:eastAsia="宋体" w:cs="宋体"/>
          <w:bCs/>
          <w:color w:val="auto"/>
          <w:sz w:val="24"/>
          <w:szCs w:val="24"/>
          <w:highlight w:val="none"/>
          <w:u w:val="single"/>
        </w:rPr>
      </w:pPr>
      <w:r>
        <w:rPr>
          <w:rFonts w:hint="eastAsia" w:ascii="宋体" w:hAnsi="宋体" w:eastAsia="宋体" w:cs="宋体"/>
          <w:b/>
          <w:bCs/>
          <w:color w:val="auto"/>
          <w:sz w:val="24"/>
          <w:szCs w:val="24"/>
          <w:highlight w:val="none"/>
        </w:rPr>
        <w:t>日期：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日</w:t>
      </w:r>
    </w:p>
    <w:bookmarkEnd w:id="83"/>
    <w:p w14:paraId="718218F1">
      <w:pPr>
        <w:pStyle w:val="3"/>
        <w:spacing w:before="0" w:after="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75AB97E">
      <w:pPr>
        <w:pStyle w:val="3"/>
        <w:spacing w:before="0" w:after="0" w:line="560" w:lineRule="exact"/>
        <w:rPr>
          <w:rFonts w:hint="eastAsia" w:ascii="宋体" w:hAnsi="宋体" w:eastAsia="宋体" w:cs="宋体"/>
          <w:color w:val="auto"/>
          <w:sz w:val="24"/>
          <w:szCs w:val="24"/>
          <w:highlight w:val="none"/>
        </w:rPr>
      </w:pPr>
      <w:bookmarkStart w:id="84" w:name="_Toc4299"/>
      <w:r>
        <w:rPr>
          <w:rFonts w:hint="eastAsia" w:ascii="宋体" w:hAnsi="宋体" w:eastAsia="宋体" w:cs="宋体"/>
          <w:color w:val="auto"/>
          <w:sz w:val="24"/>
          <w:szCs w:val="24"/>
          <w:highlight w:val="none"/>
        </w:rPr>
        <w:t>附件</w:t>
      </w:r>
      <w:bookmarkEnd w:id="81"/>
      <w:r>
        <w:rPr>
          <w:rFonts w:hint="eastAsia" w:ascii="宋体" w:hAnsi="宋体" w:eastAsia="宋体" w:cs="宋体"/>
          <w:color w:val="auto"/>
          <w:sz w:val="24"/>
          <w:szCs w:val="24"/>
          <w:highlight w:val="none"/>
        </w:rPr>
        <w:t>六</w:t>
      </w:r>
      <w:bookmarkEnd w:id="84"/>
    </w:p>
    <w:p w14:paraId="124EBB4A">
      <w:pPr>
        <w:pStyle w:val="3"/>
        <w:spacing w:before="0" w:after="0" w:line="560" w:lineRule="exact"/>
        <w:jc w:val="center"/>
        <w:rPr>
          <w:rFonts w:hint="eastAsia" w:ascii="宋体" w:hAnsi="宋体" w:eastAsia="宋体" w:cs="宋体"/>
          <w:color w:val="auto"/>
          <w:sz w:val="24"/>
          <w:szCs w:val="24"/>
          <w:highlight w:val="none"/>
          <w:lang w:val="zh-CN"/>
        </w:rPr>
      </w:pPr>
      <w:bookmarkStart w:id="85" w:name="_Toc12738"/>
      <w:bookmarkStart w:id="86" w:name="_Toc25238"/>
      <w:r>
        <w:rPr>
          <w:rFonts w:hint="eastAsia" w:ascii="宋体" w:hAnsi="宋体" w:eastAsia="宋体" w:cs="宋体"/>
          <w:color w:val="auto"/>
          <w:sz w:val="24"/>
          <w:szCs w:val="24"/>
          <w:highlight w:val="none"/>
          <w:lang w:val="zh-CN"/>
        </w:rPr>
        <w:t>响应情况表</w:t>
      </w:r>
      <w:bookmarkEnd w:id="85"/>
      <w:bookmarkEnd w:id="86"/>
    </w:p>
    <w:p w14:paraId="2A788D19">
      <w:pPr>
        <w:jc w:val="center"/>
        <w:rPr>
          <w:rFonts w:hint="eastAsia" w:ascii="宋体" w:hAnsi="宋体" w:eastAsia="宋体" w:cs="宋体"/>
          <w:bCs/>
          <w:color w:val="auto"/>
          <w:sz w:val="24"/>
          <w:szCs w:val="24"/>
          <w:highlight w:val="none"/>
          <w:lang w:val="zh-CN"/>
        </w:rPr>
      </w:pPr>
    </w:p>
    <w:tbl>
      <w:tblPr>
        <w:tblStyle w:val="34"/>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0F1C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0FA0DB89">
            <w:pPr>
              <w:jc w:val="center"/>
              <w:rPr>
                <w:rFonts w:hint="eastAsia" w:ascii="宋体" w:hAnsi="宋体" w:eastAsia="宋体" w:cs="宋体"/>
                <w:b/>
                <w:color w:val="auto"/>
                <w:sz w:val="24"/>
                <w:szCs w:val="21"/>
                <w:highlight w:val="none"/>
              </w:rPr>
            </w:pPr>
            <w:bookmarkStart w:id="87" w:name="_Toc471299110"/>
            <w:r>
              <w:rPr>
                <w:rFonts w:hint="eastAsia" w:ascii="宋体" w:hAnsi="宋体" w:eastAsia="宋体" w:cs="宋体"/>
                <w:b/>
                <w:color w:val="auto"/>
                <w:sz w:val="24"/>
                <w:szCs w:val="21"/>
                <w:highlight w:val="none"/>
              </w:rPr>
              <w:t>按谈判文件规定填写</w:t>
            </w:r>
          </w:p>
        </w:tc>
        <w:tc>
          <w:tcPr>
            <w:tcW w:w="4200" w:type="dxa"/>
            <w:gridSpan w:val="2"/>
            <w:vAlign w:val="center"/>
          </w:tcPr>
          <w:p w14:paraId="0E2E7791">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按供应商所投内容填写</w:t>
            </w:r>
          </w:p>
        </w:tc>
      </w:tr>
      <w:tr w14:paraId="6993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44DA0B90">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序号</w:t>
            </w:r>
          </w:p>
        </w:tc>
        <w:tc>
          <w:tcPr>
            <w:tcW w:w="1794" w:type="dxa"/>
            <w:vAlign w:val="center"/>
          </w:tcPr>
          <w:p w14:paraId="5F235D3B">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内容</w:t>
            </w:r>
          </w:p>
        </w:tc>
        <w:tc>
          <w:tcPr>
            <w:tcW w:w="2196" w:type="dxa"/>
            <w:vAlign w:val="center"/>
          </w:tcPr>
          <w:p w14:paraId="1EB074A3">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谈判文件要求</w:t>
            </w:r>
          </w:p>
        </w:tc>
        <w:tc>
          <w:tcPr>
            <w:tcW w:w="2222" w:type="dxa"/>
            <w:vAlign w:val="center"/>
          </w:tcPr>
          <w:p w14:paraId="78747DBD">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响应承诺</w:t>
            </w:r>
          </w:p>
        </w:tc>
        <w:tc>
          <w:tcPr>
            <w:tcW w:w="1978" w:type="dxa"/>
            <w:vAlign w:val="center"/>
          </w:tcPr>
          <w:p w14:paraId="6CD92B37">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偏离说明</w:t>
            </w:r>
          </w:p>
        </w:tc>
      </w:tr>
      <w:tr w14:paraId="563A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68" w:hRule="atLeast"/>
          <w:jc w:val="center"/>
        </w:trPr>
        <w:tc>
          <w:tcPr>
            <w:tcW w:w="840" w:type="dxa"/>
            <w:vAlign w:val="center"/>
          </w:tcPr>
          <w:p w14:paraId="610A3B3B">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794" w:type="dxa"/>
            <w:vAlign w:val="center"/>
          </w:tcPr>
          <w:p w14:paraId="11139D2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付款响应</w:t>
            </w:r>
          </w:p>
        </w:tc>
        <w:tc>
          <w:tcPr>
            <w:tcW w:w="2196" w:type="dxa"/>
            <w:vAlign w:val="center"/>
          </w:tcPr>
          <w:p w14:paraId="538F4246">
            <w:pPr>
              <w:rPr>
                <w:rFonts w:hint="eastAsia" w:ascii="宋体" w:hAnsi="宋体" w:eastAsia="宋体" w:cs="宋体"/>
                <w:color w:val="auto"/>
                <w:sz w:val="24"/>
                <w:szCs w:val="24"/>
                <w:highlight w:val="none"/>
              </w:rPr>
            </w:pPr>
          </w:p>
        </w:tc>
        <w:tc>
          <w:tcPr>
            <w:tcW w:w="2222" w:type="dxa"/>
            <w:vAlign w:val="center"/>
          </w:tcPr>
          <w:p w14:paraId="62ACA8FA">
            <w:pPr>
              <w:rPr>
                <w:rFonts w:hint="eastAsia" w:ascii="宋体" w:hAnsi="宋体" w:eastAsia="宋体" w:cs="宋体"/>
                <w:color w:val="auto"/>
                <w:sz w:val="24"/>
                <w:szCs w:val="24"/>
                <w:highlight w:val="none"/>
              </w:rPr>
            </w:pPr>
          </w:p>
        </w:tc>
        <w:tc>
          <w:tcPr>
            <w:tcW w:w="1978" w:type="dxa"/>
            <w:vAlign w:val="center"/>
          </w:tcPr>
          <w:p w14:paraId="2FCFD251">
            <w:pPr>
              <w:rPr>
                <w:rFonts w:hint="eastAsia" w:ascii="宋体" w:hAnsi="宋体" w:eastAsia="宋体" w:cs="宋体"/>
                <w:color w:val="auto"/>
                <w:sz w:val="24"/>
                <w:szCs w:val="24"/>
                <w:highlight w:val="none"/>
              </w:rPr>
            </w:pPr>
          </w:p>
        </w:tc>
      </w:tr>
      <w:tr w14:paraId="10AF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13" w:hRule="atLeast"/>
          <w:jc w:val="center"/>
        </w:trPr>
        <w:tc>
          <w:tcPr>
            <w:tcW w:w="840" w:type="dxa"/>
            <w:vAlign w:val="center"/>
          </w:tcPr>
          <w:p w14:paraId="2AAFDEA6">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1794" w:type="dxa"/>
            <w:vAlign w:val="center"/>
          </w:tcPr>
          <w:p w14:paraId="769A098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服务期响应</w:t>
            </w:r>
          </w:p>
        </w:tc>
        <w:tc>
          <w:tcPr>
            <w:tcW w:w="2196" w:type="dxa"/>
            <w:vAlign w:val="center"/>
          </w:tcPr>
          <w:p w14:paraId="5F3EB4B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p>
        </w:tc>
        <w:tc>
          <w:tcPr>
            <w:tcW w:w="2222" w:type="dxa"/>
            <w:vAlign w:val="center"/>
          </w:tcPr>
          <w:p w14:paraId="5D00E9E1">
            <w:pPr>
              <w:rPr>
                <w:rFonts w:hint="eastAsia" w:ascii="宋体" w:hAnsi="宋体" w:eastAsia="宋体" w:cs="宋体"/>
                <w:color w:val="auto"/>
                <w:sz w:val="24"/>
                <w:szCs w:val="24"/>
                <w:highlight w:val="none"/>
              </w:rPr>
            </w:pPr>
          </w:p>
        </w:tc>
        <w:tc>
          <w:tcPr>
            <w:tcW w:w="1978" w:type="dxa"/>
            <w:vAlign w:val="center"/>
          </w:tcPr>
          <w:p w14:paraId="21E028A8">
            <w:pPr>
              <w:rPr>
                <w:rFonts w:hint="eastAsia" w:ascii="宋体" w:hAnsi="宋体" w:eastAsia="宋体" w:cs="宋体"/>
                <w:color w:val="auto"/>
                <w:sz w:val="24"/>
                <w:szCs w:val="24"/>
                <w:highlight w:val="none"/>
              </w:rPr>
            </w:pPr>
          </w:p>
        </w:tc>
      </w:tr>
      <w:tr w14:paraId="15DA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05" w:hRule="atLeast"/>
          <w:jc w:val="center"/>
        </w:trPr>
        <w:tc>
          <w:tcPr>
            <w:tcW w:w="840" w:type="dxa"/>
            <w:vAlign w:val="center"/>
          </w:tcPr>
          <w:p w14:paraId="20B85872">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794" w:type="dxa"/>
            <w:vAlign w:val="center"/>
          </w:tcPr>
          <w:p w14:paraId="54678A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2196" w:type="dxa"/>
            <w:vAlign w:val="center"/>
          </w:tcPr>
          <w:p w14:paraId="0DE39E5B">
            <w:pPr>
              <w:rPr>
                <w:rFonts w:hint="default" w:ascii="宋体" w:hAnsi="宋体" w:eastAsia="宋体" w:cs="宋体"/>
                <w:color w:val="auto"/>
                <w:sz w:val="24"/>
                <w:szCs w:val="24"/>
                <w:highlight w:val="none"/>
                <w:lang w:val="en-US" w:eastAsia="zh-CN"/>
              </w:rPr>
            </w:pPr>
          </w:p>
        </w:tc>
        <w:tc>
          <w:tcPr>
            <w:tcW w:w="2222" w:type="dxa"/>
            <w:vAlign w:val="center"/>
          </w:tcPr>
          <w:p w14:paraId="57C98823">
            <w:pPr>
              <w:rPr>
                <w:rFonts w:hint="eastAsia" w:ascii="宋体" w:hAnsi="宋体" w:eastAsia="宋体" w:cs="宋体"/>
                <w:color w:val="auto"/>
                <w:sz w:val="24"/>
                <w:szCs w:val="24"/>
                <w:highlight w:val="none"/>
              </w:rPr>
            </w:pPr>
          </w:p>
        </w:tc>
        <w:tc>
          <w:tcPr>
            <w:tcW w:w="1978" w:type="dxa"/>
            <w:vAlign w:val="center"/>
          </w:tcPr>
          <w:p w14:paraId="3D1BD375">
            <w:pPr>
              <w:rPr>
                <w:rFonts w:hint="eastAsia" w:ascii="宋体" w:hAnsi="宋体" w:eastAsia="宋体" w:cs="宋体"/>
                <w:color w:val="auto"/>
                <w:sz w:val="24"/>
                <w:szCs w:val="24"/>
                <w:highlight w:val="none"/>
              </w:rPr>
            </w:pPr>
          </w:p>
        </w:tc>
      </w:tr>
      <w:tr w14:paraId="3BE1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05" w:hRule="atLeast"/>
          <w:jc w:val="center"/>
        </w:trPr>
        <w:tc>
          <w:tcPr>
            <w:tcW w:w="840" w:type="dxa"/>
            <w:vAlign w:val="center"/>
          </w:tcPr>
          <w:p w14:paraId="05366B38">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794" w:type="dxa"/>
            <w:vAlign w:val="center"/>
          </w:tcPr>
          <w:p w14:paraId="094D3F5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本项目的特定资格要求</w:t>
            </w:r>
          </w:p>
        </w:tc>
        <w:tc>
          <w:tcPr>
            <w:tcW w:w="2196" w:type="dxa"/>
            <w:vAlign w:val="center"/>
          </w:tcPr>
          <w:p w14:paraId="2A962E5B">
            <w:pPr>
              <w:rPr>
                <w:rFonts w:hint="eastAsia" w:ascii="宋体" w:hAnsi="宋体" w:cs="宋体"/>
                <w:color w:val="auto"/>
                <w:sz w:val="24"/>
                <w:szCs w:val="24"/>
                <w:highlight w:val="none"/>
                <w:lang w:val="en-US" w:eastAsia="zh-CN"/>
              </w:rPr>
            </w:pPr>
          </w:p>
        </w:tc>
        <w:tc>
          <w:tcPr>
            <w:tcW w:w="2222" w:type="dxa"/>
            <w:vAlign w:val="center"/>
          </w:tcPr>
          <w:p w14:paraId="674F24DF">
            <w:pPr>
              <w:rPr>
                <w:rFonts w:hint="eastAsia" w:ascii="宋体" w:hAnsi="宋体" w:eastAsia="宋体" w:cs="宋体"/>
                <w:color w:val="auto"/>
                <w:sz w:val="24"/>
                <w:szCs w:val="24"/>
                <w:highlight w:val="none"/>
              </w:rPr>
            </w:pPr>
          </w:p>
        </w:tc>
        <w:tc>
          <w:tcPr>
            <w:tcW w:w="1978" w:type="dxa"/>
            <w:vAlign w:val="center"/>
          </w:tcPr>
          <w:p w14:paraId="2DEA30A4">
            <w:pPr>
              <w:rPr>
                <w:rFonts w:hint="eastAsia" w:ascii="宋体" w:hAnsi="宋体" w:eastAsia="宋体" w:cs="宋体"/>
                <w:color w:val="auto"/>
                <w:sz w:val="24"/>
                <w:szCs w:val="24"/>
                <w:highlight w:val="none"/>
              </w:rPr>
            </w:pPr>
          </w:p>
        </w:tc>
      </w:tr>
    </w:tbl>
    <w:p w14:paraId="055C062A">
      <w:pPr>
        <w:spacing w:after="312" w:afterLines="100" w:line="520" w:lineRule="exact"/>
        <w:ind w:firstLine="482" w:firstLineChars="200"/>
        <w:rPr>
          <w:rFonts w:hint="eastAsia" w:ascii="宋体" w:hAnsi="宋体" w:eastAsia="宋体" w:cs="宋体"/>
          <w:color w:val="auto"/>
          <w:sz w:val="24"/>
          <w:szCs w:val="28"/>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8"/>
          <w:highlight w:val="none"/>
        </w:rPr>
        <w:t>提供的服务满足采购需求；付款及服务期等均应响应谈判文件要求。</w:t>
      </w:r>
    </w:p>
    <w:p w14:paraId="79E99C6B">
      <w:pPr>
        <w:spacing w:after="312" w:afterLines="100" w:line="520" w:lineRule="exact"/>
        <w:rPr>
          <w:rFonts w:hint="eastAsia" w:ascii="宋体" w:hAnsi="宋体" w:eastAsia="宋体" w:cs="宋体"/>
          <w:color w:val="auto"/>
          <w:sz w:val="24"/>
          <w:szCs w:val="28"/>
          <w:highlight w:val="none"/>
        </w:rPr>
      </w:pPr>
    </w:p>
    <w:p w14:paraId="7C858356">
      <w:pPr>
        <w:rPr>
          <w:rFonts w:hint="eastAsia" w:ascii="宋体" w:hAnsi="宋体" w:eastAsia="宋体" w:cs="宋体"/>
          <w:color w:val="auto"/>
          <w:sz w:val="24"/>
          <w:szCs w:val="24"/>
          <w:highlight w:val="none"/>
        </w:rPr>
      </w:pPr>
    </w:p>
    <w:p w14:paraId="2971D315">
      <w:pPr>
        <w:rPr>
          <w:rFonts w:hint="eastAsia" w:ascii="宋体" w:hAnsi="宋体" w:eastAsia="宋体" w:cs="宋体"/>
          <w:color w:val="auto"/>
          <w:sz w:val="24"/>
          <w:szCs w:val="24"/>
          <w:highlight w:val="none"/>
        </w:rPr>
      </w:pPr>
    </w:p>
    <w:p w14:paraId="700A884D">
      <w:pPr>
        <w:spacing w:line="560" w:lineRule="exact"/>
        <w:ind w:right="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供应商</w:t>
      </w:r>
      <w:r>
        <w:rPr>
          <w:rFonts w:hint="eastAsia" w:ascii="宋体" w:hAnsi="宋体" w:cs="宋体"/>
          <w:b/>
          <w:bCs/>
          <w:color w:val="auto"/>
          <w:sz w:val="24"/>
          <w:szCs w:val="24"/>
          <w:highlight w:val="none"/>
          <w:lang w:val="en-US" w:eastAsia="zh-CN"/>
        </w:rPr>
        <w:t>盖章</w:t>
      </w:r>
      <w:r>
        <w:rPr>
          <w:rFonts w:hint="eastAsia" w:ascii="宋体" w:hAnsi="宋体" w:eastAsia="宋体" w:cs="宋体"/>
          <w:b/>
          <w:bCs/>
          <w:color w:val="auto"/>
          <w:sz w:val="24"/>
          <w:szCs w:val="24"/>
          <w:highlight w:val="none"/>
        </w:rPr>
        <w:t>：</w:t>
      </w:r>
    </w:p>
    <w:p w14:paraId="567C84C3">
      <w:pPr>
        <w:ind w:firstLine="4337" w:firstLineChars="18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日</w:t>
      </w:r>
    </w:p>
    <w:p w14:paraId="78854523">
      <w:pPr>
        <w:pStyle w:val="4"/>
        <w:spacing w:before="0"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87"/>
    <w:p w14:paraId="32C582F4">
      <w:pPr>
        <w:pStyle w:val="3"/>
        <w:spacing w:before="0" w:after="0" w:line="560" w:lineRule="exact"/>
        <w:rPr>
          <w:rFonts w:hint="eastAsia" w:ascii="宋体" w:hAnsi="宋体" w:eastAsia="宋体" w:cs="宋体"/>
          <w:color w:val="auto"/>
          <w:sz w:val="24"/>
          <w:szCs w:val="24"/>
          <w:highlight w:val="none"/>
          <w:lang w:val="en-US" w:eastAsia="zh-CN"/>
        </w:rPr>
      </w:pPr>
      <w:bookmarkStart w:id="88" w:name="_Toc13301"/>
      <w:r>
        <w:rPr>
          <w:rFonts w:hint="eastAsia" w:ascii="宋体" w:hAnsi="宋体" w:eastAsia="宋体" w:cs="宋体"/>
          <w:color w:val="auto"/>
          <w:sz w:val="24"/>
          <w:szCs w:val="24"/>
          <w:highlight w:val="none"/>
        </w:rPr>
        <w:t>附件</w:t>
      </w:r>
      <w:bookmarkEnd w:id="88"/>
      <w:r>
        <w:rPr>
          <w:rFonts w:hint="eastAsia" w:ascii="宋体" w:hAnsi="宋体" w:eastAsia="宋体" w:cs="宋体"/>
          <w:color w:val="auto"/>
          <w:sz w:val="24"/>
          <w:szCs w:val="24"/>
          <w:highlight w:val="none"/>
          <w:lang w:val="en-US" w:eastAsia="zh-CN"/>
        </w:rPr>
        <w:t>七</w:t>
      </w:r>
    </w:p>
    <w:p w14:paraId="14085A14">
      <w:pPr>
        <w:rPr>
          <w:rFonts w:hint="eastAsia" w:ascii="宋体" w:hAnsi="宋体" w:eastAsia="宋体" w:cs="宋体"/>
          <w:color w:val="auto"/>
          <w:highlight w:val="none"/>
        </w:rPr>
      </w:pPr>
    </w:p>
    <w:p w14:paraId="4827317B">
      <w:pPr>
        <w:pStyle w:val="3"/>
        <w:spacing w:before="0" w:after="0" w:line="560" w:lineRule="exact"/>
        <w:jc w:val="center"/>
        <w:rPr>
          <w:rFonts w:hint="eastAsia" w:ascii="宋体" w:hAnsi="宋体" w:eastAsia="宋体" w:cs="宋体"/>
          <w:b w:val="0"/>
          <w:bCs/>
          <w:color w:val="auto"/>
          <w:sz w:val="24"/>
          <w:szCs w:val="24"/>
          <w:highlight w:val="none"/>
        </w:rPr>
      </w:pPr>
      <w:bookmarkStart w:id="89" w:name="_Toc28850"/>
      <w:bookmarkStart w:id="90" w:name="_Toc28453"/>
      <w:r>
        <w:rPr>
          <w:rFonts w:hint="eastAsia" w:ascii="宋体" w:hAnsi="宋体" w:eastAsia="宋体" w:cs="宋体"/>
          <w:b w:val="0"/>
          <w:bCs/>
          <w:color w:val="auto"/>
          <w:sz w:val="24"/>
          <w:szCs w:val="24"/>
          <w:highlight w:val="none"/>
        </w:rPr>
        <w:t>谈判文件要求和供应商认为需要提供的其它说明和资料</w:t>
      </w:r>
      <w:bookmarkEnd w:id="89"/>
      <w:bookmarkEnd w:id="90"/>
    </w:p>
    <w:p w14:paraId="07FAE090">
      <w:pPr>
        <w:rPr>
          <w:rFonts w:hint="eastAsia" w:ascii="宋体" w:hAnsi="宋体" w:eastAsia="宋体" w:cs="宋体"/>
          <w:color w:val="auto"/>
          <w:sz w:val="24"/>
          <w:szCs w:val="32"/>
          <w:highlight w:val="none"/>
        </w:rPr>
      </w:pPr>
    </w:p>
    <w:p w14:paraId="040CC6FE">
      <w:pPr>
        <w:pStyle w:val="32"/>
        <w:rPr>
          <w:rFonts w:hint="eastAsia" w:ascii="宋体" w:hAnsi="宋体" w:eastAsia="宋体" w:cs="宋体"/>
          <w:color w:val="auto"/>
          <w:sz w:val="24"/>
          <w:szCs w:val="32"/>
          <w:highlight w:val="none"/>
        </w:rPr>
      </w:pPr>
    </w:p>
    <w:p w14:paraId="048FEF07">
      <w:pPr>
        <w:pStyle w:val="32"/>
        <w:rPr>
          <w:rFonts w:hint="eastAsia" w:ascii="宋体" w:hAnsi="宋体" w:eastAsia="宋体" w:cs="宋体"/>
          <w:color w:val="auto"/>
          <w:sz w:val="24"/>
          <w:szCs w:val="32"/>
          <w:highlight w:val="none"/>
        </w:rPr>
      </w:pPr>
    </w:p>
    <w:p w14:paraId="78969206">
      <w:pPr>
        <w:pStyle w:val="32"/>
        <w:rPr>
          <w:rFonts w:hint="eastAsia" w:ascii="宋体" w:hAnsi="宋体" w:eastAsia="宋体" w:cs="宋体"/>
          <w:color w:val="auto"/>
          <w:sz w:val="24"/>
          <w:szCs w:val="32"/>
          <w:highlight w:val="none"/>
        </w:rPr>
      </w:pPr>
    </w:p>
    <w:p w14:paraId="10E0B524">
      <w:pPr>
        <w:pStyle w:val="32"/>
        <w:rPr>
          <w:rFonts w:hint="eastAsia" w:ascii="宋体" w:hAnsi="宋体" w:eastAsia="宋体" w:cs="宋体"/>
          <w:color w:val="auto"/>
          <w:sz w:val="24"/>
          <w:szCs w:val="32"/>
          <w:highlight w:val="none"/>
        </w:rPr>
      </w:pPr>
    </w:p>
    <w:p w14:paraId="5D8C670D">
      <w:pPr>
        <w:pStyle w:val="32"/>
        <w:rPr>
          <w:rFonts w:hint="eastAsia" w:ascii="宋体" w:hAnsi="宋体" w:eastAsia="宋体" w:cs="宋体"/>
          <w:color w:val="auto"/>
          <w:sz w:val="24"/>
          <w:szCs w:val="32"/>
          <w:highlight w:val="none"/>
        </w:rPr>
      </w:pPr>
    </w:p>
    <w:p w14:paraId="287ACECF">
      <w:pPr>
        <w:pStyle w:val="32"/>
        <w:rPr>
          <w:rFonts w:hint="eastAsia" w:ascii="宋体" w:hAnsi="宋体" w:eastAsia="宋体" w:cs="宋体"/>
          <w:color w:val="auto"/>
          <w:sz w:val="24"/>
          <w:szCs w:val="32"/>
          <w:highlight w:val="none"/>
        </w:rPr>
      </w:pPr>
    </w:p>
    <w:p w14:paraId="762C6DF2">
      <w:pPr>
        <w:pStyle w:val="32"/>
        <w:rPr>
          <w:rFonts w:hint="eastAsia" w:ascii="宋体" w:hAnsi="宋体" w:eastAsia="宋体" w:cs="宋体"/>
          <w:color w:val="auto"/>
          <w:sz w:val="24"/>
          <w:szCs w:val="32"/>
          <w:highlight w:val="none"/>
        </w:rPr>
      </w:pPr>
    </w:p>
    <w:p w14:paraId="52A527D0">
      <w:pPr>
        <w:pStyle w:val="32"/>
        <w:rPr>
          <w:rFonts w:hint="eastAsia" w:ascii="宋体" w:hAnsi="宋体" w:eastAsia="宋体" w:cs="宋体"/>
          <w:color w:val="auto"/>
          <w:sz w:val="24"/>
          <w:szCs w:val="32"/>
          <w:highlight w:val="none"/>
        </w:rPr>
      </w:pPr>
    </w:p>
    <w:p w14:paraId="6B282ECE">
      <w:pPr>
        <w:pStyle w:val="32"/>
        <w:rPr>
          <w:rFonts w:hint="eastAsia" w:ascii="宋体" w:hAnsi="宋体" w:eastAsia="宋体" w:cs="宋体"/>
          <w:color w:val="auto"/>
          <w:sz w:val="24"/>
          <w:szCs w:val="32"/>
          <w:highlight w:val="none"/>
        </w:rPr>
      </w:pPr>
    </w:p>
    <w:p w14:paraId="1037C6BC">
      <w:pPr>
        <w:pStyle w:val="32"/>
        <w:rPr>
          <w:rFonts w:hint="eastAsia" w:ascii="宋体" w:hAnsi="宋体" w:eastAsia="宋体" w:cs="宋体"/>
          <w:color w:val="auto"/>
          <w:sz w:val="24"/>
          <w:szCs w:val="32"/>
          <w:highlight w:val="none"/>
        </w:rPr>
      </w:pPr>
    </w:p>
    <w:p w14:paraId="7CF2F993">
      <w:pPr>
        <w:pStyle w:val="32"/>
        <w:rPr>
          <w:rFonts w:hint="eastAsia" w:ascii="宋体" w:hAnsi="宋体" w:eastAsia="宋体" w:cs="宋体"/>
          <w:color w:val="auto"/>
          <w:sz w:val="24"/>
          <w:szCs w:val="32"/>
          <w:highlight w:val="none"/>
        </w:rPr>
      </w:pPr>
    </w:p>
    <w:p w14:paraId="1EB744FF">
      <w:pPr>
        <w:pStyle w:val="32"/>
        <w:rPr>
          <w:rFonts w:hint="eastAsia" w:ascii="宋体" w:hAnsi="宋体" w:eastAsia="宋体" w:cs="宋体"/>
          <w:color w:val="auto"/>
          <w:sz w:val="24"/>
          <w:szCs w:val="32"/>
          <w:highlight w:val="none"/>
        </w:rPr>
      </w:pPr>
    </w:p>
    <w:p w14:paraId="59BCC1FF">
      <w:pPr>
        <w:pStyle w:val="32"/>
        <w:rPr>
          <w:rFonts w:hint="eastAsia" w:ascii="宋体" w:hAnsi="宋体" w:eastAsia="宋体" w:cs="宋体"/>
          <w:color w:val="auto"/>
          <w:sz w:val="24"/>
          <w:szCs w:val="32"/>
          <w:highlight w:val="none"/>
        </w:rPr>
      </w:pPr>
    </w:p>
    <w:p w14:paraId="2718FA6B">
      <w:pPr>
        <w:pStyle w:val="32"/>
        <w:rPr>
          <w:rFonts w:hint="eastAsia" w:ascii="宋体" w:hAnsi="宋体" w:eastAsia="宋体" w:cs="宋体"/>
          <w:color w:val="auto"/>
          <w:sz w:val="24"/>
          <w:szCs w:val="32"/>
          <w:highlight w:val="none"/>
        </w:rPr>
      </w:pPr>
    </w:p>
    <w:p w14:paraId="15C4AD27">
      <w:pPr>
        <w:pStyle w:val="32"/>
        <w:rPr>
          <w:rFonts w:hint="eastAsia" w:ascii="宋体" w:hAnsi="宋体" w:eastAsia="宋体" w:cs="宋体"/>
          <w:color w:val="auto"/>
          <w:sz w:val="24"/>
          <w:szCs w:val="32"/>
          <w:highlight w:val="none"/>
        </w:rPr>
      </w:pPr>
    </w:p>
    <w:p w14:paraId="7EFA3030">
      <w:pPr>
        <w:pStyle w:val="32"/>
        <w:rPr>
          <w:rFonts w:hint="eastAsia" w:ascii="宋体" w:hAnsi="宋体" w:eastAsia="宋体" w:cs="宋体"/>
          <w:color w:val="auto"/>
          <w:sz w:val="24"/>
          <w:szCs w:val="32"/>
          <w:highlight w:val="none"/>
        </w:rPr>
      </w:pPr>
    </w:p>
    <w:p w14:paraId="4B833C43">
      <w:pPr>
        <w:pStyle w:val="32"/>
        <w:rPr>
          <w:rFonts w:hint="eastAsia" w:ascii="宋体" w:hAnsi="宋体" w:eastAsia="宋体" w:cs="宋体"/>
          <w:color w:val="auto"/>
          <w:sz w:val="24"/>
          <w:szCs w:val="32"/>
          <w:highlight w:val="none"/>
        </w:rPr>
      </w:pPr>
    </w:p>
    <w:p w14:paraId="5D006E29">
      <w:pPr>
        <w:pStyle w:val="32"/>
        <w:rPr>
          <w:rFonts w:hint="eastAsia" w:ascii="宋体" w:hAnsi="宋体" w:eastAsia="宋体" w:cs="宋体"/>
          <w:color w:val="auto"/>
          <w:sz w:val="24"/>
          <w:szCs w:val="32"/>
          <w:highlight w:val="none"/>
        </w:rPr>
      </w:pPr>
    </w:p>
    <w:p w14:paraId="34FB4F42">
      <w:pPr>
        <w:pStyle w:val="32"/>
        <w:rPr>
          <w:rFonts w:hint="eastAsia" w:ascii="宋体" w:hAnsi="宋体" w:eastAsia="宋体" w:cs="宋体"/>
          <w:color w:val="auto"/>
          <w:sz w:val="24"/>
          <w:szCs w:val="32"/>
          <w:highlight w:val="none"/>
        </w:rPr>
      </w:pPr>
    </w:p>
    <w:p w14:paraId="24B03BF2">
      <w:pPr>
        <w:pStyle w:val="32"/>
        <w:rPr>
          <w:rFonts w:hint="eastAsia" w:ascii="宋体" w:hAnsi="宋体" w:eastAsia="宋体" w:cs="宋体"/>
          <w:color w:val="auto"/>
          <w:sz w:val="24"/>
          <w:szCs w:val="32"/>
          <w:highlight w:val="none"/>
        </w:rPr>
      </w:pPr>
    </w:p>
    <w:p w14:paraId="785D4071">
      <w:pPr>
        <w:pStyle w:val="32"/>
        <w:rPr>
          <w:rFonts w:hint="eastAsia" w:ascii="宋体" w:hAnsi="宋体" w:eastAsia="宋体" w:cs="宋体"/>
          <w:color w:val="auto"/>
          <w:sz w:val="24"/>
          <w:szCs w:val="32"/>
          <w:highlight w:val="none"/>
        </w:rPr>
      </w:pPr>
    </w:p>
    <w:p w14:paraId="49B97AAF">
      <w:pPr>
        <w:pStyle w:val="32"/>
        <w:rPr>
          <w:rFonts w:hint="eastAsia" w:ascii="宋体" w:hAnsi="宋体" w:eastAsia="宋体" w:cs="宋体"/>
          <w:color w:val="auto"/>
          <w:sz w:val="24"/>
          <w:szCs w:val="32"/>
          <w:highlight w:val="none"/>
        </w:rPr>
      </w:pPr>
    </w:p>
    <w:p w14:paraId="7784C271">
      <w:pPr>
        <w:pStyle w:val="32"/>
        <w:rPr>
          <w:rFonts w:hint="eastAsia" w:ascii="宋体" w:hAnsi="宋体" w:eastAsia="宋体" w:cs="宋体"/>
          <w:color w:val="auto"/>
          <w:sz w:val="24"/>
          <w:szCs w:val="32"/>
          <w:highlight w:val="none"/>
        </w:rPr>
      </w:pPr>
    </w:p>
    <w:p w14:paraId="6D8E3A92">
      <w:pPr>
        <w:spacing w:line="360" w:lineRule="auto"/>
        <w:jc w:val="left"/>
        <w:rPr>
          <w:rFonts w:ascii="宋体" w:hAnsi="宋体" w:cs="宋体"/>
          <w:b/>
          <w:color w:val="auto"/>
          <w:sz w:val="30"/>
          <w:szCs w:val="30"/>
          <w:highlight w:val="none"/>
        </w:rPr>
      </w:pPr>
      <w:bookmarkStart w:id="91" w:name="_Toc484452030"/>
      <w:r>
        <w:rPr>
          <w:rFonts w:hint="eastAsia" w:ascii="宋体" w:hAnsi="宋体" w:cs="宋体"/>
          <w:b/>
          <w:color w:val="auto"/>
          <w:sz w:val="30"/>
          <w:szCs w:val="30"/>
          <w:highlight w:val="none"/>
        </w:rPr>
        <w:t>另附</w:t>
      </w:r>
    </w:p>
    <w:p w14:paraId="1261B091">
      <w:pPr>
        <w:jc w:val="center"/>
        <w:rPr>
          <w:rFonts w:hint="eastAsia" w:ascii="宋体" w:hAnsi="宋体" w:eastAsia="宋体" w:cs="宋体"/>
          <w:b/>
          <w:color w:val="auto"/>
          <w:sz w:val="30"/>
          <w:szCs w:val="30"/>
          <w:highlight w:val="none"/>
        </w:rPr>
      </w:pPr>
    </w:p>
    <w:bookmarkEnd w:id="91"/>
    <w:p w14:paraId="3C01A2B8">
      <w:pPr>
        <w:tabs>
          <w:tab w:val="left" w:pos="2410"/>
        </w:tabs>
        <w:autoSpaceDE w:val="0"/>
        <w:autoSpaceDN w:val="0"/>
        <w:adjustRightInd w:val="0"/>
        <w:snapToGrid w:val="0"/>
        <w:spacing w:line="600" w:lineRule="exact"/>
        <w:jc w:val="center"/>
        <w:rPr>
          <w:rFonts w:hint="eastAsia" w:ascii="宋体" w:hAnsi="宋体" w:cs="宋体"/>
          <w:b/>
          <w:color w:val="auto"/>
          <w:sz w:val="36"/>
          <w:szCs w:val="36"/>
          <w:highlight w:val="none"/>
          <w:lang w:val="en-US" w:eastAsia="zh-CN"/>
        </w:rPr>
      </w:pPr>
      <w:bookmarkStart w:id="92" w:name="_Toc484452031"/>
      <w:r>
        <w:rPr>
          <w:rFonts w:hint="eastAsia" w:ascii="宋体" w:hAnsi="宋体" w:cs="宋体"/>
          <w:b/>
          <w:color w:val="auto"/>
          <w:sz w:val="36"/>
          <w:szCs w:val="36"/>
          <w:highlight w:val="none"/>
          <w:lang w:val="en-US" w:eastAsia="zh-CN"/>
        </w:rPr>
        <w:t>2024年安全生产标准化现场问题整改及汛后维修养护</w:t>
      </w:r>
    </w:p>
    <w:p w14:paraId="7C480E17">
      <w:pPr>
        <w:tabs>
          <w:tab w:val="left" w:pos="2410"/>
        </w:tabs>
        <w:autoSpaceDE w:val="0"/>
        <w:autoSpaceDN w:val="0"/>
        <w:adjustRightInd w:val="0"/>
        <w:snapToGrid w:val="0"/>
        <w:spacing w:line="600" w:lineRule="exact"/>
        <w:jc w:val="center"/>
        <w:rPr>
          <w:rFonts w:ascii="宋体" w:hAnsi="宋体" w:cs="宋体"/>
          <w:color w:val="auto"/>
          <w:sz w:val="28"/>
          <w:szCs w:val="28"/>
          <w:highlight w:val="none"/>
        </w:rPr>
      </w:pPr>
      <w:r>
        <w:rPr>
          <w:rFonts w:hint="eastAsia" w:ascii="宋体" w:hAnsi="宋体" w:cs="宋体"/>
          <w:b/>
          <w:color w:val="auto"/>
          <w:sz w:val="36"/>
          <w:szCs w:val="36"/>
          <w:highlight w:val="none"/>
        </w:rPr>
        <w:t>最终报价（二轮报价表</w:t>
      </w:r>
      <w:bookmarkEnd w:id="92"/>
      <w:r>
        <w:rPr>
          <w:rFonts w:hint="eastAsia" w:ascii="宋体" w:hAnsi="宋体" w:cs="宋体"/>
          <w:b/>
          <w:color w:val="auto"/>
          <w:sz w:val="36"/>
          <w:szCs w:val="36"/>
          <w:highlight w:val="none"/>
        </w:rPr>
        <w:t>）</w:t>
      </w:r>
    </w:p>
    <w:p w14:paraId="00233BAF">
      <w:pPr>
        <w:spacing w:line="640" w:lineRule="exact"/>
        <w:rPr>
          <w:rFonts w:hint="eastAsia" w:ascii="宋体" w:hAnsi="宋体" w:cs="宋体"/>
          <w:color w:val="auto"/>
          <w:sz w:val="28"/>
          <w:szCs w:val="28"/>
          <w:highlight w:val="none"/>
        </w:rPr>
      </w:pPr>
    </w:p>
    <w:p w14:paraId="7FC3D974">
      <w:pPr>
        <w:spacing w:line="640" w:lineRule="exact"/>
        <w:rPr>
          <w:rFonts w:ascii="宋体" w:hAnsi="宋体" w:cs="宋体"/>
          <w:color w:val="auto"/>
          <w:sz w:val="28"/>
          <w:szCs w:val="28"/>
          <w:highlight w:val="none"/>
        </w:rPr>
      </w:pPr>
      <w:r>
        <w:rPr>
          <w:rFonts w:hint="eastAsia" w:ascii="宋体" w:hAnsi="宋体" w:cs="宋体"/>
          <w:color w:val="auto"/>
          <w:sz w:val="28"/>
          <w:szCs w:val="28"/>
          <w:highlight w:val="none"/>
        </w:rPr>
        <w:t>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采购人)</w:t>
      </w:r>
    </w:p>
    <w:p w14:paraId="3E8860C1">
      <w:pPr>
        <w:ind w:firstLine="560" w:firstLineChars="200"/>
        <w:rPr>
          <w:rFonts w:ascii="宋体" w:hAnsi="宋体" w:cs="宋体"/>
          <w:color w:val="auto"/>
          <w:sz w:val="28"/>
          <w:szCs w:val="28"/>
          <w:highlight w:val="none"/>
          <w:u w:val="single"/>
        </w:rPr>
      </w:pPr>
      <w:r>
        <w:rPr>
          <w:rFonts w:hint="eastAsia" w:ascii="宋体" w:hAnsi="宋体" w:cs="宋体"/>
          <w:color w:val="auto"/>
          <w:sz w:val="28"/>
          <w:szCs w:val="28"/>
          <w:highlight w:val="none"/>
        </w:rPr>
        <w:t>1、</w:t>
      </w:r>
      <w:r>
        <w:rPr>
          <w:rFonts w:hint="eastAsia" w:ascii="宋体" w:hAnsi="宋体"/>
          <w:color w:val="auto"/>
          <w:sz w:val="28"/>
          <w:szCs w:val="28"/>
          <w:highlight w:val="none"/>
        </w:rPr>
        <w:t>我方愿在第一次谈判（响应文件）报价的基础上，确定最终报价为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元</w:t>
      </w:r>
      <w:r>
        <w:rPr>
          <w:rFonts w:hint="eastAsia" w:ascii="宋体" w:hAnsi="宋体" w:cs="宋体"/>
          <w:color w:val="auto"/>
          <w:sz w:val="28"/>
          <w:szCs w:val="28"/>
          <w:highlight w:val="none"/>
        </w:rPr>
        <w:t>。</w:t>
      </w:r>
    </w:p>
    <w:p w14:paraId="6F260A39">
      <w:pPr>
        <w:spacing w:line="64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2、其他部分与响应文件内容一致。</w:t>
      </w:r>
    </w:p>
    <w:p w14:paraId="6F4A079E">
      <w:pPr>
        <w:ind w:left="5324" w:leftChars="1402" w:hanging="2380" w:hangingChars="850"/>
        <w:rPr>
          <w:rFonts w:ascii="宋体" w:hAnsi="宋体" w:cs="宋体"/>
          <w:color w:val="auto"/>
          <w:sz w:val="28"/>
          <w:szCs w:val="28"/>
          <w:highlight w:val="none"/>
        </w:rPr>
      </w:pPr>
    </w:p>
    <w:p w14:paraId="645FCB50">
      <w:pPr>
        <w:ind w:left="5324" w:leftChars="1402" w:hanging="2380" w:hangingChars="850"/>
        <w:rPr>
          <w:rFonts w:ascii="宋体" w:hAnsi="宋体" w:cs="宋体"/>
          <w:color w:val="auto"/>
          <w:sz w:val="28"/>
          <w:szCs w:val="28"/>
          <w:highlight w:val="none"/>
        </w:rPr>
      </w:pPr>
    </w:p>
    <w:p w14:paraId="032EB4F1">
      <w:pPr>
        <w:ind w:left="5324" w:leftChars="1402" w:hanging="2380" w:hangingChars="850"/>
        <w:rPr>
          <w:rFonts w:ascii="宋体" w:hAnsi="宋体" w:cs="宋体"/>
          <w:color w:val="auto"/>
          <w:sz w:val="28"/>
          <w:szCs w:val="28"/>
          <w:highlight w:val="none"/>
        </w:rPr>
      </w:pPr>
      <w:r>
        <w:rPr>
          <w:rFonts w:hint="eastAsia" w:ascii="宋体" w:hAnsi="宋体" w:cs="宋体"/>
          <w:color w:val="auto"/>
          <w:sz w:val="28"/>
          <w:szCs w:val="28"/>
          <w:highlight w:val="none"/>
        </w:rPr>
        <w:t xml:space="preserve">供应商： </w:t>
      </w:r>
      <w:r>
        <w:rPr>
          <w:rFonts w:hint="eastAsia" w:ascii="宋体" w:hAnsi="宋体" w:cs="宋体"/>
          <w:color w:val="auto"/>
          <w:sz w:val="28"/>
          <w:szCs w:val="28"/>
          <w:highlight w:val="none"/>
          <w:u w:val="single"/>
        </w:rPr>
        <w:t xml:space="preserve">                        （盖章）</w:t>
      </w:r>
    </w:p>
    <w:p w14:paraId="66AA6C96">
      <w:pPr>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法定代表人或授权委托人：</w:t>
      </w:r>
      <w:r>
        <w:rPr>
          <w:rFonts w:hint="eastAsia" w:ascii="宋体" w:hAnsi="宋体" w:cs="宋体"/>
          <w:color w:val="auto"/>
          <w:sz w:val="28"/>
          <w:szCs w:val="28"/>
          <w:highlight w:val="none"/>
          <w:u w:val="single"/>
        </w:rPr>
        <w:t xml:space="preserve">                 （签字或盖章）</w:t>
      </w:r>
    </w:p>
    <w:p w14:paraId="18B417B3">
      <w:pPr>
        <w:rPr>
          <w:rFonts w:ascii="宋体" w:hAnsi="宋体" w:cs="宋体"/>
          <w:color w:val="auto"/>
          <w:sz w:val="28"/>
          <w:szCs w:val="28"/>
          <w:highlight w:val="none"/>
        </w:rPr>
      </w:pPr>
      <w:r>
        <w:rPr>
          <w:rFonts w:hint="eastAsia" w:ascii="宋体" w:hAnsi="宋体" w:cs="宋体"/>
          <w:color w:val="auto"/>
          <w:sz w:val="28"/>
          <w:szCs w:val="28"/>
          <w:highlight w:val="none"/>
        </w:rPr>
        <w:t xml:space="preserve">                         日   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119F948B">
      <w:pPr>
        <w:rPr>
          <w:rFonts w:ascii="宋体" w:hAnsi="宋体"/>
          <w:b/>
          <w:color w:val="auto"/>
          <w:sz w:val="28"/>
          <w:szCs w:val="28"/>
          <w:highlight w:val="none"/>
          <w:u w:val="double"/>
        </w:rPr>
      </w:pPr>
    </w:p>
    <w:p w14:paraId="7F9B99E7">
      <w:pPr>
        <w:rPr>
          <w:rFonts w:ascii="宋体" w:hAnsi="宋体"/>
          <w:b/>
          <w:color w:val="auto"/>
          <w:sz w:val="28"/>
          <w:szCs w:val="28"/>
          <w:highlight w:val="none"/>
          <w:u w:val="double"/>
        </w:rPr>
      </w:pPr>
    </w:p>
    <w:p w14:paraId="62435E9D">
      <w:pPr>
        <w:rPr>
          <w:rFonts w:hint="eastAsia" w:ascii="宋体" w:hAnsi="宋体"/>
          <w:b/>
          <w:color w:val="auto"/>
          <w:sz w:val="28"/>
          <w:szCs w:val="28"/>
          <w:highlight w:val="none"/>
          <w:u w:val="double"/>
        </w:rPr>
      </w:pPr>
    </w:p>
    <w:p w14:paraId="25387CE6">
      <w:pPr>
        <w:rPr>
          <w:rFonts w:ascii="宋体" w:hAnsi="宋体"/>
          <w:b/>
          <w:color w:val="auto"/>
          <w:sz w:val="28"/>
          <w:szCs w:val="28"/>
          <w:highlight w:val="none"/>
          <w:u w:val="double"/>
        </w:rPr>
      </w:pPr>
      <w:r>
        <w:rPr>
          <w:rFonts w:hint="eastAsia" w:ascii="宋体" w:hAnsi="宋体"/>
          <w:b/>
          <w:color w:val="auto"/>
          <w:sz w:val="28"/>
          <w:szCs w:val="28"/>
          <w:highlight w:val="none"/>
          <w:u w:val="double"/>
        </w:rPr>
        <w:t>（注：各供应商单独备足空白“二轮报价表”并加盖单位公章，用于第二次报价时填写）。</w:t>
      </w:r>
    </w:p>
    <w:p w14:paraId="167DC394">
      <w:pPr>
        <w:pStyle w:val="32"/>
        <w:ind w:left="0" w:leftChars="0" w:firstLine="0" w:firstLineChars="0"/>
        <w:rPr>
          <w:rFonts w:hint="eastAsia" w:ascii="宋体" w:hAnsi="宋体" w:eastAsia="宋体" w:cs="宋体"/>
          <w:color w:val="auto"/>
          <w:sz w:val="24"/>
          <w:szCs w:val="32"/>
          <w:highlight w:val="none"/>
        </w:rPr>
      </w:pPr>
    </w:p>
    <w:sectPr>
      <w:headerReference r:id="rId14" w:type="default"/>
      <w:footerReference r:id="rId16" w:type="default"/>
      <w:headerReference r:id="rId15" w:type="even"/>
      <w:footerReference r:id="rId17" w:type="even"/>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97E835A-ACCF-432A-A885-368012C7ECA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21367E6-96ED-4724-84C8-158808A28DF9}"/>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DotumChe">
    <w:altName w:val="Malgun Gothic"/>
    <w:panose1 w:val="020B0609000101010101"/>
    <w:charset w:val="81"/>
    <w:family w:val="modern"/>
    <w:pitch w:val="default"/>
    <w:sig w:usb0="00000000" w:usb1="00000000" w:usb2="00000030" w:usb3="00000000" w:csb0="4008009F" w:csb1="DFD70000"/>
    <w:embedRegular r:id="rId3" w:fontKey="{850282B1-09F5-47BB-ABCC-28309AB8C520}"/>
  </w:font>
  <w:font w:name="Malgun Gothic">
    <w:panose1 w:val="020B0503020000020004"/>
    <w:charset w:val="81"/>
    <w:family w:val="auto"/>
    <w:pitch w:val="default"/>
    <w:sig w:usb0="9000002F" w:usb1="29D77CFB" w:usb2="00000012" w:usb3="00000000" w:csb0="00080001" w:csb1="00000000"/>
  </w:font>
  <w:font w:name="方正小标宋简体">
    <w:panose1 w:val="03000509000000000000"/>
    <w:charset w:val="86"/>
    <w:family w:val="auto"/>
    <w:pitch w:val="default"/>
    <w:sig w:usb0="00000001" w:usb1="080E0000" w:usb2="00000000" w:usb3="00000000" w:csb0="00040000" w:csb1="00000000"/>
    <w:embedRegular r:id="rId4" w:fontKey="{050D3E43-ABFC-43AF-9C30-DDB7189736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AED9E">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11D2EB">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A11D2EB">
                    <w:pPr>
                      <w:pStyle w:val="20"/>
                    </w:pPr>
                    <w:r>
                      <w:fldChar w:fldCharType="begin"/>
                    </w:r>
                    <w:r>
                      <w:instrText xml:space="preserve"> PAGE  \* MERGEFORMAT </w:instrText>
                    </w:r>
                    <w:r>
                      <w:fldChar w:fldCharType="separate"/>
                    </w:r>
                    <w:r>
                      <w:t>1</w:t>
                    </w:r>
                    <w:r>
                      <w:fldChar w:fldCharType="end"/>
                    </w:r>
                  </w:p>
                </w:txbxContent>
              </v:textbox>
            </v:shape>
          </w:pict>
        </mc:Fallback>
      </mc:AlternateContent>
    </w:r>
  </w:p>
  <w:p w14:paraId="00C0DF99">
    <w:pPr>
      <w:spacing w:line="220" w:lineRule="auto"/>
      <w:ind w:left="3323"/>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94740">
    <w:pPr>
      <w:spacing w:line="220" w:lineRule="auto"/>
      <w:ind w:left="3323"/>
      <w:rPr>
        <w:rFonts w:ascii="宋体" w:hAnsi="宋体" w:cs="宋体"/>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9C7E8C">
                          <w:pPr>
                            <w:pStyle w:val="20"/>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14:paraId="219C7E8C">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8A49C">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2B620E">
                          <w:pPr>
                            <w:pStyle w:val="2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14:paraId="692B620E">
                    <w:pPr>
                      <w:pStyle w:val="20"/>
                    </w:pPr>
                    <w:r>
                      <w:fldChar w:fldCharType="begin"/>
                    </w:r>
                    <w:r>
                      <w:instrText xml:space="preserve"> PAGE  \* MERGEFORMAT </w:instrText>
                    </w:r>
                    <w:r>
                      <w:fldChar w:fldCharType="separate"/>
                    </w:r>
                    <w:r>
                      <w:t>24</w:t>
                    </w:r>
                    <w:r>
                      <w:fldChar w:fldCharType="end"/>
                    </w:r>
                  </w:p>
                </w:txbxContent>
              </v:textbox>
            </v:shape>
          </w:pict>
        </mc:Fallback>
      </mc:AlternateContent>
    </w:r>
  </w:p>
  <w:p w14:paraId="18774805">
    <w:pPr>
      <w:spacing w:line="220" w:lineRule="auto"/>
      <w:ind w:left="3323"/>
      <w:rPr>
        <w:rFonts w:ascii="宋体" w:hAnsi="宋体" w:cs="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1589D">
    <w:pPr>
      <w:spacing w:line="220" w:lineRule="auto"/>
      <w:ind w:left="3323"/>
      <w:rPr>
        <w:rFonts w:ascii="宋体" w:hAnsi="宋体" w:cs="宋体"/>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E12ADA">
                          <w:pPr>
                            <w:pStyle w:val="20"/>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RahcsBAACcAwAADgAAAGRycy9lMm9Eb2MueG1srVNLjtswDN0X6B0E&#10;7SdyMkU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jEWoXLAQAAnAMAAA4AAAAAAAAAAQAgAAAAHgEAAGRycy9lMm9E&#10;b2MueG1sUEsFBgAAAAAGAAYAWQEAAFsFAAAAAA==&#10;">
              <v:fill on="f" focussize="0,0"/>
              <v:stroke on="f"/>
              <v:imagedata o:title=""/>
              <o:lock v:ext="edit" aspectratio="f"/>
              <v:textbox inset="0mm,0mm,0mm,0mm" style="mso-fit-shape-to-text:t;">
                <w:txbxContent>
                  <w:p w14:paraId="45E12ADA">
                    <w:pPr>
                      <w:pStyle w:val="2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57435">
    <w:pPr>
      <w:spacing w:line="220" w:lineRule="auto"/>
      <w:ind w:left="3323"/>
      <w:rPr>
        <w:rFonts w:ascii="宋体" w:hAnsi="宋体" w:cs="宋体"/>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3C8ABB">
                          <w:pPr>
                            <w:pStyle w:val="20"/>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nBM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snBM8oBAACcAwAADgAAAAAAAAABACAAAAAeAQAAZHJzL2Uyb0Rv&#10;Yy54bWxQSwUGAAAAAAYABgBZAQAAWgUAAAAA&#10;">
              <v:fill on="f" focussize="0,0"/>
              <v:stroke on="f"/>
              <v:imagedata o:title=""/>
              <o:lock v:ext="edit" aspectratio="f"/>
              <v:textbox inset="0mm,0mm,0mm,0mm" style="mso-fit-shape-to-text:t;">
                <w:txbxContent>
                  <w:p w14:paraId="413C8ABB">
                    <w:pPr>
                      <w:pStyle w:val="2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80479">
    <w:pPr>
      <w:spacing w:line="220" w:lineRule="auto"/>
      <w:ind w:left="3323"/>
      <w:rPr>
        <w:rFonts w:ascii="宋体" w:hAnsi="宋体" w:cs="宋体"/>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171D0F">
                          <w:pPr>
                            <w:pStyle w:val="20"/>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HVns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pHVnsoBAACcAwAADgAAAAAAAAABACAAAAAeAQAAZHJzL2Uyb0Rv&#10;Yy54bWxQSwUGAAAAAAYABgBZAQAAWgUAAAAA&#10;">
              <v:fill on="f" focussize="0,0"/>
              <v:stroke on="f"/>
              <v:imagedata o:title=""/>
              <o:lock v:ext="edit" aspectratio="f"/>
              <v:textbox inset="0mm,0mm,0mm,0mm" style="mso-fit-shape-to-text:t;">
                <w:txbxContent>
                  <w:p w14:paraId="15171D0F">
                    <w:pPr>
                      <w:pStyle w:val="2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D7738">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3EAD30">
                          <w:pPr>
                            <w:pStyle w:val="20"/>
                            <w:rPr>
                              <w:rStyle w:val="38"/>
                            </w:rPr>
                          </w:pPr>
                          <w:r>
                            <w:rPr>
                              <w:rStyle w:val="38"/>
                            </w:rPr>
                            <w:fldChar w:fldCharType="begin"/>
                          </w:r>
                          <w:r>
                            <w:rPr>
                              <w:rStyle w:val="38"/>
                            </w:rPr>
                            <w:instrText xml:space="preserve">PAGE  </w:instrText>
                          </w:r>
                          <w:r>
                            <w:rPr>
                              <w:rStyle w:val="38"/>
                            </w:rPr>
                            <w:fldChar w:fldCharType="separate"/>
                          </w:r>
                          <w:r>
                            <w:rPr>
                              <w:rStyle w:val="38"/>
                            </w:rPr>
                            <w:t>45</w:t>
                          </w:r>
                          <w:r>
                            <w:rPr>
                              <w:rStyle w:val="3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10PZ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3XQ9kyQEAAJkDAAAOAAAAAAAAAAEAIAAAAB4BAABkcnMvZTJvRG9j&#10;LnhtbFBLBQYAAAAABgAGAFkBAABZBQAAAAA=&#10;">
              <v:fill on="f" focussize="0,0"/>
              <v:stroke on="f"/>
              <v:imagedata o:title=""/>
              <o:lock v:ext="edit" aspectratio="f"/>
              <v:textbox inset="0mm,0mm,0mm,0mm" style="mso-fit-shape-to-text:t;">
                <w:txbxContent>
                  <w:p w14:paraId="7C3EAD30">
                    <w:pPr>
                      <w:pStyle w:val="20"/>
                      <w:rPr>
                        <w:rStyle w:val="38"/>
                      </w:rPr>
                    </w:pPr>
                    <w:r>
                      <w:rPr>
                        <w:rStyle w:val="38"/>
                      </w:rPr>
                      <w:fldChar w:fldCharType="begin"/>
                    </w:r>
                    <w:r>
                      <w:rPr>
                        <w:rStyle w:val="38"/>
                      </w:rPr>
                      <w:instrText xml:space="preserve">PAGE  </w:instrText>
                    </w:r>
                    <w:r>
                      <w:rPr>
                        <w:rStyle w:val="38"/>
                      </w:rPr>
                      <w:fldChar w:fldCharType="separate"/>
                    </w:r>
                    <w:r>
                      <w:rPr>
                        <w:rStyle w:val="38"/>
                      </w:rPr>
                      <w:t>45</w:t>
                    </w:r>
                    <w:r>
                      <w:rPr>
                        <w:rStyle w:val="3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796D">
    <w:pPr>
      <w:pStyle w:val="20"/>
      <w:framePr w:wrap="around" w:vAnchor="text" w:hAnchor="margin" w:xAlign="center" w:y="1"/>
      <w:rPr>
        <w:rStyle w:val="38"/>
      </w:rPr>
    </w:pPr>
    <w:r>
      <w:rPr>
        <w:rStyle w:val="38"/>
      </w:rPr>
      <w:fldChar w:fldCharType="begin"/>
    </w:r>
    <w:r>
      <w:rPr>
        <w:rStyle w:val="38"/>
      </w:rPr>
      <w:instrText xml:space="preserve">PAGE  </w:instrText>
    </w:r>
    <w:r>
      <w:rPr>
        <w:rStyle w:val="38"/>
      </w:rPr>
      <w:fldChar w:fldCharType="end"/>
    </w:r>
  </w:p>
  <w:p w14:paraId="3F0EF3EC">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DC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A89F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0802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7D3D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4E61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97186">
    <w:pPr>
      <w:pStyle w:val="21"/>
      <w:pBdr>
        <w:bottom w:val="none" w:color="auto" w:sz="0" w:space="0"/>
      </w:pBdr>
      <w:tabs>
        <w:tab w:val="left" w:pos="8460"/>
        <w:tab w:val="left" w:pos="9180"/>
        <w:tab w:val="clear" w:pos="4153"/>
        <w:tab w:val="clear" w:pos="8306"/>
      </w:tabs>
      <w:ind w:right="360"/>
      <w:rPr>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D5408">
    <w:pPr>
      <w:pStyle w:val="21"/>
      <w:framePr w:wrap="around" w:vAnchor="text" w:hAnchor="margin" w:xAlign="right" w:y="1"/>
      <w:rPr>
        <w:rStyle w:val="38"/>
      </w:rPr>
    </w:pPr>
    <w:r>
      <w:rPr>
        <w:rStyle w:val="38"/>
      </w:rPr>
      <w:fldChar w:fldCharType="begin"/>
    </w:r>
    <w:r>
      <w:rPr>
        <w:rStyle w:val="38"/>
      </w:rPr>
      <w:instrText xml:space="preserve">PAGE  </w:instrText>
    </w:r>
    <w:r>
      <w:rPr>
        <w:rStyle w:val="38"/>
      </w:rPr>
      <w:fldChar w:fldCharType="end"/>
    </w:r>
  </w:p>
  <w:p w14:paraId="2D746327">
    <w:pPr>
      <w:pStyle w:val="2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21DC62EB"/>
    <w:multiLevelType w:val="singleLevel"/>
    <w:tmpl w:val="21DC62EB"/>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ZjYxMzlhZGQwNmZkNWVhNDQ4YjYwNjUwY2QxYWIifQ=="/>
  </w:docVars>
  <w:rsids>
    <w:rsidRoot w:val="002D677B"/>
    <w:rsid w:val="00004421"/>
    <w:rsid w:val="000145D1"/>
    <w:rsid w:val="00015C71"/>
    <w:rsid w:val="00017F4E"/>
    <w:rsid w:val="00042454"/>
    <w:rsid w:val="00047B18"/>
    <w:rsid w:val="000512E3"/>
    <w:rsid w:val="00055355"/>
    <w:rsid w:val="00057B34"/>
    <w:rsid w:val="00066BCF"/>
    <w:rsid w:val="00083A3D"/>
    <w:rsid w:val="00085013"/>
    <w:rsid w:val="0008734A"/>
    <w:rsid w:val="00091912"/>
    <w:rsid w:val="00092365"/>
    <w:rsid w:val="00095459"/>
    <w:rsid w:val="000A3D75"/>
    <w:rsid w:val="000A6C92"/>
    <w:rsid w:val="000D5884"/>
    <w:rsid w:val="000E103D"/>
    <w:rsid w:val="0010048A"/>
    <w:rsid w:val="00111E06"/>
    <w:rsid w:val="00122307"/>
    <w:rsid w:val="001252D5"/>
    <w:rsid w:val="001260B2"/>
    <w:rsid w:val="00135355"/>
    <w:rsid w:val="00143438"/>
    <w:rsid w:val="00146D70"/>
    <w:rsid w:val="00156254"/>
    <w:rsid w:val="001723C8"/>
    <w:rsid w:val="001A3254"/>
    <w:rsid w:val="001B57E1"/>
    <w:rsid w:val="001D0C74"/>
    <w:rsid w:val="0021447E"/>
    <w:rsid w:val="002175D2"/>
    <w:rsid w:val="00222133"/>
    <w:rsid w:val="00230806"/>
    <w:rsid w:val="00232B23"/>
    <w:rsid w:val="00237471"/>
    <w:rsid w:val="002656AE"/>
    <w:rsid w:val="00272CC9"/>
    <w:rsid w:val="00275023"/>
    <w:rsid w:val="00295D2C"/>
    <w:rsid w:val="002A5B98"/>
    <w:rsid w:val="002B4065"/>
    <w:rsid w:val="002C3E11"/>
    <w:rsid w:val="002C5B38"/>
    <w:rsid w:val="002D508E"/>
    <w:rsid w:val="002D677B"/>
    <w:rsid w:val="002F334D"/>
    <w:rsid w:val="002F5374"/>
    <w:rsid w:val="002F5CAB"/>
    <w:rsid w:val="003342EF"/>
    <w:rsid w:val="00341CB0"/>
    <w:rsid w:val="003452C5"/>
    <w:rsid w:val="003540FC"/>
    <w:rsid w:val="003808D6"/>
    <w:rsid w:val="0039588E"/>
    <w:rsid w:val="003A03AB"/>
    <w:rsid w:val="003A6740"/>
    <w:rsid w:val="003B2EDC"/>
    <w:rsid w:val="003B7B6B"/>
    <w:rsid w:val="003C2E20"/>
    <w:rsid w:val="003E0132"/>
    <w:rsid w:val="003E0B3C"/>
    <w:rsid w:val="003E7C3B"/>
    <w:rsid w:val="00424DA5"/>
    <w:rsid w:val="0042639B"/>
    <w:rsid w:val="0044129B"/>
    <w:rsid w:val="004413B4"/>
    <w:rsid w:val="00453F7D"/>
    <w:rsid w:val="00467683"/>
    <w:rsid w:val="00480533"/>
    <w:rsid w:val="004B422C"/>
    <w:rsid w:val="004C64FF"/>
    <w:rsid w:val="004D5F5D"/>
    <w:rsid w:val="00524A87"/>
    <w:rsid w:val="00533AAE"/>
    <w:rsid w:val="005376B2"/>
    <w:rsid w:val="00554448"/>
    <w:rsid w:val="00554CE3"/>
    <w:rsid w:val="0059071F"/>
    <w:rsid w:val="005E56CC"/>
    <w:rsid w:val="00631A78"/>
    <w:rsid w:val="00654D2C"/>
    <w:rsid w:val="00661562"/>
    <w:rsid w:val="00667DEC"/>
    <w:rsid w:val="006758D4"/>
    <w:rsid w:val="00692C44"/>
    <w:rsid w:val="006A47DE"/>
    <w:rsid w:val="006B21E7"/>
    <w:rsid w:val="006C6C46"/>
    <w:rsid w:val="006D3DB9"/>
    <w:rsid w:val="006D3E10"/>
    <w:rsid w:val="006F01D1"/>
    <w:rsid w:val="006F15F4"/>
    <w:rsid w:val="006F1A5A"/>
    <w:rsid w:val="006F3D3E"/>
    <w:rsid w:val="00703A7D"/>
    <w:rsid w:val="00723EFB"/>
    <w:rsid w:val="00755A28"/>
    <w:rsid w:val="0076570F"/>
    <w:rsid w:val="00766A44"/>
    <w:rsid w:val="007679E5"/>
    <w:rsid w:val="00767BB2"/>
    <w:rsid w:val="007873A1"/>
    <w:rsid w:val="0079235B"/>
    <w:rsid w:val="007B00FB"/>
    <w:rsid w:val="007C07BE"/>
    <w:rsid w:val="007E5141"/>
    <w:rsid w:val="007F618A"/>
    <w:rsid w:val="00810784"/>
    <w:rsid w:val="00812341"/>
    <w:rsid w:val="00821E97"/>
    <w:rsid w:val="00821EE8"/>
    <w:rsid w:val="00836866"/>
    <w:rsid w:val="0086536B"/>
    <w:rsid w:val="008958C5"/>
    <w:rsid w:val="008A6D3D"/>
    <w:rsid w:val="008B0E3B"/>
    <w:rsid w:val="008C0ED2"/>
    <w:rsid w:val="008D216E"/>
    <w:rsid w:val="008F2946"/>
    <w:rsid w:val="00917C0D"/>
    <w:rsid w:val="00920D4C"/>
    <w:rsid w:val="00922A63"/>
    <w:rsid w:val="0092331E"/>
    <w:rsid w:val="00925990"/>
    <w:rsid w:val="00940C0D"/>
    <w:rsid w:val="0094320A"/>
    <w:rsid w:val="009622C1"/>
    <w:rsid w:val="00974003"/>
    <w:rsid w:val="0097577C"/>
    <w:rsid w:val="00980525"/>
    <w:rsid w:val="00987BA6"/>
    <w:rsid w:val="009B33B5"/>
    <w:rsid w:val="009B5EF1"/>
    <w:rsid w:val="009E1068"/>
    <w:rsid w:val="00A12534"/>
    <w:rsid w:val="00A17EB8"/>
    <w:rsid w:val="00A2462A"/>
    <w:rsid w:val="00A5114C"/>
    <w:rsid w:val="00A52EA8"/>
    <w:rsid w:val="00A612D2"/>
    <w:rsid w:val="00A74097"/>
    <w:rsid w:val="00A80EBE"/>
    <w:rsid w:val="00A8449C"/>
    <w:rsid w:val="00A85BA0"/>
    <w:rsid w:val="00A95755"/>
    <w:rsid w:val="00A957C6"/>
    <w:rsid w:val="00AA373B"/>
    <w:rsid w:val="00AA3AD8"/>
    <w:rsid w:val="00AA695A"/>
    <w:rsid w:val="00AB056C"/>
    <w:rsid w:val="00AB51D7"/>
    <w:rsid w:val="00AC4741"/>
    <w:rsid w:val="00AF4510"/>
    <w:rsid w:val="00B20E80"/>
    <w:rsid w:val="00B27CFD"/>
    <w:rsid w:val="00B410F6"/>
    <w:rsid w:val="00B5490B"/>
    <w:rsid w:val="00B57818"/>
    <w:rsid w:val="00B70C68"/>
    <w:rsid w:val="00B80346"/>
    <w:rsid w:val="00B83865"/>
    <w:rsid w:val="00BA10A8"/>
    <w:rsid w:val="00BA136D"/>
    <w:rsid w:val="00BA3764"/>
    <w:rsid w:val="00BB722E"/>
    <w:rsid w:val="00BB7605"/>
    <w:rsid w:val="00C2167A"/>
    <w:rsid w:val="00C27B98"/>
    <w:rsid w:val="00C35B5F"/>
    <w:rsid w:val="00C37D4A"/>
    <w:rsid w:val="00C5087F"/>
    <w:rsid w:val="00C7238B"/>
    <w:rsid w:val="00C734AB"/>
    <w:rsid w:val="00C84AAC"/>
    <w:rsid w:val="00C97CD9"/>
    <w:rsid w:val="00CA32AE"/>
    <w:rsid w:val="00CA59D0"/>
    <w:rsid w:val="00CA60CE"/>
    <w:rsid w:val="00CC020D"/>
    <w:rsid w:val="00CC2B9F"/>
    <w:rsid w:val="00CE1386"/>
    <w:rsid w:val="00CE28E9"/>
    <w:rsid w:val="00CF0325"/>
    <w:rsid w:val="00CF10C1"/>
    <w:rsid w:val="00CF3743"/>
    <w:rsid w:val="00D027C9"/>
    <w:rsid w:val="00D10B7C"/>
    <w:rsid w:val="00D13AEE"/>
    <w:rsid w:val="00D16453"/>
    <w:rsid w:val="00D175FB"/>
    <w:rsid w:val="00D17CE1"/>
    <w:rsid w:val="00D21312"/>
    <w:rsid w:val="00D30EA8"/>
    <w:rsid w:val="00D33ECF"/>
    <w:rsid w:val="00D6083A"/>
    <w:rsid w:val="00D94E40"/>
    <w:rsid w:val="00DA7984"/>
    <w:rsid w:val="00DD2C6C"/>
    <w:rsid w:val="00DE18CD"/>
    <w:rsid w:val="00DE4F7D"/>
    <w:rsid w:val="00E11038"/>
    <w:rsid w:val="00E1250B"/>
    <w:rsid w:val="00E12E66"/>
    <w:rsid w:val="00E20914"/>
    <w:rsid w:val="00E51EF9"/>
    <w:rsid w:val="00E566FF"/>
    <w:rsid w:val="00E83E73"/>
    <w:rsid w:val="00E912B4"/>
    <w:rsid w:val="00EA25B6"/>
    <w:rsid w:val="00EB6BB0"/>
    <w:rsid w:val="00EC0762"/>
    <w:rsid w:val="00EE1E3E"/>
    <w:rsid w:val="00EE4358"/>
    <w:rsid w:val="00EE5630"/>
    <w:rsid w:val="00EF2195"/>
    <w:rsid w:val="00EF260D"/>
    <w:rsid w:val="00EF3C5F"/>
    <w:rsid w:val="00F10319"/>
    <w:rsid w:val="00F2044E"/>
    <w:rsid w:val="00F22829"/>
    <w:rsid w:val="00F40445"/>
    <w:rsid w:val="00F464A7"/>
    <w:rsid w:val="00F47B41"/>
    <w:rsid w:val="00F564DA"/>
    <w:rsid w:val="00F64830"/>
    <w:rsid w:val="00F7459D"/>
    <w:rsid w:val="00F74BC0"/>
    <w:rsid w:val="00F819CE"/>
    <w:rsid w:val="00F85476"/>
    <w:rsid w:val="00F91C4B"/>
    <w:rsid w:val="00F977E8"/>
    <w:rsid w:val="00FA1EEE"/>
    <w:rsid w:val="00FA35DA"/>
    <w:rsid w:val="00FB2149"/>
    <w:rsid w:val="00FC1D08"/>
    <w:rsid w:val="00FC7A00"/>
    <w:rsid w:val="00FD0939"/>
    <w:rsid w:val="00FF1C7C"/>
    <w:rsid w:val="010351AA"/>
    <w:rsid w:val="017E1B19"/>
    <w:rsid w:val="01D029E9"/>
    <w:rsid w:val="01ED3B47"/>
    <w:rsid w:val="03062E20"/>
    <w:rsid w:val="03B22505"/>
    <w:rsid w:val="04067181"/>
    <w:rsid w:val="04103CCA"/>
    <w:rsid w:val="045913C5"/>
    <w:rsid w:val="04902ED8"/>
    <w:rsid w:val="04E377CC"/>
    <w:rsid w:val="04EE7346"/>
    <w:rsid w:val="05036D27"/>
    <w:rsid w:val="05045387"/>
    <w:rsid w:val="05104E6D"/>
    <w:rsid w:val="051060E7"/>
    <w:rsid w:val="05B87999"/>
    <w:rsid w:val="05ED76CD"/>
    <w:rsid w:val="062214BD"/>
    <w:rsid w:val="06257970"/>
    <w:rsid w:val="06262FF6"/>
    <w:rsid w:val="06562220"/>
    <w:rsid w:val="07267565"/>
    <w:rsid w:val="07713C98"/>
    <w:rsid w:val="078C18B4"/>
    <w:rsid w:val="079739DA"/>
    <w:rsid w:val="07A20F5E"/>
    <w:rsid w:val="0861256E"/>
    <w:rsid w:val="095F7F4C"/>
    <w:rsid w:val="09A20265"/>
    <w:rsid w:val="09A60123"/>
    <w:rsid w:val="09AE75F4"/>
    <w:rsid w:val="09B95F2A"/>
    <w:rsid w:val="09EC6D70"/>
    <w:rsid w:val="09FF6886"/>
    <w:rsid w:val="0A0C7574"/>
    <w:rsid w:val="0A424E4D"/>
    <w:rsid w:val="0A825391"/>
    <w:rsid w:val="0AF82AC1"/>
    <w:rsid w:val="0B416FFB"/>
    <w:rsid w:val="0B66533A"/>
    <w:rsid w:val="0B84414D"/>
    <w:rsid w:val="0BC32105"/>
    <w:rsid w:val="0BD46BAD"/>
    <w:rsid w:val="0BE120B2"/>
    <w:rsid w:val="0C6A432F"/>
    <w:rsid w:val="0CC55A09"/>
    <w:rsid w:val="0CEC43CA"/>
    <w:rsid w:val="0CF30129"/>
    <w:rsid w:val="0D50431A"/>
    <w:rsid w:val="0D712E27"/>
    <w:rsid w:val="0DF624E0"/>
    <w:rsid w:val="0E2A7D88"/>
    <w:rsid w:val="0E346850"/>
    <w:rsid w:val="0E404088"/>
    <w:rsid w:val="0EA113FA"/>
    <w:rsid w:val="0ECA11CC"/>
    <w:rsid w:val="0F3131B8"/>
    <w:rsid w:val="0F390E8E"/>
    <w:rsid w:val="0F6A2898"/>
    <w:rsid w:val="0F8F57EF"/>
    <w:rsid w:val="0FF97625"/>
    <w:rsid w:val="1018304A"/>
    <w:rsid w:val="104857E7"/>
    <w:rsid w:val="110475FD"/>
    <w:rsid w:val="11820B13"/>
    <w:rsid w:val="119066D9"/>
    <w:rsid w:val="11A335B5"/>
    <w:rsid w:val="11CC3396"/>
    <w:rsid w:val="1219428E"/>
    <w:rsid w:val="13490C7D"/>
    <w:rsid w:val="135C3D02"/>
    <w:rsid w:val="14E27C21"/>
    <w:rsid w:val="14F83028"/>
    <w:rsid w:val="15187DCF"/>
    <w:rsid w:val="153B2049"/>
    <w:rsid w:val="15614DA8"/>
    <w:rsid w:val="15AD79BC"/>
    <w:rsid w:val="15C36A6F"/>
    <w:rsid w:val="16066864"/>
    <w:rsid w:val="16991EF7"/>
    <w:rsid w:val="16DC4010"/>
    <w:rsid w:val="173850A7"/>
    <w:rsid w:val="174C0AC9"/>
    <w:rsid w:val="176B0033"/>
    <w:rsid w:val="177B4CDC"/>
    <w:rsid w:val="17BA7FA6"/>
    <w:rsid w:val="192B2CC7"/>
    <w:rsid w:val="19701820"/>
    <w:rsid w:val="198B1495"/>
    <w:rsid w:val="1997486D"/>
    <w:rsid w:val="19EA2F53"/>
    <w:rsid w:val="1A6C248D"/>
    <w:rsid w:val="1A9609E5"/>
    <w:rsid w:val="1AF45622"/>
    <w:rsid w:val="1B5A7D5C"/>
    <w:rsid w:val="1B7B26E1"/>
    <w:rsid w:val="1C1A0C17"/>
    <w:rsid w:val="1C32741A"/>
    <w:rsid w:val="1C3F0B4C"/>
    <w:rsid w:val="1C405AE5"/>
    <w:rsid w:val="1C597F1C"/>
    <w:rsid w:val="1D2277C3"/>
    <w:rsid w:val="1D954A03"/>
    <w:rsid w:val="1D960483"/>
    <w:rsid w:val="1DF15284"/>
    <w:rsid w:val="1E171E3D"/>
    <w:rsid w:val="1E945487"/>
    <w:rsid w:val="1F171CFB"/>
    <w:rsid w:val="1F316F2E"/>
    <w:rsid w:val="1F3C13B6"/>
    <w:rsid w:val="1F4B49D6"/>
    <w:rsid w:val="1FF85069"/>
    <w:rsid w:val="20B64A72"/>
    <w:rsid w:val="20F41885"/>
    <w:rsid w:val="214E5B76"/>
    <w:rsid w:val="21993B18"/>
    <w:rsid w:val="2245705D"/>
    <w:rsid w:val="22464B8D"/>
    <w:rsid w:val="229A201B"/>
    <w:rsid w:val="22BDFA33"/>
    <w:rsid w:val="22D715AE"/>
    <w:rsid w:val="22FB1E16"/>
    <w:rsid w:val="235209EE"/>
    <w:rsid w:val="236E2F6E"/>
    <w:rsid w:val="239974D6"/>
    <w:rsid w:val="23C245F9"/>
    <w:rsid w:val="23E266D0"/>
    <w:rsid w:val="23E4618A"/>
    <w:rsid w:val="244E3D8C"/>
    <w:rsid w:val="247F6A27"/>
    <w:rsid w:val="24AF693A"/>
    <w:rsid w:val="24B335CE"/>
    <w:rsid w:val="252C74BE"/>
    <w:rsid w:val="25AE09BB"/>
    <w:rsid w:val="25CC174F"/>
    <w:rsid w:val="25EF0E4B"/>
    <w:rsid w:val="269C26E3"/>
    <w:rsid w:val="269C42D9"/>
    <w:rsid w:val="27001EC8"/>
    <w:rsid w:val="272E2D63"/>
    <w:rsid w:val="27347A23"/>
    <w:rsid w:val="27410CB9"/>
    <w:rsid w:val="276D441A"/>
    <w:rsid w:val="2861396F"/>
    <w:rsid w:val="28B44010"/>
    <w:rsid w:val="29384EA8"/>
    <w:rsid w:val="29E26463"/>
    <w:rsid w:val="2A023B5C"/>
    <w:rsid w:val="2A07065D"/>
    <w:rsid w:val="2A0A08C3"/>
    <w:rsid w:val="2A1249FA"/>
    <w:rsid w:val="2A534564"/>
    <w:rsid w:val="2A573A70"/>
    <w:rsid w:val="2AF61758"/>
    <w:rsid w:val="2BA868D9"/>
    <w:rsid w:val="2C931228"/>
    <w:rsid w:val="2CBD48CE"/>
    <w:rsid w:val="2CE211B2"/>
    <w:rsid w:val="2D151C3D"/>
    <w:rsid w:val="2E015B36"/>
    <w:rsid w:val="2E275F81"/>
    <w:rsid w:val="2E2D4A94"/>
    <w:rsid w:val="2E453834"/>
    <w:rsid w:val="2E4E51C2"/>
    <w:rsid w:val="2E77681E"/>
    <w:rsid w:val="2E870919"/>
    <w:rsid w:val="2F041F69"/>
    <w:rsid w:val="2F4B2B19"/>
    <w:rsid w:val="2F6246CC"/>
    <w:rsid w:val="2F6F0CA0"/>
    <w:rsid w:val="2F711DCD"/>
    <w:rsid w:val="2FBE036A"/>
    <w:rsid w:val="2FC53683"/>
    <w:rsid w:val="2FE97A5F"/>
    <w:rsid w:val="302428C3"/>
    <w:rsid w:val="305A47DE"/>
    <w:rsid w:val="30610CEE"/>
    <w:rsid w:val="309E348C"/>
    <w:rsid w:val="31214D02"/>
    <w:rsid w:val="31394322"/>
    <w:rsid w:val="3184082E"/>
    <w:rsid w:val="319770C5"/>
    <w:rsid w:val="321B1AA4"/>
    <w:rsid w:val="32617B06"/>
    <w:rsid w:val="328304A8"/>
    <w:rsid w:val="32AC0440"/>
    <w:rsid w:val="32BC5F4D"/>
    <w:rsid w:val="336C7C50"/>
    <w:rsid w:val="33896203"/>
    <w:rsid w:val="339020A8"/>
    <w:rsid w:val="33FE364D"/>
    <w:rsid w:val="3429115A"/>
    <w:rsid w:val="346F224F"/>
    <w:rsid w:val="348B4FD5"/>
    <w:rsid w:val="34F2580B"/>
    <w:rsid w:val="3505461D"/>
    <w:rsid w:val="35375C16"/>
    <w:rsid w:val="357339A5"/>
    <w:rsid w:val="35F44AE6"/>
    <w:rsid w:val="36024564"/>
    <w:rsid w:val="36276335"/>
    <w:rsid w:val="36981B5D"/>
    <w:rsid w:val="36A9634B"/>
    <w:rsid w:val="36D079C8"/>
    <w:rsid w:val="37197EF2"/>
    <w:rsid w:val="37D716E7"/>
    <w:rsid w:val="37FE6A0C"/>
    <w:rsid w:val="39034B3A"/>
    <w:rsid w:val="391D218E"/>
    <w:rsid w:val="39D761EF"/>
    <w:rsid w:val="3A3E538D"/>
    <w:rsid w:val="3A8F3EBA"/>
    <w:rsid w:val="3AB10259"/>
    <w:rsid w:val="3ABA6222"/>
    <w:rsid w:val="3B26686E"/>
    <w:rsid w:val="3B297FC9"/>
    <w:rsid w:val="3B301F44"/>
    <w:rsid w:val="3BA90120"/>
    <w:rsid w:val="3BAC5E63"/>
    <w:rsid w:val="3BAE4829"/>
    <w:rsid w:val="3BC33E07"/>
    <w:rsid w:val="3BDF73C5"/>
    <w:rsid w:val="3BE62707"/>
    <w:rsid w:val="3D902D22"/>
    <w:rsid w:val="3DF02037"/>
    <w:rsid w:val="3DF4021A"/>
    <w:rsid w:val="3E047963"/>
    <w:rsid w:val="3E3948DF"/>
    <w:rsid w:val="3E3F5A34"/>
    <w:rsid w:val="3E5F2A41"/>
    <w:rsid w:val="3E8E5BBA"/>
    <w:rsid w:val="3EB86069"/>
    <w:rsid w:val="3ECE69ED"/>
    <w:rsid w:val="3EDC10FF"/>
    <w:rsid w:val="3F0A5E23"/>
    <w:rsid w:val="3F785608"/>
    <w:rsid w:val="3FFEC4E3"/>
    <w:rsid w:val="402734A4"/>
    <w:rsid w:val="405A4873"/>
    <w:rsid w:val="407B3EBF"/>
    <w:rsid w:val="40C30B72"/>
    <w:rsid w:val="40DF693D"/>
    <w:rsid w:val="40F16A8E"/>
    <w:rsid w:val="412545BE"/>
    <w:rsid w:val="413C5593"/>
    <w:rsid w:val="4184340D"/>
    <w:rsid w:val="41E21275"/>
    <w:rsid w:val="42D67AEC"/>
    <w:rsid w:val="42F6152E"/>
    <w:rsid w:val="42FF6CFF"/>
    <w:rsid w:val="430F2571"/>
    <w:rsid w:val="43721FBA"/>
    <w:rsid w:val="43771108"/>
    <w:rsid w:val="438C4E1A"/>
    <w:rsid w:val="44374467"/>
    <w:rsid w:val="4440126D"/>
    <w:rsid w:val="446523D2"/>
    <w:rsid w:val="44DA0696"/>
    <w:rsid w:val="44E45943"/>
    <w:rsid w:val="453D67C8"/>
    <w:rsid w:val="454809AA"/>
    <w:rsid w:val="4583380E"/>
    <w:rsid w:val="45993146"/>
    <w:rsid w:val="45EB3538"/>
    <w:rsid w:val="4619382C"/>
    <w:rsid w:val="46440499"/>
    <w:rsid w:val="46771AC0"/>
    <w:rsid w:val="471051AE"/>
    <w:rsid w:val="47867C8A"/>
    <w:rsid w:val="479B001B"/>
    <w:rsid w:val="47D21CE6"/>
    <w:rsid w:val="48876507"/>
    <w:rsid w:val="48A14890"/>
    <w:rsid w:val="494A3338"/>
    <w:rsid w:val="49F7474D"/>
    <w:rsid w:val="4A4C0CEF"/>
    <w:rsid w:val="4A67403B"/>
    <w:rsid w:val="4A734E79"/>
    <w:rsid w:val="4AD27698"/>
    <w:rsid w:val="4B1B114F"/>
    <w:rsid w:val="4B2257F9"/>
    <w:rsid w:val="4B250368"/>
    <w:rsid w:val="4B7F6C9B"/>
    <w:rsid w:val="4BB01238"/>
    <w:rsid w:val="4BF93ABC"/>
    <w:rsid w:val="4C2F1AF1"/>
    <w:rsid w:val="4C3F1A69"/>
    <w:rsid w:val="4C4C7D4D"/>
    <w:rsid w:val="4C692E82"/>
    <w:rsid w:val="4C8930DF"/>
    <w:rsid w:val="4C974380"/>
    <w:rsid w:val="4CA7336B"/>
    <w:rsid w:val="4CC13400"/>
    <w:rsid w:val="4D001539"/>
    <w:rsid w:val="4D060FF1"/>
    <w:rsid w:val="4D5153B1"/>
    <w:rsid w:val="4D714797"/>
    <w:rsid w:val="4D7809BA"/>
    <w:rsid w:val="4D9F0EEA"/>
    <w:rsid w:val="4DED342F"/>
    <w:rsid w:val="4E950790"/>
    <w:rsid w:val="4ECC591E"/>
    <w:rsid w:val="4EE3245F"/>
    <w:rsid w:val="4F0771E0"/>
    <w:rsid w:val="4F095D32"/>
    <w:rsid w:val="4F1A4882"/>
    <w:rsid w:val="4F3B409A"/>
    <w:rsid w:val="4F3C4DEC"/>
    <w:rsid w:val="4FFD6F40"/>
    <w:rsid w:val="504900D3"/>
    <w:rsid w:val="505B4019"/>
    <w:rsid w:val="50B021FB"/>
    <w:rsid w:val="50D7586B"/>
    <w:rsid w:val="512F6EC2"/>
    <w:rsid w:val="52171E30"/>
    <w:rsid w:val="52892F5B"/>
    <w:rsid w:val="52F61709"/>
    <w:rsid w:val="53AD0DD8"/>
    <w:rsid w:val="54073585"/>
    <w:rsid w:val="543919E8"/>
    <w:rsid w:val="546959D8"/>
    <w:rsid w:val="54837309"/>
    <w:rsid w:val="54995B0C"/>
    <w:rsid w:val="54D85F2A"/>
    <w:rsid w:val="54DB7C79"/>
    <w:rsid w:val="54E74E26"/>
    <w:rsid w:val="55580A4D"/>
    <w:rsid w:val="557E5D22"/>
    <w:rsid w:val="55894DF3"/>
    <w:rsid w:val="55B45B96"/>
    <w:rsid w:val="55DC1770"/>
    <w:rsid w:val="55EB22AC"/>
    <w:rsid w:val="55F935FB"/>
    <w:rsid w:val="561133F2"/>
    <w:rsid w:val="56571FFA"/>
    <w:rsid w:val="56A92CC7"/>
    <w:rsid w:val="577C2B01"/>
    <w:rsid w:val="58304C21"/>
    <w:rsid w:val="588209B7"/>
    <w:rsid w:val="588C1100"/>
    <w:rsid w:val="58B232E7"/>
    <w:rsid w:val="58BD10F2"/>
    <w:rsid w:val="58C650FF"/>
    <w:rsid w:val="58CD33C2"/>
    <w:rsid w:val="58F22508"/>
    <w:rsid w:val="596469D4"/>
    <w:rsid w:val="5A435D8A"/>
    <w:rsid w:val="5AB90EE9"/>
    <w:rsid w:val="5BBC1D09"/>
    <w:rsid w:val="5C0F06CF"/>
    <w:rsid w:val="5C34380B"/>
    <w:rsid w:val="5CFC6999"/>
    <w:rsid w:val="5D0516D0"/>
    <w:rsid w:val="5E3FDF58"/>
    <w:rsid w:val="5E741D96"/>
    <w:rsid w:val="5EE70DDC"/>
    <w:rsid w:val="5F8A0857"/>
    <w:rsid w:val="5F912AC4"/>
    <w:rsid w:val="5F981DE8"/>
    <w:rsid w:val="5FD14724"/>
    <w:rsid w:val="5FEF8784"/>
    <w:rsid w:val="60700F30"/>
    <w:rsid w:val="607B7DDA"/>
    <w:rsid w:val="61A76748"/>
    <w:rsid w:val="627477E0"/>
    <w:rsid w:val="62B731FE"/>
    <w:rsid w:val="63023C80"/>
    <w:rsid w:val="636D3AA1"/>
    <w:rsid w:val="642A59F3"/>
    <w:rsid w:val="64F22548"/>
    <w:rsid w:val="656062CA"/>
    <w:rsid w:val="659106E2"/>
    <w:rsid w:val="65AB236D"/>
    <w:rsid w:val="65B8080F"/>
    <w:rsid w:val="65D75707"/>
    <w:rsid w:val="66483EC5"/>
    <w:rsid w:val="66704DB4"/>
    <w:rsid w:val="67102453"/>
    <w:rsid w:val="67E80932"/>
    <w:rsid w:val="68A67F29"/>
    <w:rsid w:val="68C15CCA"/>
    <w:rsid w:val="697D619C"/>
    <w:rsid w:val="69EE3D79"/>
    <w:rsid w:val="6A0E091D"/>
    <w:rsid w:val="6A4A5798"/>
    <w:rsid w:val="6A675E13"/>
    <w:rsid w:val="6ABA50AD"/>
    <w:rsid w:val="6AD0388B"/>
    <w:rsid w:val="6AED5DBE"/>
    <w:rsid w:val="6B58725B"/>
    <w:rsid w:val="6B637A3C"/>
    <w:rsid w:val="6BA94127"/>
    <w:rsid w:val="6BFE46EA"/>
    <w:rsid w:val="6C510D6B"/>
    <w:rsid w:val="6C7F53F2"/>
    <w:rsid w:val="6C8B20CC"/>
    <w:rsid w:val="6CFD412D"/>
    <w:rsid w:val="6D0428D2"/>
    <w:rsid w:val="6D8B11E7"/>
    <w:rsid w:val="6E054DDB"/>
    <w:rsid w:val="6E406A5E"/>
    <w:rsid w:val="6E843F52"/>
    <w:rsid w:val="6EE80A0C"/>
    <w:rsid w:val="6F8E17C3"/>
    <w:rsid w:val="704217E5"/>
    <w:rsid w:val="70BD199D"/>
    <w:rsid w:val="71106C43"/>
    <w:rsid w:val="71152000"/>
    <w:rsid w:val="715C2F64"/>
    <w:rsid w:val="718C35F0"/>
    <w:rsid w:val="721756F7"/>
    <w:rsid w:val="7231680E"/>
    <w:rsid w:val="75087C04"/>
    <w:rsid w:val="753528B6"/>
    <w:rsid w:val="7556B6C1"/>
    <w:rsid w:val="756920F3"/>
    <w:rsid w:val="76385AE3"/>
    <w:rsid w:val="7656661E"/>
    <w:rsid w:val="76654669"/>
    <w:rsid w:val="76D417EE"/>
    <w:rsid w:val="76D812DE"/>
    <w:rsid w:val="76E68039"/>
    <w:rsid w:val="76ED37EF"/>
    <w:rsid w:val="770F21D1"/>
    <w:rsid w:val="772462D2"/>
    <w:rsid w:val="77756B2D"/>
    <w:rsid w:val="77CF85C6"/>
    <w:rsid w:val="77ED98B5"/>
    <w:rsid w:val="78A7019A"/>
    <w:rsid w:val="78C06712"/>
    <w:rsid w:val="78D51252"/>
    <w:rsid w:val="792A1B99"/>
    <w:rsid w:val="792D3F81"/>
    <w:rsid w:val="79881AE8"/>
    <w:rsid w:val="79BA3B0E"/>
    <w:rsid w:val="79CE12AB"/>
    <w:rsid w:val="7A173ECC"/>
    <w:rsid w:val="7A2B284B"/>
    <w:rsid w:val="7ABB6962"/>
    <w:rsid w:val="7AF4539C"/>
    <w:rsid w:val="7B3D3E06"/>
    <w:rsid w:val="7BA6539F"/>
    <w:rsid w:val="7BED92A8"/>
    <w:rsid w:val="7C013D85"/>
    <w:rsid w:val="7C662C4B"/>
    <w:rsid w:val="7CCB17B7"/>
    <w:rsid w:val="7D0F5AD4"/>
    <w:rsid w:val="7DB40A20"/>
    <w:rsid w:val="7E136A50"/>
    <w:rsid w:val="7E4703E1"/>
    <w:rsid w:val="7E49765A"/>
    <w:rsid w:val="7E4C0FEB"/>
    <w:rsid w:val="7EBE0C5A"/>
    <w:rsid w:val="7EFB3C47"/>
    <w:rsid w:val="7F850ECB"/>
    <w:rsid w:val="7F8F875D"/>
    <w:rsid w:val="7F9F1736"/>
    <w:rsid w:val="7FDEA73E"/>
    <w:rsid w:val="C3FBECA6"/>
    <w:rsid w:val="D7E7DC2D"/>
    <w:rsid w:val="DEFD9298"/>
    <w:rsid w:val="DFFF5F14"/>
    <w:rsid w:val="E3DBFE11"/>
    <w:rsid w:val="F7BAF155"/>
    <w:rsid w:val="F7FB3703"/>
    <w:rsid w:val="FEF4C354"/>
    <w:rsid w:val="FFD68D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qFormat/>
    <w:uiPriority w:val="0"/>
    <w:pPr>
      <w:keepNext/>
      <w:outlineLvl w:val="0"/>
    </w:pPr>
    <w:rPr>
      <w:sz w:val="28"/>
      <w:szCs w:val="24"/>
    </w:rPr>
  </w:style>
  <w:style w:type="paragraph" w:styleId="3">
    <w:name w:val="heading 2"/>
    <w:basedOn w:val="1"/>
    <w:next w:val="1"/>
    <w:link w:val="54"/>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5"/>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6"/>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80"/>
    <w:qFormat/>
    <w:uiPriority w:val="0"/>
    <w:pPr>
      <w:shd w:val="clear" w:color="auto" w:fill="000080"/>
    </w:pPr>
  </w:style>
  <w:style w:type="paragraph" w:styleId="8">
    <w:name w:val="annotation text"/>
    <w:basedOn w:val="1"/>
    <w:link w:val="74"/>
    <w:semiHidden/>
    <w:qFormat/>
    <w:uiPriority w:val="99"/>
    <w:pPr>
      <w:jc w:val="left"/>
    </w:pPr>
  </w:style>
  <w:style w:type="paragraph" w:styleId="9">
    <w:name w:val="Body Text 3"/>
    <w:basedOn w:val="1"/>
    <w:link w:val="95"/>
    <w:unhideWhenUsed/>
    <w:qFormat/>
    <w:uiPriority w:val="99"/>
    <w:pPr>
      <w:spacing w:after="120"/>
    </w:pPr>
    <w:rPr>
      <w:rFonts w:ascii="Calibri" w:hAnsi="Calibri"/>
      <w:sz w:val="16"/>
      <w:szCs w:val="16"/>
      <w:lang w:val="zh-CN"/>
    </w:rPr>
  </w:style>
  <w:style w:type="paragraph" w:styleId="10">
    <w:name w:val="Body Text"/>
    <w:basedOn w:val="1"/>
    <w:link w:val="69"/>
    <w:qFormat/>
    <w:uiPriority w:val="0"/>
    <w:pPr>
      <w:spacing w:after="120"/>
    </w:pPr>
    <w:rPr>
      <w:szCs w:val="24"/>
    </w:rPr>
  </w:style>
  <w:style w:type="paragraph" w:styleId="11">
    <w:name w:val="Body Text Indent"/>
    <w:basedOn w:val="1"/>
    <w:next w:val="12"/>
    <w:link w:val="58"/>
    <w:qFormat/>
    <w:uiPriority w:val="0"/>
    <w:pPr>
      <w:ind w:firstLine="540"/>
    </w:pPr>
    <w:rPr>
      <w:rFonts w:eastAsia="仿宋_GB2312"/>
      <w:sz w:val="28"/>
    </w:rPr>
  </w:style>
  <w:style w:type="paragraph" w:styleId="12">
    <w:name w:val="envelope return"/>
    <w:basedOn w:val="1"/>
    <w:qFormat/>
    <w:uiPriority w:val="0"/>
    <w:pPr>
      <w:snapToGrid w:val="0"/>
    </w:pPr>
    <w:rPr>
      <w:rFonts w:ascii="Arial" w:hAnsi="Arial" w:cs="Arial"/>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link w:val="77"/>
    <w:qFormat/>
    <w:uiPriority w:val="0"/>
    <w:rPr>
      <w:rFonts w:ascii="宋体" w:hAnsi="Courier New" w:cstheme="minorBidi"/>
      <w:szCs w:val="22"/>
    </w:rPr>
  </w:style>
  <w:style w:type="paragraph" w:styleId="16">
    <w:name w:val="toc 8"/>
    <w:basedOn w:val="1"/>
    <w:next w:val="1"/>
    <w:qFormat/>
    <w:uiPriority w:val="0"/>
    <w:pPr>
      <w:ind w:left="2940" w:leftChars="1400"/>
    </w:pPr>
  </w:style>
  <w:style w:type="paragraph" w:styleId="17">
    <w:name w:val="Date"/>
    <w:basedOn w:val="1"/>
    <w:next w:val="1"/>
    <w:link w:val="57"/>
    <w:qFormat/>
    <w:uiPriority w:val="0"/>
    <w:rPr>
      <w:rFonts w:ascii="Arial" w:hAnsi="Arial" w:eastAsia="楷体_GB2312"/>
      <w:sz w:val="28"/>
    </w:rPr>
  </w:style>
  <w:style w:type="paragraph" w:styleId="18">
    <w:name w:val="Body Text Indent 2"/>
    <w:basedOn w:val="1"/>
    <w:link w:val="60"/>
    <w:qFormat/>
    <w:uiPriority w:val="0"/>
    <w:pPr>
      <w:tabs>
        <w:tab w:val="left" w:pos="720"/>
      </w:tabs>
      <w:ind w:right="-506" w:rightChars="-241" w:firstLine="538" w:firstLineChars="192"/>
    </w:pPr>
    <w:rPr>
      <w:rFonts w:eastAsia="仿宋_GB2312"/>
      <w:sz w:val="28"/>
    </w:rPr>
  </w:style>
  <w:style w:type="paragraph" w:styleId="19">
    <w:name w:val="Balloon Text"/>
    <w:basedOn w:val="1"/>
    <w:link w:val="71"/>
    <w:qFormat/>
    <w:uiPriority w:val="0"/>
    <w:rPr>
      <w:sz w:val="18"/>
      <w:szCs w:val="18"/>
    </w:rPr>
  </w:style>
  <w:style w:type="paragraph" w:styleId="20">
    <w:name w:val="footer"/>
    <w:basedOn w:val="1"/>
    <w:link w:val="52"/>
    <w:unhideWhenUsed/>
    <w:qFormat/>
    <w:uiPriority w:val="99"/>
    <w:pPr>
      <w:tabs>
        <w:tab w:val="center" w:pos="4153"/>
        <w:tab w:val="right" w:pos="8306"/>
      </w:tabs>
      <w:snapToGrid w:val="0"/>
      <w:jc w:val="left"/>
    </w:pPr>
    <w:rPr>
      <w:sz w:val="18"/>
      <w:szCs w:val="18"/>
    </w:rPr>
  </w:style>
  <w:style w:type="paragraph" w:styleId="21">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link w:val="66"/>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9">
    <w:name w:val="Normal (Web)"/>
    <w:basedOn w:val="1"/>
    <w:unhideWhenUsed/>
    <w:qFormat/>
    <w:uiPriority w:val="99"/>
    <w:pPr>
      <w:jc w:val="left"/>
    </w:pPr>
    <w:rPr>
      <w:kern w:val="0"/>
      <w:sz w:val="24"/>
    </w:rPr>
  </w:style>
  <w:style w:type="paragraph" w:styleId="30">
    <w:name w:val="index 1"/>
    <w:basedOn w:val="1"/>
    <w:next w:val="1"/>
    <w:semiHidden/>
    <w:qFormat/>
    <w:uiPriority w:val="0"/>
    <w:pPr>
      <w:jc w:val="center"/>
    </w:pPr>
    <w:rPr>
      <w:rFonts w:ascii="仿宋_GB2312" w:eastAsia="仿宋_GB2312"/>
      <w:b/>
      <w:bCs/>
      <w:sz w:val="28"/>
    </w:rPr>
  </w:style>
  <w:style w:type="paragraph" w:styleId="31">
    <w:name w:val="annotation subject"/>
    <w:basedOn w:val="8"/>
    <w:next w:val="8"/>
    <w:link w:val="75"/>
    <w:semiHidden/>
    <w:qFormat/>
    <w:uiPriority w:val="99"/>
    <w:rPr>
      <w:b/>
      <w:bCs/>
    </w:rPr>
  </w:style>
  <w:style w:type="paragraph" w:styleId="32">
    <w:name w:val="Body Text First Indent"/>
    <w:basedOn w:val="10"/>
    <w:unhideWhenUsed/>
    <w:qFormat/>
    <w:uiPriority w:val="99"/>
    <w:pPr>
      <w:spacing w:line="400" w:lineRule="atLeast"/>
      <w:ind w:firstLine="426"/>
    </w:pPr>
    <w:rPr>
      <w:sz w:val="24"/>
      <w:szCs w:val="20"/>
    </w:rPr>
  </w:style>
  <w:style w:type="paragraph" w:styleId="33">
    <w:name w:val="Body Text First Indent 2"/>
    <w:basedOn w:val="11"/>
    <w:qFormat/>
    <w:uiPriority w:val="0"/>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rPr>
  </w:style>
  <w:style w:type="character" w:styleId="38">
    <w:name w:val="page number"/>
    <w:basedOn w:val="36"/>
    <w:qFormat/>
    <w:uiPriority w:val="0"/>
  </w:style>
  <w:style w:type="character" w:styleId="39">
    <w:name w:val="FollowedHyperlink"/>
    <w:basedOn w:val="36"/>
    <w:unhideWhenUsed/>
    <w:qFormat/>
    <w:uiPriority w:val="99"/>
    <w:rPr>
      <w:color w:val="954F72" w:themeColor="followedHyperlink"/>
      <w:u w:val="single"/>
      <w14:textFill>
        <w14:solidFill>
          <w14:schemeClr w14:val="folHlink"/>
        </w14:solidFill>
      </w14:textFill>
    </w:rPr>
  </w:style>
  <w:style w:type="character" w:styleId="40">
    <w:name w:val="HTML Definition"/>
    <w:basedOn w:val="36"/>
    <w:semiHidden/>
    <w:unhideWhenUsed/>
    <w:qFormat/>
    <w:uiPriority w:val="99"/>
  </w:style>
  <w:style w:type="character" w:styleId="41">
    <w:name w:val="HTML Typewriter"/>
    <w:basedOn w:val="36"/>
    <w:semiHidden/>
    <w:unhideWhenUsed/>
    <w:qFormat/>
    <w:uiPriority w:val="99"/>
    <w:rPr>
      <w:rFonts w:ascii="monospace" w:hAnsi="monospace" w:eastAsia="monospace" w:cs="monospace"/>
      <w:sz w:val="20"/>
    </w:rPr>
  </w:style>
  <w:style w:type="character" w:styleId="42">
    <w:name w:val="HTML Acronym"/>
    <w:basedOn w:val="36"/>
    <w:semiHidden/>
    <w:unhideWhenUsed/>
    <w:qFormat/>
    <w:uiPriority w:val="99"/>
  </w:style>
  <w:style w:type="character" w:styleId="43">
    <w:name w:val="HTML Variable"/>
    <w:basedOn w:val="36"/>
    <w:semiHidden/>
    <w:unhideWhenUsed/>
    <w:qFormat/>
    <w:uiPriority w:val="99"/>
  </w:style>
  <w:style w:type="character" w:styleId="44">
    <w:name w:val="Hyperlink"/>
    <w:basedOn w:val="36"/>
    <w:qFormat/>
    <w:uiPriority w:val="99"/>
    <w:rPr>
      <w:color w:val="333333"/>
      <w:u w:val="none"/>
    </w:rPr>
  </w:style>
  <w:style w:type="character" w:styleId="45">
    <w:name w:val="HTML Code"/>
    <w:basedOn w:val="36"/>
    <w:semiHidden/>
    <w:unhideWhenUsed/>
    <w:qFormat/>
    <w:uiPriority w:val="99"/>
    <w:rPr>
      <w:rFonts w:hint="default" w:ascii="monospace" w:hAnsi="monospace" w:eastAsia="monospace" w:cs="monospace"/>
      <w:sz w:val="20"/>
    </w:rPr>
  </w:style>
  <w:style w:type="character" w:styleId="46">
    <w:name w:val="annotation reference"/>
    <w:semiHidden/>
    <w:qFormat/>
    <w:uiPriority w:val="99"/>
    <w:rPr>
      <w:sz w:val="21"/>
      <w:szCs w:val="21"/>
    </w:rPr>
  </w:style>
  <w:style w:type="character" w:styleId="47">
    <w:name w:val="HTML Cite"/>
    <w:basedOn w:val="36"/>
    <w:semiHidden/>
    <w:unhideWhenUsed/>
    <w:qFormat/>
    <w:uiPriority w:val="99"/>
  </w:style>
  <w:style w:type="character" w:styleId="48">
    <w:name w:val="HTML Keyboard"/>
    <w:basedOn w:val="36"/>
    <w:semiHidden/>
    <w:unhideWhenUsed/>
    <w:qFormat/>
    <w:uiPriority w:val="99"/>
    <w:rPr>
      <w:rFonts w:hint="default" w:ascii="monospace" w:hAnsi="monospace" w:eastAsia="monospace" w:cs="monospace"/>
      <w:sz w:val="20"/>
    </w:rPr>
  </w:style>
  <w:style w:type="character" w:styleId="49">
    <w:name w:val="HTML Sample"/>
    <w:basedOn w:val="36"/>
    <w:semiHidden/>
    <w:unhideWhenUsed/>
    <w:qFormat/>
    <w:uiPriority w:val="99"/>
    <w:rPr>
      <w:rFonts w:hint="default" w:ascii="monospace" w:hAnsi="monospace" w:eastAsia="monospace" w:cs="monospace"/>
    </w:rPr>
  </w:style>
  <w:style w:type="paragraph" w:customStyle="1" w:styleId="5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51">
    <w:name w:val="页眉 字符"/>
    <w:basedOn w:val="36"/>
    <w:link w:val="21"/>
    <w:qFormat/>
    <w:uiPriority w:val="0"/>
    <w:rPr>
      <w:sz w:val="18"/>
      <w:szCs w:val="18"/>
    </w:rPr>
  </w:style>
  <w:style w:type="character" w:customStyle="1" w:styleId="52">
    <w:name w:val="页脚 字符"/>
    <w:basedOn w:val="36"/>
    <w:link w:val="20"/>
    <w:qFormat/>
    <w:uiPriority w:val="99"/>
    <w:rPr>
      <w:sz w:val="18"/>
      <w:szCs w:val="18"/>
    </w:rPr>
  </w:style>
  <w:style w:type="character" w:customStyle="1" w:styleId="53">
    <w:name w:val="标题 1 字符"/>
    <w:basedOn w:val="36"/>
    <w:link w:val="2"/>
    <w:qFormat/>
    <w:uiPriority w:val="0"/>
    <w:rPr>
      <w:rFonts w:ascii="Times New Roman" w:hAnsi="Times New Roman" w:eastAsia="宋体" w:cs="Times New Roman"/>
      <w:sz w:val="28"/>
      <w:szCs w:val="24"/>
    </w:rPr>
  </w:style>
  <w:style w:type="character" w:customStyle="1" w:styleId="54">
    <w:name w:val="标题 2 字符"/>
    <w:basedOn w:val="36"/>
    <w:link w:val="3"/>
    <w:qFormat/>
    <w:uiPriority w:val="0"/>
    <w:rPr>
      <w:rFonts w:ascii="Arial" w:hAnsi="Arial" w:eastAsia="黑体" w:cs="Times New Roman"/>
      <w:b/>
      <w:kern w:val="0"/>
      <w:sz w:val="32"/>
      <w:szCs w:val="20"/>
    </w:rPr>
  </w:style>
  <w:style w:type="character" w:customStyle="1" w:styleId="55">
    <w:name w:val="标题 3 字符"/>
    <w:basedOn w:val="36"/>
    <w:link w:val="4"/>
    <w:qFormat/>
    <w:uiPriority w:val="0"/>
    <w:rPr>
      <w:rFonts w:ascii="Times New Roman" w:hAnsi="Times New Roman" w:eastAsia="宋体" w:cs="Times New Roman"/>
      <w:b/>
      <w:bCs/>
      <w:sz w:val="32"/>
      <w:szCs w:val="32"/>
      <w:lang w:val="zh-CN" w:eastAsia="zh-CN"/>
    </w:rPr>
  </w:style>
  <w:style w:type="character" w:customStyle="1" w:styleId="56">
    <w:name w:val="标题 4 字符"/>
    <w:basedOn w:val="36"/>
    <w:link w:val="5"/>
    <w:qFormat/>
    <w:uiPriority w:val="0"/>
    <w:rPr>
      <w:rFonts w:ascii="Arial" w:hAnsi="Arial" w:eastAsia="黑体" w:cs="Times New Roman"/>
      <w:b/>
      <w:kern w:val="0"/>
      <w:sz w:val="28"/>
      <w:szCs w:val="20"/>
    </w:rPr>
  </w:style>
  <w:style w:type="character" w:customStyle="1" w:styleId="57">
    <w:name w:val="日期 字符"/>
    <w:basedOn w:val="36"/>
    <w:link w:val="17"/>
    <w:qFormat/>
    <w:uiPriority w:val="0"/>
    <w:rPr>
      <w:rFonts w:ascii="Arial" w:hAnsi="Arial" w:eastAsia="楷体_GB2312" w:cs="Times New Roman"/>
      <w:sz w:val="28"/>
      <w:szCs w:val="20"/>
    </w:rPr>
  </w:style>
  <w:style w:type="character" w:customStyle="1" w:styleId="58">
    <w:name w:val="正文文本缩进 字符"/>
    <w:basedOn w:val="36"/>
    <w:link w:val="11"/>
    <w:qFormat/>
    <w:uiPriority w:val="0"/>
    <w:rPr>
      <w:rFonts w:ascii="Times New Roman" w:hAnsi="Times New Roman" w:eastAsia="仿宋_GB2312" w:cs="Times New Roman"/>
      <w:sz w:val="28"/>
      <w:szCs w:val="20"/>
    </w:rPr>
  </w:style>
  <w:style w:type="paragraph" w:customStyle="1" w:styleId="59">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0">
    <w:name w:val="正文文本缩进 2 字符"/>
    <w:basedOn w:val="36"/>
    <w:link w:val="18"/>
    <w:qFormat/>
    <w:uiPriority w:val="0"/>
    <w:rPr>
      <w:rFonts w:ascii="Times New Roman" w:hAnsi="Times New Roman" w:eastAsia="仿宋_GB2312" w:cs="Times New Roman"/>
      <w:sz w:val="28"/>
      <w:szCs w:val="20"/>
    </w:rPr>
  </w:style>
  <w:style w:type="paragraph" w:customStyle="1" w:styleId="61">
    <w:name w:val="样式1"/>
    <w:basedOn w:val="1"/>
    <w:qFormat/>
    <w:uiPriority w:val="0"/>
    <w:pPr>
      <w:numPr>
        <w:ilvl w:val="0"/>
        <w:numId w:val="1"/>
      </w:numPr>
      <w:adjustRightInd w:val="0"/>
      <w:textAlignment w:val="baseline"/>
    </w:pPr>
    <w:rPr>
      <w:rFonts w:ascii="宋体" w:hAnsi="宋体"/>
      <w:kern w:val="0"/>
    </w:rPr>
  </w:style>
  <w:style w:type="paragraph" w:customStyle="1" w:styleId="62">
    <w:name w:val="样式 宋体 五号 行距: 单倍行距"/>
    <w:basedOn w:val="1"/>
    <w:qFormat/>
    <w:uiPriority w:val="0"/>
    <w:pPr>
      <w:adjustRightInd w:val="0"/>
      <w:jc w:val="left"/>
      <w:textAlignment w:val="baseline"/>
    </w:pPr>
    <w:rPr>
      <w:rFonts w:ascii="宋体" w:hAnsi="宋体"/>
      <w:kern w:val="0"/>
    </w:rPr>
  </w:style>
  <w:style w:type="paragraph" w:customStyle="1" w:styleId="63">
    <w:name w:val="样式 标题 2 + 宋体 五号 行距: 单倍行距"/>
    <w:basedOn w:val="3"/>
    <w:qFormat/>
    <w:uiPriority w:val="0"/>
    <w:pPr>
      <w:spacing w:line="240" w:lineRule="auto"/>
    </w:pPr>
    <w:rPr>
      <w:rFonts w:ascii="宋体" w:hAnsi="宋体" w:eastAsia="宋体"/>
      <w:sz w:val="21"/>
    </w:rPr>
  </w:style>
  <w:style w:type="paragraph" w:customStyle="1" w:styleId="64">
    <w:name w:val="Char Char Char Char Char"/>
    <w:basedOn w:val="1"/>
    <w:qFormat/>
    <w:uiPriority w:val="0"/>
    <w:rPr>
      <w:rFonts w:ascii="Tahoma" w:hAnsi="Tahoma"/>
      <w:sz w:val="24"/>
    </w:rPr>
  </w:style>
  <w:style w:type="paragraph" w:customStyle="1" w:styleId="65">
    <w:name w:val="Char"/>
    <w:basedOn w:val="1"/>
    <w:qFormat/>
    <w:uiPriority w:val="0"/>
    <w:rPr>
      <w:rFonts w:ascii="Tahoma" w:hAnsi="Tahoma"/>
      <w:sz w:val="24"/>
    </w:rPr>
  </w:style>
  <w:style w:type="character" w:customStyle="1" w:styleId="66">
    <w:name w:val="正文文本缩进 3 字符"/>
    <w:basedOn w:val="36"/>
    <w:link w:val="25"/>
    <w:qFormat/>
    <w:uiPriority w:val="0"/>
    <w:rPr>
      <w:rFonts w:ascii="仿宋_GB2312" w:hAnsi="Arial" w:eastAsia="仿宋_GB2312" w:cs="Times New Roman"/>
      <w:sz w:val="28"/>
      <w:szCs w:val="24"/>
    </w:rPr>
  </w:style>
  <w:style w:type="paragraph" w:customStyle="1" w:styleId="67">
    <w:name w:val="Char1"/>
    <w:basedOn w:val="1"/>
    <w:qFormat/>
    <w:uiPriority w:val="0"/>
    <w:rPr>
      <w:rFonts w:ascii="Tahoma" w:hAnsi="Tahoma" w:eastAsia="仿宋_GB2312"/>
      <w:sz w:val="24"/>
    </w:rPr>
  </w:style>
  <w:style w:type="paragraph" w:customStyle="1" w:styleId="68">
    <w:name w:val="Char Char Char Char Char Char Char1 Char"/>
    <w:basedOn w:val="1"/>
    <w:qFormat/>
    <w:uiPriority w:val="0"/>
    <w:rPr>
      <w:rFonts w:ascii="Tahoma" w:hAnsi="Tahoma"/>
      <w:sz w:val="24"/>
    </w:rPr>
  </w:style>
  <w:style w:type="character" w:customStyle="1" w:styleId="69">
    <w:name w:val="正文文本 字符"/>
    <w:basedOn w:val="36"/>
    <w:link w:val="10"/>
    <w:qFormat/>
    <w:uiPriority w:val="0"/>
    <w:rPr>
      <w:rFonts w:ascii="Times New Roman" w:hAnsi="Times New Roman" w:eastAsia="宋体" w:cs="Times New Roman"/>
      <w:szCs w:val="24"/>
    </w:rPr>
  </w:style>
  <w:style w:type="paragraph" w:customStyle="1" w:styleId="70">
    <w:name w:val="Char Char Char Char"/>
    <w:basedOn w:val="1"/>
    <w:next w:val="1"/>
    <w:qFormat/>
    <w:uiPriority w:val="0"/>
    <w:pPr>
      <w:widowControl/>
      <w:spacing w:line="360" w:lineRule="auto"/>
      <w:jc w:val="left"/>
    </w:pPr>
  </w:style>
  <w:style w:type="character" w:customStyle="1" w:styleId="71">
    <w:name w:val="批注框文本 字符"/>
    <w:basedOn w:val="36"/>
    <w:link w:val="19"/>
    <w:qFormat/>
    <w:uiPriority w:val="0"/>
    <w:rPr>
      <w:rFonts w:ascii="Times New Roman" w:hAnsi="Times New Roman" w:eastAsia="宋体" w:cs="Times New Roman"/>
      <w:sz w:val="18"/>
      <w:szCs w:val="18"/>
    </w:rPr>
  </w:style>
  <w:style w:type="paragraph" w:customStyle="1" w:styleId="72">
    <w:name w:val="Char Char Char"/>
    <w:basedOn w:val="1"/>
    <w:qFormat/>
    <w:uiPriority w:val="0"/>
    <w:rPr>
      <w:rFonts w:ascii="Tahoma" w:hAnsi="Tahoma"/>
      <w:sz w:val="24"/>
    </w:rPr>
  </w:style>
  <w:style w:type="paragraph" w:customStyle="1" w:styleId="73">
    <w:name w:val="Char Char Char Char Char Char Char Char Char Char"/>
    <w:basedOn w:val="1"/>
    <w:qFormat/>
    <w:uiPriority w:val="0"/>
    <w:rPr>
      <w:rFonts w:ascii="Tahoma" w:hAnsi="Tahoma" w:cs="仿宋_GB2312"/>
      <w:sz w:val="24"/>
    </w:rPr>
  </w:style>
  <w:style w:type="character" w:customStyle="1" w:styleId="74">
    <w:name w:val="批注文字 字符"/>
    <w:basedOn w:val="36"/>
    <w:link w:val="8"/>
    <w:semiHidden/>
    <w:qFormat/>
    <w:uiPriority w:val="99"/>
    <w:rPr>
      <w:rFonts w:ascii="Times New Roman" w:hAnsi="Times New Roman" w:eastAsia="宋体" w:cs="Times New Roman"/>
      <w:szCs w:val="20"/>
    </w:rPr>
  </w:style>
  <w:style w:type="character" w:customStyle="1" w:styleId="75">
    <w:name w:val="批注主题 字符"/>
    <w:basedOn w:val="74"/>
    <w:link w:val="31"/>
    <w:semiHidden/>
    <w:qFormat/>
    <w:uiPriority w:val="99"/>
    <w:rPr>
      <w:rFonts w:ascii="Times New Roman" w:hAnsi="Times New Roman" w:eastAsia="宋体" w:cs="Times New Roman"/>
      <w:b/>
      <w:bCs/>
      <w:szCs w:val="20"/>
    </w:rPr>
  </w:style>
  <w:style w:type="paragraph" w:customStyle="1" w:styleId="76">
    <w:name w:val="Char Char Char Char Char Char"/>
    <w:basedOn w:val="1"/>
    <w:qFormat/>
    <w:uiPriority w:val="0"/>
  </w:style>
  <w:style w:type="character" w:customStyle="1" w:styleId="77">
    <w:name w:val="纯文本 字符"/>
    <w:link w:val="15"/>
    <w:qFormat/>
    <w:uiPriority w:val="0"/>
    <w:rPr>
      <w:rFonts w:ascii="宋体" w:hAnsi="Courier New" w:eastAsia="宋体"/>
    </w:rPr>
  </w:style>
  <w:style w:type="character" w:customStyle="1" w:styleId="78">
    <w:name w:val="纯文本 Char1"/>
    <w:basedOn w:val="36"/>
    <w:semiHidden/>
    <w:qFormat/>
    <w:uiPriority w:val="99"/>
    <w:rPr>
      <w:rFonts w:ascii="宋体" w:hAnsi="Courier New" w:eastAsia="宋体" w:cs="Courier New"/>
      <w:szCs w:val="21"/>
    </w:rPr>
  </w:style>
  <w:style w:type="paragraph" w:customStyle="1" w:styleId="79">
    <w:name w:val="Char12 Char Char Char"/>
    <w:basedOn w:val="1"/>
    <w:qFormat/>
    <w:uiPriority w:val="0"/>
  </w:style>
  <w:style w:type="character" w:customStyle="1" w:styleId="80">
    <w:name w:val="文档结构图 字符"/>
    <w:basedOn w:val="36"/>
    <w:link w:val="7"/>
    <w:qFormat/>
    <w:uiPriority w:val="0"/>
    <w:rPr>
      <w:rFonts w:ascii="Times New Roman" w:hAnsi="Times New Roman" w:eastAsia="宋体" w:cs="Times New Roman"/>
      <w:szCs w:val="20"/>
      <w:shd w:val="clear" w:color="auto" w:fill="000080"/>
    </w:rPr>
  </w:style>
  <w:style w:type="character" w:customStyle="1" w:styleId="81">
    <w:name w:val="style29"/>
    <w:qFormat/>
    <w:uiPriority w:val="0"/>
  </w:style>
  <w:style w:type="character" w:customStyle="1" w:styleId="82">
    <w:name w:val="正文1"/>
    <w:qFormat/>
    <w:uiPriority w:val="0"/>
  </w:style>
  <w:style w:type="character" w:customStyle="1" w:styleId="83">
    <w:name w:val="font11"/>
    <w:basedOn w:val="36"/>
    <w:qFormat/>
    <w:uiPriority w:val="0"/>
    <w:rPr>
      <w:rFonts w:hint="default" w:ascii="Times New Roman" w:hAnsi="Times New Roman" w:cs="Times New Roman"/>
      <w:color w:val="3366FF"/>
      <w:sz w:val="24"/>
      <w:szCs w:val="24"/>
      <w:u w:val="none"/>
    </w:rPr>
  </w:style>
  <w:style w:type="character" w:customStyle="1" w:styleId="84">
    <w:name w:val="font21"/>
    <w:basedOn w:val="36"/>
    <w:qFormat/>
    <w:uiPriority w:val="0"/>
    <w:rPr>
      <w:rFonts w:hint="eastAsia" w:ascii="宋体" w:hAnsi="宋体" w:eastAsia="宋体"/>
      <w:color w:val="3366FF"/>
      <w:sz w:val="24"/>
      <w:szCs w:val="24"/>
      <w:u w:val="none"/>
    </w:rPr>
  </w:style>
  <w:style w:type="paragraph" w:customStyle="1" w:styleId="85">
    <w:name w:val="Char Char15"/>
    <w:basedOn w:val="1"/>
    <w:qFormat/>
    <w:uiPriority w:val="0"/>
    <w:rPr>
      <w:rFonts w:ascii="Tahoma" w:hAnsi="Tahoma" w:eastAsia="仿宋_GB2312"/>
      <w:sz w:val="24"/>
    </w:rPr>
  </w:style>
  <w:style w:type="paragraph" w:customStyle="1" w:styleId="86">
    <w:name w:val="列出段落1"/>
    <w:basedOn w:val="1"/>
    <w:qFormat/>
    <w:uiPriority w:val="0"/>
    <w:pPr>
      <w:ind w:firstLine="420" w:firstLineChars="200"/>
    </w:pPr>
    <w:rPr>
      <w:rFonts w:ascii="Calibri" w:hAnsi="Calibri"/>
      <w:szCs w:val="22"/>
    </w:rPr>
  </w:style>
  <w:style w:type="paragraph" w:customStyle="1" w:styleId="87">
    <w:name w:val="Char2"/>
    <w:basedOn w:val="1"/>
    <w:qFormat/>
    <w:uiPriority w:val="0"/>
    <w:pPr>
      <w:tabs>
        <w:tab w:val="left" w:pos="360"/>
      </w:tabs>
    </w:pPr>
    <w:rPr>
      <w:sz w:val="24"/>
      <w:szCs w:val="24"/>
    </w:rPr>
  </w:style>
  <w:style w:type="paragraph" w:customStyle="1" w:styleId="88">
    <w:name w:val="Char16"/>
    <w:basedOn w:val="1"/>
    <w:qFormat/>
    <w:uiPriority w:val="0"/>
    <w:rPr>
      <w:rFonts w:ascii="Tahoma" w:hAnsi="Tahoma" w:eastAsia="仿宋_GB2312"/>
      <w:sz w:val="24"/>
    </w:rPr>
  </w:style>
  <w:style w:type="paragraph" w:customStyle="1" w:styleId="89">
    <w:name w:val="Char Char1"/>
    <w:basedOn w:val="1"/>
    <w:qFormat/>
    <w:uiPriority w:val="0"/>
    <w:rPr>
      <w:rFonts w:ascii="Tahoma" w:hAnsi="Tahoma"/>
      <w:sz w:val="24"/>
    </w:rPr>
  </w:style>
  <w:style w:type="paragraph" w:customStyle="1" w:styleId="90">
    <w:name w:val="Char Char Char Char Char Char Char"/>
    <w:basedOn w:val="1"/>
    <w:qFormat/>
    <w:uiPriority w:val="0"/>
    <w:rPr>
      <w:szCs w:val="24"/>
    </w:rPr>
  </w:style>
  <w:style w:type="paragraph" w:customStyle="1" w:styleId="91">
    <w:name w:val="Char Char"/>
    <w:basedOn w:val="1"/>
    <w:qFormat/>
    <w:uiPriority w:val="0"/>
    <w:rPr>
      <w:rFonts w:ascii="Tahoma" w:hAnsi="Tahoma" w:cs="仿宋_GB2312"/>
      <w:sz w:val="24"/>
    </w:rPr>
  </w:style>
  <w:style w:type="paragraph" w:customStyle="1" w:styleId="92">
    <w:name w:val="Char Char2"/>
    <w:basedOn w:val="1"/>
    <w:qFormat/>
    <w:uiPriority w:val="0"/>
    <w:rPr>
      <w:rFonts w:ascii="Tahoma" w:hAnsi="Tahoma" w:cs="仿宋_GB2312"/>
      <w:sz w:val="24"/>
    </w:rPr>
  </w:style>
  <w:style w:type="paragraph" w:customStyle="1" w:styleId="93">
    <w:name w:val="Char Char Char1"/>
    <w:basedOn w:val="1"/>
    <w:qFormat/>
    <w:uiPriority w:val="0"/>
    <w:rPr>
      <w:rFonts w:ascii="Tahoma" w:hAnsi="Tahoma"/>
      <w:sz w:val="24"/>
    </w:rPr>
  </w:style>
  <w:style w:type="paragraph" w:customStyle="1" w:styleId="94">
    <w:name w:val="D&amp;L"/>
    <w:basedOn w:val="21"/>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5">
    <w:name w:val="正文文本 3 字符"/>
    <w:basedOn w:val="36"/>
    <w:link w:val="9"/>
    <w:qFormat/>
    <w:uiPriority w:val="99"/>
    <w:rPr>
      <w:rFonts w:ascii="Calibri" w:hAnsi="Calibri" w:eastAsia="宋体" w:cs="Times New Roman"/>
      <w:sz w:val="16"/>
      <w:szCs w:val="16"/>
      <w:lang w:val="zh-CN" w:eastAsia="zh-CN"/>
    </w:rPr>
  </w:style>
  <w:style w:type="paragraph" w:customStyle="1" w:styleId="9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7">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8">
    <w:name w:val="style23"/>
    <w:qFormat/>
    <w:uiPriority w:val="0"/>
    <w:rPr>
      <w:rFonts w:ascii="Times New Roman" w:hAnsi="Times New Roman" w:eastAsia="宋体"/>
    </w:rPr>
  </w:style>
  <w:style w:type="paragraph" w:customStyle="1" w:styleId="99">
    <w:name w:val="p0"/>
    <w:basedOn w:val="1"/>
    <w:qFormat/>
    <w:uiPriority w:val="0"/>
    <w:pPr>
      <w:widowControl/>
      <w:jc w:val="left"/>
    </w:pPr>
    <w:rPr>
      <w:rFonts w:ascii="等线" w:hAnsi="等线" w:eastAsia="等线" w:cs="等线"/>
      <w:kern w:val="0"/>
      <w:sz w:val="20"/>
      <w:szCs w:val="22"/>
    </w:rPr>
  </w:style>
  <w:style w:type="paragraph" w:customStyle="1" w:styleId="100">
    <w:name w:val="列表段落1"/>
    <w:basedOn w:val="1"/>
    <w:qFormat/>
    <w:uiPriority w:val="34"/>
    <w:pPr>
      <w:ind w:firstLine="420" w:firstLineChars="200"/>
    </w:pPr>
    <w:rPr>
      <w:szCs w:val="24"/>
    </w:rPr>
  </w:style>
  <w:style w:type="paragraph" w:customStyle="1" w:styleId="101">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2">
    <w:name w:val="List Paragraph"/>
    <w:basedOn w:val="1"/>
    <w:qFormat/>
    <w:uiPriority w:val="99"/>
    <w:pPr>
      <w:ind w:firstLine="420" w:firstLineChars="200"/>
    </w:pPr>
  </w:style>
  <w:style w:type="table" w:customStyle="1" w:styleId="103">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104">
    <w:name w:val="BodyText"/>
    <w:basedOn w:val="1"/>
    <w:next w:val="1"/>
    <w:qFormat/>
    <w:uiPriority w:val="0"/>
    <w:pPr>
      <w:textAlignment w:val="baseline"/>
    </w:pPr>
    <w:rPr>
      <w:sz w:val="24"/>
    </w:rPr>
  </w:style>
  <w:style w:type="paragraph" w:customStyle="1" w:styleId="105">
    <w:name w:val="首行缩进"/>
    <w:basedOn w:val="1"/>
    <w:qFormat/>
    <w:uiPriority w:val="0"/>
    <w:pPr>
      <w:spacing w:line="360" w:lineRule="auto"/>
      <w:ind w:left="210" w:leftChars="100" w:firstLine="420" w:firstLineChars="200"/>
    </w:pPr>
    <w:rPr>
      <w:rFonts w:ascii="宋体" w:hAnsi="宋体"/>
      <w:szCs w:val="24"/>
    </w:rPr>
  </w:style>
  <w:style w:type="character" w:customStyle="1" w:styleId="106">
    <w:name w:val="layui-this"/>
    <w:basedOn w:val="36"/>
    <w:qFormat/>
    <w:uiPriority w:val="0"/>
    <w:rPr>
      <w:bdr w:val="single" w:color="EEEEEE" w:sz="6" w:space="0"/>
      <w:shd w:val="clear" w:fill="FFFFFF"/>
    </w:rPr>
  </w:style>
  <w:style w:type="character" w:customStyle="1" w:styleId="107">
    <w:name w:val="first-child"/>
    <w:basedOn w:val="36"/>
    <w:qFormat/>
    <w:uiPriority w:val="0"/>
  </w:style>
  <w:style w:type="character" w:customStyle="1" w:styleId="108">
    <w:name w:val="hover6"/>
    <w:basedOn w:val="36"/>
    <w:qFormat/>
    <w:uiPriority w:val="0"/>
    <w:rPr>
      <w:u w:val="single"/>
    </w:rPr>
  </w:style>
  <w:style w:type="character" w:customStyle="1" w:styleId="109">
    <w:name w:val="bsharetext"/>
    <w:basedOn w:val="36"/>
    <w:qFormat/>
    <w:uiPriority w:val="0"/>
  </w:style>
  <w:style w:type="character" w:customStyle="1" w:styleId="110">
    <w:name w:val="hover"/>
    <w:basedOn w:val="36"/>
    <w:qFormat/>
    <w:uiPriority w:val="0"/>
    <w:rPr>
      <w:u w:val="single"/>
    </w:rPr>
  </w:style>
  <w:style w:type="character" w:customStyle="1" w:styleId="111">
    <w:name w:val="first-child3"/>
    <w:basedOn w:val="36"/>
    <w:qFormat/>
    <w:uiPriority w:val="0"/>
  </w:style>
  <w:style w:type="paragraph" w:customStyle="1" w:styleId="112">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3">
    <w:name w:val="font41"/>
    <w:basedOn w:val="36"/>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11739</Words>
  <Characters>12534</Characters>
  <Lines>173</Lines>
  <Paragraphs>48</Paragraphs>
  <TotalTime>1</TotalTime>
  <ScaleCrop>false</ScaleCrop>
  <LinksUpToDate>false</LinksUpToDate>
  <CharactersWithSpaces>13761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2017-04-19T15:21:00Z</dcterms:created>
  <dc:creator>朱少尉</dc:creator>
  <cp:lastModifiedBy>Z.Y   </cp:lastModifiedBy>
  <cp:lastPrinted>2023-12-14T07:08:00Z</cp:lastPrinted>
  <dcterms:modified xsi:type="dcterms:W3CDTF">2024-12-02T08:12:39Z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80F2A7D69A194501B1F768A94CC2C4FF_13</vt:lpwstr>
  </property>
</Properties>
</file>