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30190">
      <w:pPr>
        <w:tabs>
          <w:tab w:val="left" w:pos="420"/>
        </w:tabs>
        <w:spacing w:before="360" w:beforeLines="150" w:line="1700" w:lineRule="exact"/>
        <w:jc w:val="both"/>
        <w:rPr>
          <w:rFonts w:hint="eastAsia" w:ascii="宋体" w:hAnsi="宋体" w:eastAsia="宋体" w:cs="宋体"/>
          <w:b/>
          <w:bCs/>
          <w:color w:val="auto"/>
          <w:sz w:val="52"/>
          <w:szCs w:val="52"/>
          <w:highlight w:val="none"/>
        </w:rPr>
      </w:pPr>
      <w:bookmarkStart w:id="0" w:name="_Toc30186"/>
      <w:bookmarkStart w:id="1" w:name="_Toc1863"/>
    </w:p>
    <w:p w14:paraId="21644B62">
      <w:pPr>
        <w:tabs>
          <w:tab w:val="left" w:pos="420"/>
        </w:tabs>
        <w:spacing w:before="360" w:beforeLines="150" w:line="1700" w:lineRule="exact"/>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竞争性磋商文件</w:t>
      </w:r>
    </w:p>
    <w:p w14:paraId="738C4375">
      <w:pPr>
        <w:pStyle w:val="12"/>
        <w:rPr>
          <w:rFonts w:hint="eastAsia" w:ascii="宋体" w:hAnsi="宋体" w:eastAsia="宋体" w:cs="宋体"/>
          <w:color w:val="auto"/>
          <w:highlight w:val="none"/>
        </w:rPr>
      </w:pPr>
    </w:p>
    <w:p w14:paraId="70E21BBA">
      <w:pPr>
        <w:pStyle w:val="12"/>
        <w:rPr>
          <w:rFonts w:hint="eastAsia" w:ascii="宋体" w:hAnsi="宋体" w:eastAsia="宋体" w:cs="宋体"/>
          <w:color w:val="auto"/>
          <w:highlight w:val="none"/>
        </w:rPr>
      </w:pPr>
    </w:p>
    <w:p w14:paraId="18B79B1F">
      <w:pPr>
        <w:pStyle w:val="12"/>
        <w:rPr>
          <w:rFonts w:hint="eastAsia" w:ascii="宋体" w:hAnsi="宋体" w:eastAsia="宋体" w:cs="宋体"/>
          <w:color w:val="auto"/>
          <w:highlight w:val="none"/>
        </w:rPr>
      </w:pPr>
    </w:p>
    <w:p w14:paraId="26557E21">
      <w:pPr>
        <w:tabs>
          <w:tab w:val="left" w:pos="315"/>
          <w:tab w:val="left" w:pos="882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（服务类）</w:t>
      </w:r>
    </w:p>
    <w:p w14:paraId="784AA3B0">
      <w:pPr>
        <w:tabs>
          <w:tab w:val="left" w:pos="315"/>
          <w:tab w:val="left" w:pos="8820"/>
        </w:tabs>
        <w:spacing w:before="240" w:beforeLines="100" w:after="120" w:afterLines="50" w:line="500" w:lineRule="exact"/>
        <w:ind w:right="267" w:rightChars="127"/>
        <w:jc w:val="center"/>
        <w:rPr>
          <w:rFonts w:hint="eastAsia" w:ascii="宋体" w:hAnsi="宋体" w:eastAsia="宋体" w:cs="宋体"/>
          <w:color w:val="auto"/>
          <w:sz w:val="44"/>
          <w:highlight w:val="none"/>
        </w:rPr>
      </w:pPr>
    </w:p>
    <w:p w14:paraId="6D9AC1DD">
      <w:pPr>
        <w:pStyle w:val="12"/>
        <w:rPr>
          <w:rFonts w:hint="eastAsia" w:ascii="宋体" w:hAnsi="宋体" w:eastAsia="宋体" w:cs="宋体"/>
          <w:color w:val="auto"/>
          <w:highlight w:val="none"/>
        </w:rPr>
      </w:pPr>
    </w:p>
    <w:p w14:paraId="58109CCE">
      <w:pPr>
        <w:tabs>
          <w:tab w:val="left" w:pos="2410"/>
        </w:tabs>
        <w:autoSpaceDE w:val="0"/>
        <w:autoSpaceDN w:val="0"/>
        <w:adjustRightInd w:val="0"/>
        <w:snapToGrid w:val="0"/>
        <w:spacing w:line="360" w:lineRule="auto"/>
        <w:jc w:val="left"/>
        <w:rPr>
          <w:rFonts w:hint="eastAsia" w:ascii="宋体" w:hAnsi="宋体" w:eastAsia="宋体" w:cs="宋体"/>
          <w:b/>
          <w:color w:val="auto"/>
          <w:spacing w:val="20"/>
          <w:kern w:val="0"/>
          <w:sz w:val="32"/>
          <w:szCs w:val="32"/>
          <w:highlight w:val="none"/>
        </w:rPr>
      </w:pPr>
    </w:p>
    <w:p w14:paraId="49E797F5">
      <w:pPr>
        <w:tabs>
          <w:tab w:val="left" w:pos="2410"/>
        </w:tabs>
        <w:autoSpaceDE w:val="0"/>
        <w:autoSpaceDN w:val="0"/>
        <w:adjustRightInd w:val="0"/>
        <w:snapToGrid w:val="0"/>
        <w:spacing w:line="600" w:lineRule="exact"/>
        <w:ind w:left="2616" w:leftChars="480" w:hanging="1608" w:hangingChars="445"/>
        <w:jc w:val="left"/>
        <w:rPr>
          <w:rFonts w:hint="eastAsia" w:ascii="宋体" w:hAnsi="宋体" w:eastAsia="宋体" w:cs="宋体"/>
          <w:b/>
          <w:color w:val="auto"/>
          <w:spacing w:val="20"/>
          <w:kern w:val="0"/>
          <w:sz w:val="32"/>
          <w:szCs w:val="32"/>
          <w:highlight w:val="none"/>
        </w:rPr>
      </w:pPr>
    </w:p>
    <w:p w14:paraId="4AB938E3">
      <w:pPr>
        <w:tabs>
          <w:tab w:val="left" w:pos="2410"/>
        </w:tabs>
        <w:autoSpaceDE w:val="0"/>
        <w:autoSpaceDN w:val="0"/>
        <w:adjustRightInd w:val="0"/>
        <w:snapToGrid w:val="0"/>
        <w:spacing w:line="600" w:lineRule="exact"/>
        <w:ind w:left="1050" w:leftChars="500"/>
        <w:jc w:val="left"/>
        <w:rPr>
          <w:rFonts w:hint="eastAsia" w:ascii="宋体" w:hAnsi="宋体" w:eastAsia="宋体" w:cs="宋体"/>
          <w:bCs/>
          <w:color w:val="auto"/>
          <w:sz w:val="28"/>
          <w:szCs w:val="28"/>
          <w:highlight w:val="none"/>
          <w:shd w:val="clear" w:color="auto" w:fill="FFFFFF"/>
          <w:lang w:bidi="ar"/>
        </w:rPr>
      </w:pPr>
      <w:r>
        <w:rPr>
          <w:rFonts w:hint="eastAsia" w:ascii="宋体" w:hAnsi="宋体" w:eastAsia="宋体" w:cs="宋体"/>
          <w:b/>
          <w:color w:val="auto"/>
          <w:spacing w:val="11"/>
          <w:kern w:val="0"/>
          <w:sz w:val="28"/>
          <w:szCs w:val="28"/>
          <w:highlight w:val="none"/>
        </w:rPr>
        <w:t>项目名称：</w:t>
      </w:r>
      <w:r>
        <w:rPr>
          <w:rFonts w:hint="eastAsia" w:ascii="宋体" w:hAnsi="宋体" w:eastAsia="宋体" w:cs="宋体"/>
          <w:b/>
          <w:color w:val="auto"/>
          <w:spacing w:val="11"/>
          <w:kern w:val="0"/>
          <w:sz w:val="28"/>
          <w:szCs w:val="28"/>
          <w:highlight w:val="none"/>
          <w:lang w:eastAsia="zh-CN"/>
        </w:rPr>
        <w:t>杭埠河治理工程补充设计项目档案整编</w:t>
      </w:r>
    </w:p>
    <w:p w14:paraId="536045A4">
      <w:pPr>
        <w:tabs>
          <w:tab w:val="left" w:pos="2410"/>
        </w:tabs>
        <w:autoSpaceDE w:val="0"/>
        <w:autoSpaceDN w:val="0"/>
        <w:adjustRightInd w:val="0"/>
        <w:snapToGrid w:val="0"/>
        <w:spacing w:line="600" w:lineRule="exact"/>
        <w:ind w:left="1050" w:leftChars="500"/>
        <w:jc w:val="left"/>
        <w:rPr>
          <w:rFonts w:hint="default" w:ascii="宋体" w:hAnsi="宋体" w:eastAsia="宋体" w:cs="宋体"/>
          <w:b/>
          <w:color w:val="auto"/>
          <w:spacing w:val="11"/>
          <w:kern w:val="0"/>
          <w:sz w:val="28"/>
          <w:szCs w:val="28"/>
          <w:highlight w:val="none"/>
          <w:lang w:val="en-US" w:eastAsia="zh-CN"/>
        </w:rPr>
      </w:pPr>
      <w:r>
        <w:rPr>
          <w:rFonts w:hint="eastAsia" w:ascii="宋体" w:hAnsi="宋体" w:eastAsia="宋体" w:cs="宋体"/>
          <w:b/>
          <w:color w:val="auto"/>
          <w:spacing w:val="11"/>
          <w:kern w:val="0"/>
          <w:sz w:val="28"/>
          <w:szCs w:val="28"/>
          <w:highlight w:val="none"/>
        </w:rPr>
        <w:t>项目编号：</w:t>
      </w:r>
      <w:r>
        <w:rPr>
          <w:rFonts w:hint="eastAsia" w:ascii="宋体" w:hAnsi="宋体" w:eastAsia="宋体" w:cs="宋体"/>
          <w:b/>
          <w:color w:val="auto"/>
          <w:spacing w:val="11"/>
          <w:kern w:val="0"/>
          <w:sz w:val="28"/>
          <w:szCs w:val="28"/>
          <w:highlight w:val="none"/>
          <w:lang w:val="en-US" w:eastAsia="zh-CN"/>
        </w:rPr>
        <w:t>LAHL-2024-</w:t>
      </w:r>
      <w:r>
        <w:rPr>
          <w:rFonts w:hint="eastAsia" w:ascii="宋体" w:hAnsi="宋体" w:cs="宋体"/>
          <w:b/>
          <w:color w:val="auto"/>
          <w:spacing w:val="11"/>
          <w:kern w:val="0"/>
          <w:sz w:val="28"/>
          <w:szCs w:val="28"/>
          <w:highlight w:val="none"/>
          <w:lang w:val="en-US" w:eastAsia="zh-CN"/>
        </w:rPr>
        <w:t>10</w:t>
      </w:r>
      <w:r>
        <w:rPr>
          <w:rFonts w:hint="eastAsia" w:ascii="宋体" w:hAnsi="宋体" w:eastAsia="宋体" w:cs="宋体"/>
          <w:b/>
          <w:color w:val="auto"/>
          <w:spacing w:val="11"/>
          <w:kern w:val="0"/>
          <w:sz w:val="28"/>
          <w:szCs w:val="28"/>
          <w:highlight w:val="none"/>
          <w:lang w:val="en-US" w:eastAsia="zh-CN"/>
        </w:rPr>
        <w:t>-</w:t>
      </w:r>
      <w:r>
        <w:rPr>
          <w:rFonts w:hint="eastAsia" w:ascii="宋体" w:hAnsi="宋体" w:cs="宋体"/>
          <w:b/>
          <w:color w:val="auto"/>
          <w:spacing w:val="11"/>
          <w:kern w:val="0"/>
          <w:sz w:val="28"/>
          <w:szCs w:val="28"/>
          <w:highlight w:val="none"/>
          <w:lang w:val="en-US" w:eastAsia="zh-CN"/>
        </w:rPr>
        <w:t>24</w:t>
      </w:r>
    </w:p>
    <w:p w14:paraId="6FA7C949">
      <w:pPr>
        <w:tabs>
          <w:tab w:val="left" w:pos="2410"/>
        </w:tabs>
        <w:autoSpaceDE w:val="0"/>
        <w:autoSpaceDN w:val="0"/>
        <w:adjustRightInd w:val="0"/>
        <w:snapToGrid w:val="0"/>
        <w:spacing w:line="600" w:lineRule="exact"/>
        <w:ind w:left="1050" w:leftChars="500"/>
        <w:jc w:val="left"/>
        <w:rPr>
          <w:rFonts w:hint="eastAsia" w:ascii="宋体" w:hAnsi="宋体" w:eastAsia="宋体" w:cs="宋体"/>
          <w:b/>
          <w:color w:val="auto"/>
          <w:spacing w:val="11"/>
          <w:kern w:val="0"/>
          <w:sz w:val="28"/>
          <w:szCs w:val="28"/>
          <w:highlight w:val="none"/>
          <w:lang w:val="en-US" w:eastAsia="zh-CN"/>
        </w:rPr>
      </w:pPr>
      <w:r>
        <w:rPr>
          <w:rFonts w:hint="eastAsia" w:ascii="宋体" w:hAnsi="宋体" w:eastAsia="宋体" w:cs="宋体"/>
          <w:b/>
          <w:bCs w:val="0"/>
          <w:color w:val="auto"/>
          <w:spacing w:val="11"/>
          <w:kern w:val="0"/>
          <w:sz w:val="28"/>
          <w:szCs w:val="28"/>
          <w:highlight w:val="none"/>
        </w:rPr>
        <w:t>采 购 人：</w:t>
      </w:r>
      <w:r>
        <w:rPr>
          <w:rFonts w:hint="eastAsia" w:ascii="宋体" w:hAnsi="宋体" w:eastAsia="宋体" w:cs="宋体"/>
          <w:b/>
          <w:color w:val="auto"/>
          <w:spacing w:val="11"/>
          <w:kern w:val="0"/>
          <w:sz w:val="28"/>
          <w:szCs w:val="28"/>
          <w:highlight w:val="none"/>
          <w:lang w:eastAsia="zh-CN"/>
        </w:rPr>
        <w:t>六安市水利</w:t>
      </w:r>
      <w:r>
        <w:rPr>
          <w:rFonts w:hint="eastAsia" w:ascii="宋体" w:hAnsi="宋体" w:eastAsia="宋体" w:cs="宋体"/>
          <w:b/>
          <w:color w:val="auto"/>
          <w:spacing w:val="11"/>
          <w:kern w:val="0"/>
          <w:sz w:val="28"/>
          <w:szCs w:val="28"/>
          <w:highlight w:val="none"/>
          <w:lang w:val="en-US" w:eastAsia="zh-CN"/>
        </w:rPr>
        <w:t>工程建设管理处</w:t>
      </w:r>
    </w:p>
    <w:p w14:paraId="76F9BAB2">
      <w:pPr>
        <w:tabs>
          <w:tab w:val="left" w:pos="2410"/>
        </w:tabs>
        <w:autoSpaceDE w:val="0"/>
        <w:autoSpaceDN w:val="0"/>
        <w:adjustRightInd w:val="0"/>
        <w:snapToGrid w:val="0"/>
        <w:spacing w:line="600" w:lineRule="exact"/>
        <w:ind w:left="1050" w:leftChars="500"/>
        <w:jc w:val="left"/>
        <w:rPr>
          <w:rFonts w:hint="eastAsia" w:ascii="宋体" w:hAnsi="宋体" w:eastAsia="宋体" w:cs="宋体"/>
          <w:b/>
          <w:color w:val="auto"/>
          <w:spacing w:val="11"/>
          <w:kern w:val="0"/>
          <w:sz w:val="28"/>
          <w:szCs w:val="28"/>
          <w:highlight w:val="none"/>
        </w:rPr>
      </w:pPr>
      <w:r>
        <w:rPr>
          <w:rFonts w:hint="eastAsia" w:ascii="宋体" w:hAnsi="宋体" w:eastAsia="宋体" w:cs="宋体"/>
          <w:b/>
          <w:color w:val="auto"/>
          <w:spacing w:val="11"/>
          <w:kern w:val="0"/>
          <w:sz w:val="28"/>
          <w:szCs w:val="28"/>
          <w:highlight w:val="none"/>
        </w:rPr>
        <w:t>采购代理机构：六安市厚灵工程咨询服务有限公司</w:t>
      </w:r>
    </w:p>
    <w:p w14:paraId="3FF75081">
      <w:pPr>
        <w:tabs>
          <w:tab w:val="left" w:pos="2410"/>
        </w:tabs>
        <w:autoSpaceDE w:val="0"/>
        <w:autoSpaceDN w:val="0"/>
        <w:adjustRightInd w:val="0"/>
        <w:snapToGrid w:val="0"/>
        <w:spacing w:line="600" w:lineRule="exact"/>
        <w:ind w:left="1050" w:leftChars="500"/>
        <w:jc w:val="left"/>
        <w:rPr>
          <w:rFonts w:hint="eastAsia" w:ascii="宋体" w:hAnsi="宋体" w:eastAsia="宋体" w:cs="宋体"/>
          <w:b/>
          <w:color w:val="auto"/>
          <w:spacing w:val="11"/>
          <w:kern w:val="0"/>
          <w:sz w:val="28"/>
          <w:szCs w:val="28"/>
          <w:highlight w:val="none"/>
        </w:rPr>
      </w:pPr>
      <w:r>
        <w:rPr>
          <w:rFonts w:hint="eastAsia" w:ascii="宋体" w:hAnsi="宋体" w:eastAsia="宋体" w:cs="宋体"/>
          <w:b/>
          <w:color w:val="auto"/>
          <w:spacing w:val="11"/>
          <w:kern w:val="0"/>
          <w:sz w:val="28"/>
          <w:szCs w:val="28"/>
          <w:highlight w:val="none"/>
        </w:rPr>
        <w:t>采购时间：202</w:t>
      </w:r>
      <w:r>
        <w:rPr>
          <w:rFonts w:hint="eastAsia" w:ascii="宋体" w:hAnsi="宋体" w:eastAsia="宋体" w:cs="宋体"/>
          <w:b/>
          <w:color w:val="auto"/>
          <w:spacing w:val="11"/>
          <w:kern w:val="0"/>
          <w:sz w:val="28"/>
          <w:szCs w:val="28"/>
          <w:highlight w:val="none"/>
          <w:lang w:val="en-US" w:eastAsia="zh-CN"/>
        </w:rPr>
        <w:t>4</w:t>
      </w:r>
      <w:r>
        <w:rPr>
          <w:rFonts w:hint="eastAsia" w:ascii="宋体" w:hAnsi="宋体" w:eastAsia="宋体" w:cs="宋体"/>
          <w:b/>
          <w:color w:val="auto"/>
          <w:spacing w:val="11"/>
          <w:kern w:val="0"/>
          <w:sz w:val="28"/>
          <w:szCs w:val="28"/>
          <w:highlight w:val="none"/>
        </w:rPr>
        <w:t>年</w:t>
      </w:r>
      <w:r>
        <w:rPr>
          <w:rFonts w:hint="eastAsia" w:ascii="宋体" w:hAnsi="宋体" w:eastAsia="宋体" w:cs="宋体"/>
          <w:b/>
          <w:color w:val="auto"/>
          <w:spacing w:val="11"/>
          <w:kern w:val="0"/>
          <w:sz w:val="28"/>
          <w:szCs w:val="28"/>
          <w:highlight w:val="none"/>
          <w:lang w:val="en-US" w:eastAsia="zh-CN"/>
        </w:rPr>
        <w:t>10</w:t>
      </w:r>
      <w:r>
        <w:rPr>
          <w:rFonts w:hint="eastAsia" w:ascii="宋体" w:hAnsi="宋体" w:eastAsia="宋体" w:cs="宋体"/>
          <w:b/>
          <w:color w:val="auto"/>
          <w:spacing w:val="11"/>
          <w:kern w:val="0"/>
          <w:sz w:val="28"/>
          <w:szCs w:val="28"/>
          <w:highlight w:val="none"/>
        </w:rPr>
        <w:t>月</w:t>
      </w:r>
    </w:p>
    <w:p w14:paraId="23AE5C9D">
      <w:pPr>
        <w:spacing w:line="360" w:lineRule="auto"/>
        <w:rPr>
          <w:rFonts w:hint="eastAsia" w:ascii="宋体" w:hAnsi="宋体" w:eastAsia="宋体" w:cs="宋体"/>
          <w:color w:val="auto"/>
          <w:sz w:val="32"/>
          <w:szCs w:val="32"/>
          <w:highlight w:val="none"/>
        </w:rPr>
      </w:pPr>
    </w:p>
    <w:p w14:paraId="39CB8B88">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765C9FE">
      <w:pPr>
        <w:spacing w:after="120" w:afterLines="5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206D6560">
      <w:pPr>
        <w:pStyle w:val="10"/>
        <w:tabs>
          <w:tab w:val="right" w:leader="dot" w:pos="8844"/>
        </w:tabs>
        <w:spacing w:line="400" w:lineRule="exact"/>
        <w:ind w:left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竞争性磋商采购公告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_Toc1863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823CE17">
      <w:pPr>
        <w:pStyle w:val="10"/>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"_Toc21819"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一、供应商须知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_Toc21819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7C8D1D1">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（一）须知前附表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CDF3CC">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（二）供应商资格</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C2BA3E">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（三）供应商必须提交的响应文件内容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_Toc9435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360624">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"_Toc9883"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（四）响应文件的提交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C41A15">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（五）磋商程序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82B5E5">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"_Toc11542"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（六）评审及异常情况处理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C24353">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（七）报价响应及答疑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A3AA64">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"_Toc19999"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（八）合同的签订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833A2A">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（九）澄清及变更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C63D26">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"_Toc18928"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（十）验收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368252">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"_Toc3680"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（十一）质疑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C51CCFC">
      <w:pPr>
        <w:pStyle w:val="10"/>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"_Toc22378"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二、采购合同</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_Toc22378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BD3B246">
      <w:pPr>
        <w:pStyle w:val="10"/>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"_Toc17199"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三、采购需求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_Toc17199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B007844">
      <w:pPr>
        <w:pStyle w:val="10"/>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"_Toc19815"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四、评分标准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_Toc19815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DF44AB5">
      <w:pPr>
        <w:pStyle w:val="10"/>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"_Toc8088"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五、响应文件格式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_Toc8088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CC4BE60">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响应文件资料清单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_Toc2602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4816B5D">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附件一 报价单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3A6C78">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附件二 供应商基本信息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2C629A">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"_Toc10154"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附件三 磋商授权书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816963">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"_Toc17888"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附件四 磋商响应函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_Toc17888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F524222">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"_Toc16627"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附件五 </w:t>
      </w:r>
      <w:r>
        <w:rPr>
          <w:rFonts w:hint="eastAsia" w:ascii="宋体" w:hAnsi="宋体" w:eastAsia="宋体" w:cs="宋体"/>
          <w:color w:val="auto"/>
          <w:sz w:val="24"/>
          <w:szCs w:val="24"/>
          <w:highlight w:val="none"/>
          <w:lang w:val="zh-CN"/>
        </w:rPr>
        <w:t>无重大违法记录声明函、无不良信用记录承诺函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95C58B">
      <w:pPr>
        <w:pStyle w:val="10"/>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"_Toc17797"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附件六 </w:t>
      </w:r>
      <w:r>
        <w:rPr>
          <w:rFonts w:hint="eastAsia" w:ascii="宋体" w:hAnsi="宋体" w:eastAsia="宋体" w:cs="宋体"/>
          <w:color w:val="auto"/>
          <w:sz w:val="24"/>
          <w:szCs w:val="24"/>
          <w:highlight w:val="none"/>
          <w:lang w:val="zh-CN"/>
        </w:rPr>
        <w:t>响应情况表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_Toc17797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23264A">
      <w:pPr>
        <w:pStyle w:val="10"/>
        <w:tabs>
          <w:tab w:val="right" w:leader="dot" w:pos="8844"/>
        </w:tabs>
        <w:spacing w:line="400" w:lineRule="exact"/>
        <w:ind w:left="0" w:leftChars="0" w:firstLine="42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附件七 </w:t>
      </w:r>
      <w:r>
        <w:rPr>
          <w:rFonts w:hint="eastAsia" w:ascii="宋体" w:hAnsi="宋体" w:eastAsia="宋体" w:cs="宋体"/>
          <w:color w:val="auto"/>
          <w:sz w:val="24"/>
          <w:szCs w:val="24"/>
          <w:highlight w:val="none"/>
          <w:lang w:val="en-US" w:eastAsia="zh-CN"/>
        </w:rPr>
        <w:t>中小企业声明函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p>
    <w:p w14:paraId="0AE1CDB1">
      <w:pPr>
        <w:pStyle w:val="10"/>
        <w:tabs>
          <w:tab w:val="right" w:leader="dot" w:pos="8844"/>
        </w:tabs>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附件八 </w:t>
      </w:r>
      <w:r>
        <w:rPr>
          <w:rFonts w:hint="eastAsia" w:ascii="宋体" w:hAnsi="宋体" w:eastAsia="宋体" w:cs="宋体"/>
          <w:bCs/>
          <w:color w:val="auto"/>
          <w:sz w:val="24"/>
          <w:szCs w:val="24"/>
          <w:highlight w:val="none"/>
        </w:rPr>
        <w:t>磋商文件要求和供应商认为需要提供的其它说明和资料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5A481D">
      <w:pPr>
        <w:rPr>
          <w:rFonts w:hint="eastAsia" w:ascii="宋体" w:hAnsi="宋体" w:eastAsia="宋体" w:cs="宋体"/>
          <w:b w:val="0"/>
          <w:bCs/>
          <w:color w:val="auto"/>
          <w:sz w:val="44"/>
          <w:szCs w:val="44"/>
          <w:highlight w:val="none"/>
          <w:lang w:eastAsia="zh-CN"/>
        </w:rPr>
      </w:pPr>
      <w:r>
        <w:rPr>
          <w:rFonts w:hint="eastAsia" w:ascii="宋体" w:hAnsi="宋体" w:eastAsia="宋体" w:cs="宋体"/>
          <w:color w:val="auto"/>
          <w:sz w:val="24"/>
          <w:szCs w:val="24"/>
          <w:highlight w:val="none"/>
        </w:rPr>
        <w:fldChar w:fldCharType="end"/>
      </w:r>
    </w:p>
    <w:p w14:paraId="706EAA9B">
      <w:pPr>
        <w:pStyle w:val="5"/>
        <w:spacing w:before="120" w:beforeLines="50" w:after="120" w:afterLines="50" w:line="520" w:lineRule="exact"/>
        <w:jc w:val="center"/>
        <w:rPr>
          <w:rFonts w:hint="eastAsia" w:ascii="宋体" w:hAnsi="宋体" w:eastAsia="宋体" w:cs="宋体"/>
          <w:b w:val="0"/>
          <w:bCs/>
          <w:color w:val="auto"/>
          <w:sz w:val="44"/>
          <w:szCs w:val="44"/>
          <w:highlight w:val="none"/>
          <w:lang w:eastAsia="zh-CN"/>
        </w:rPr>
      </w:pPr>
    </w:p>
    <w:p w14:paraId="357F32E1">
      <w:pPr>
        <w:rPr>
          <w:rFonts w:hint="eastAsia" w:ascii="宋体" w:hAnsi="宋体" w:eastAsia="宋体" w:cs="宋体"/>
          <w:b w:val="0"/>
          <w:bCs/>
          <w:color w:val="auto"/>
          <w:sz w:val="44"/>
          <w:szCs w:val="44"/>
          <w:highlight w:val="none"/>
          <w:lang w:eastAsia="zh-CN"/>
        </w:rPr>
      </w:pPr>
      <w:r>
        <w:rPr>
          <w:rFonts w:hint="eastAsia" w:ascii="宋体" w:hAnsi="宋体" w:eastAsia="宋体" w:cs="宋体"/>
          <w:b w:val="0"/>
          <w:bCs/>
          <w:color w:val="auto"/>
          <w:sz w:val="44"/>
          <w:szCs w:val="44"/>
          <w:highlight w:val="none"/>
          <w:lang w:eastAsia="zh-CN"/>
        </w:rPr>
        <w:br w:type="page"/>
      </w:r>
    </w:p>
    <w:p w14:paraId="12F636C0">
      <w:pPr>
        <w:pStyle w:val="5"/>
        <w:spacing w:before="120" w:beforeLines="50" w:after="120" w:afterLines="50" w:line="520" w:lineRule="exact"/>
        <w:jc w:val="center"/>
        <w:rPr>
          <w:rFonts w:hint="eastAsia" w:ascii="宋体" w:hAnsi="宋体" w:eastAsia="宋体" w:cs="宋体"/>
          <w:b/>
          <w:bCs w:val="0"/>
          <w:color w:val="auto"/>
          <w:sz w:val="44"/>
          <w:szCs w:val="44"/>
          <w:highlight w:val="none"/>
          <w:lang w:eastAsia="zh-CN"/>
        </w:rPr>
      </w:pPr>
      <w:r>
        <w:rPr>
          <w:rFonts w:hint="eastAsia" w:ascii="宋体" w:hAnsi="宋体" w:eastAsia="宋体" w:cs="宋体"/>
          <w:b/>
          <w:bCs w:val="0"/>
          <w:color w:val="auto"/>
          <w:sz w:val="44"/>
          <w:szCs w:val="44"/>
          <w:highlight w:val="none"/>
          <w:lang w:eastAsia="zh-CN"/>
        </w:rPr>
        <w:t>杭埠河治理工程补充设计项目档案整编</w:t>
      </w:r>
    </w:p>
    <w:p w14:paraId="36FEFF64">
      <w:pPr>
        <w:pStyle w:val="5"/>
        <w:spacing w:before="120" w:beforeLines="50" w:after="120" w:afterLines="50" w:line="520" w:lineRule="exact"/>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竞争性磋商采购公告</w:t>
      </w:r>
      <w:bookmarkEnd w:id="0"/>
      <w:bookmarkEnd w:id="1"/>
    </w:p>
    <w:p w14:paraId="432725BA">
      <w:pPr>
        <w:pBdr>
          <w:top w:val="single" w:color="auto" w:sz="4" w:space="1"/>
          <w:left w:val="single" w:color="auto" w:sz="4" w:space="4"/>
          <w:bottom w:val="single" w:color="auto" w:sz="4" w:space="1"/>
          <w:right w:val="single" w:color="auto" w:sz="4" w:space="4"/>
        </w:pBd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r>
        <w:rPr>
          <w:rFonts w:hint="eastAsia" w:ascii="宋体" w:hAnsi="宋体" w:eastAsia="宋体" w:cs="宋体"/>
          <w:color w:val="auto"/>
          <w:sz w:val="28"/>
          <w:szCs w:val="28"/>
          <w:highlight w:val="none"/>
          <w:u w:val="single"/>
          <w:lang w:val="en-US" w:eastAsia="zh-CN"/>
        </w:rPr>
        <w:t>杭埠河治理工程补充设计项目档案整编</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项目编号：LAHL-2024-10-</w:t>
      </w:r>
      <w:r>
        <w:rPr>
          <w:rFonts w:hint="eastAsia" w:ascii="宋体" w:hAnsi="宋体" w:cs="宋体"/>
          <w:color w:val="auto"/>
          <w:sz w:val="28"/>
          <w:szCs w:val="28"/>
          <w:highlight w:val="none"/>
          <w:u w:val="single"/>
          <w:lang w:val="en-US" w:eastAsia="zh-CN"/>
        </w:rPr>
        <w:t>24</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的潜在供应商应于</w:t>
      </w:r>
      <w:r>
        <w:rPr>
          <w:rFonts w:hint="eastAsia" w:ascii="宋体" w:hAnsi="宋体" w:eastAsia="宋体" w:cs="宋体"/>
          <w:color w:val="auto"/>
          <w:sz w:val="28"/>
          <w:szCs w:val="28"/>
          <w:highlight w:val="none"/>
          <w:u w:val="single"/>
        </w:rPr>
        <w:t>2024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日前</w:t>
      </w:r>
      <w:r>
        <w:rPr>
          <w:rFonts w:hint="eastAsia" w:ascii="宋体" w:hAnsi="宋体" w:eastAsia="宋体" w:cs="宋体"/>
          <w:color w:val="auto"/>
          <w:sz w:val="28"/>
          <w:szCs w:val="28"/>
          <w:highlight w:val="none"/>
          <w:lang w:val="en-US" w:eastAsia="zh-CN"/>
        </w:rPr>
        <w:t>线上</w:t>
      </w:r>
      <w:r>
        <w:rPr>
          <w:rFonts w:hint="eastAsia" w:ascii="宋体" w:hAnsi="宋体" w:eastAsia="宋体" w:cs="宋体"/>
          <w:color w:val="auto"/>
          <w:sz w:val="28"/>
          <w:szCs w:val="28"/>
          <w:highlight w:val="none"/>
        </w:rPr>
        <w:t>获取</w:t>
      </w:r>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文件，并于</w:t>
      </w:r>
      <w:r>
        <w:rPr>
          <w:rFonts w:hint="eastAsia" w:ascii="宋体" w:hAnsi="宋体" w:eastAsia="宋体" w:cs="宋体"/>
          <w:color w:val="auto"/>
          <w:sz w:val="28"/>
          <w:szCs w:val="28"/>
          <w:highlight w:val="none"/>
          <w:u w:val="single"/>
        </w:rPr>
        <w:t>2024</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日 </w:t>
      </w:r>
      <w:r>
        <w:rPr>
          <w:rFonts w:hint="eastAsia" w:ascii="宋体" w:hAnsi="宋体" w:eastAsia="宋体" w:cs="宋体"/>
          <w:color w:val="auto"/>
          <w:sz w:val="28"/>
          <w:szCs w:val="28"/>
          <w:highlight w:val="none"/>
          <w:u w:val="single"/>
          <w:lang w:val="en-US" w:eastAsia="zh-CN"/>
        </w:rPr>
        <w:t xml:space="preserve"> 9 </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30 </w:t>
      </w:r>
      <w:r>
        <w:rPr>
          <w:rFonts w:hint="eastAsia" w:ascii="宋体" w:hAnsi="宋体" w:eastAsia="宋体" w:cs="宋体"/>
          <w:color w:val="auto"/>
          <w:sz w:val="28"/>
          <w:szCs w:val="28"/>
          <w:highlight w:val="none"/>
        </w:rPr>
        <w:t xml:space="preserve"> 分</w:t>
      </w:r>
      <w:r>
        <w:rPr>
          <w:rFonts w:hint="eastAsia" w:ascii="宋体" w:hAnsi="宋体" w:eastAsia="宋体" w:cs="宋体"/>
          <w:color w:val="auto"/>
          <w:sz w:val="28"/>
          <w:szCs w:val="28"/>
          <w:highlight w:val="none"/>
        </w:rPr>
        <w:t>（北京时间）前提交响应文件。</w:t>
      </w:r>
    </w:p>
    <w:p w14:paraId="48FC9DBA">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2" w:name="_Toc28359012"/>
      <w:bookmarkStart w:id="3" w:name="_Toc9864"/>
      <w:bookmarkStart w:id="4" w:name="_Toc28359089"/>
      <w:bookmarkStart w:id="5" w:name="_Toc35393798"/>
      <w:bookmarkStart w:id="6" w:name="_Toc35393629"/>
      <w:r>
        <w:rPr>
          <w:rFonts w:hint="eastAsia" w:ascii="宋体" w:hAnsi="宋体" w:eastAsia="宋体" w:cs="宋体"/>
          <w:b w:val="0"/>
          <w:bCs/>
          <w:color w:val="auto"/>
          <w:sz w:val="28"/>
          <w:szCs w:val="28"/>
          <w:highlight w:val="none"/>
        </w:rPr>
        <w:t>一、项目基本情况</w:t>
      </w:r>
      <w:bookmarkEnd w:id="2"/>
      <w:bookmarkEnd w:id="3"/>
      <w:bookmarkEnd w:id="4"/>
      <w:bookmarkEnd w:id="5"/>
      <w:bookmarkEnd w:id="6"/>
    </w:p>
    <w:p w14:paraId="546CEF6E">
      <w:pPr>
        <w:spacing w:line="52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1、项目编号：LAHL-2024-</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24</w:t>
      </w:r>
    </w:p>
    <w:p w14:paraId="7CA8C8EF">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2、项目名称：</w:t>
      </w:r>
      <w:r>
        <w:rPr>
          <w:rFonts w:hint="eastAsia" w:ascii="宋体" w:hAnsi="宋体" w:eastAsia="宋体" w:cs="宋体"/>
          <w:color w:val="auto"/>
          <w:sz w:val="28"/>
          <w:szCs w:val="28"/>
          <w:highlight w:val="none"/>
          <w:lang w:val="en-US" w:eastAsia="zh-CN"/>
        </w:rPr>
        <w:t>杭埠河治理工程补充设计项目档案整编</w:t>
      </w:r>
    </w:p>
    <w:p w14:paraId="592D7CDF">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3、项目类型：服务类</w:t>
      </w:r>
    </w:p>
    <w:p w14:paraId="72B414FD">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4、采购方式：竞争性磋商 </w:t>
      </w:r>
      <w:bookmarkStart w:id="142" w:name="_GoBack"/>
      <w:bookmarkEnd w:id="142"/>
    </w:p>
    <w:p w14:paraId="6DF30AC9">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5、预算金额：</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万元</w:t>
      </w:r>
    </w:p>
    <w:p w14:paraId="1C2C09A1">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6、最高限价：</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万元</w:t>
      </w:r>
    </w:p>
    <w:p w14:paraId="7DFEFD9E">
      <w:pPr>
        <w:widowControl/>
        <w:spacing w:line="52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7、采购需求：对建管档案进行整编及数字化服务（包括工程、</w:t>
      </w:r>
      <w:r>
        <w:rPr>
          <w:rFonts w:hint="eastAsia" w:ascii="宋体" w:hAnsi="宋体" w:eastAsia="宋体" w:cs="宋体"/>
          <w:color w:val="auto"/>
          <w:sz w:val="28"/>
          <w:szCs w:val="28"/>
          <w:highlight w:val="none"/>
        </w:rPr>
        <w:t>声像档案收集、培训、整理、叠图、编制封面、目录备考表、装订、入库</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软件挂接</w:t>
      </w:r>
      <w:r>
        <w:rPr>
          <w:rFonts w:hint="eastAsia" w:ascii="宋体" w:hAnsi="宋体" w:eastAsia="宋体" w:cs="宋体"/>
          <w:color w:val="auto"/>
          <w:sz w:val="28"/>
          <w:szCs w:val="28"/>
          <w:highlight w:val="none"/>
        </w:rPr>
        <w:t>等），对各参建单位档案业务提供咨询指导，协助建</w:t>
      </w:r>
      <w:r>
        <w:rPr>
          <w:rFonts w:hint="eastAsia" w:ascii="宋体" w:hAnsi="宋体" w:eastAsia="宋体" w:cs="宋体"/>
          <w:color w:val="auto"/>
          <w:sz w:val="28"/>
          <w:szCs w:val="28"/>
          <w:highlight w:val="none"/>
        </w:rPr>
        <w:t>设单位做好档案专项验收等</w:t>
      </w:r>
      <w:r>
        <w:rPr>
          <w:rFonts w:hint="eastAsia" w:ascii="宋体" w:hAnsi="宋体" w:eastAsia="宋体" w:cs="宋体"/>
          <w:color w:val="auto"/>
          <w:sz w:val="28"/>
          <w:szCs w:val="28"/>
          <w:highlight w:val="none"/>
          <w:lang w:val="en-US" w:eastAsia="zh-CN"/>
        </w:rPr>
        <w:t>。</w:t>
      </w:r>
    </w:p>
    <w:p w14:paraId="2E6877C2">
      <w:pPr>
        <w:widowControl/>
        <w:spacing w:line="52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8、服务期：</w:t>
      </w:r>
      <w:r>
        <w:rPr>
          <w:rFonts w:hint="eastAsia" w:ascii="宋体" w:hAnsi="宋体" w:cs="宋体"/>
          <w:color w:val="auto"/>
          <w:sz w:val="28"/>
          <w:szCs w:val="28"/>
          <w:highlight w:val="none"/>
          <w:lang w:val="en-US" w:eastAsia="zh-CN"/>
        </w:rPr>
        <w:t>至竣工验收档案移交完成止（其中</w:t>
      </w:r>
      <w:r>
        <w:rPr>
          <w:rFonts w:hint="eastAsia" w:ascii="宋体" w:hAnsi="宋体" w:eastAsia="宋体" w:cs="宋体"/>
          <w:color w:val="auto"/>
          <w:sz w:val="28"/>
          <w:szCs w:val="28"/>
          <w:highlight w:val="none"/>
        </w:rPr>
        <w:t>2025年6月底前完成档案整编工作</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w:t>
      </w:r>
    </w:p>
    <w:p w14:paraId="6560456A">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9、是否接受联合体：本项目不接受联合体。</w:t>
      </w:r>
    </w:p>
    <w:p w14:paraId="20F9B979">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7" w:name="_Toc28359013"/>
      <w:bookmarkStart w:id="8" w:name="_Toc28359090"/>
      <w:bookmarkStart w:id="9" w:name="_Toc8072"/>
      <w:bookmarkStart w:id="10" w:name="_Toc35393630"/>
      <w:bookmarkStart w:id="11" w:name="_Toc35393799"/>
      <w:bookmarkStart w:id="12" w:name="_Toc28359091"/>
      <w:bookmarkStart w:id="13" w:name="_Toc28359014"/>
      <w:r>
        <w:rPr>
          <w:rFonts w:hint="eastAsia" w:ascii="宋体" w:hAnsi="宋体" w:eastAsia="宋体" w:cs="宋体"/>
          <w:b w:val="0"/>
          <w:bCs/>
          <w:color w:val="auto"/>
          <w:sz w:val="28"/>
          <w:szCs w:val="28"/>
          <w:highlight w:val="none"/>
        </w:rPr>
        <w:t>二、申请人的资格要求</w:t>
      </w:r>
      <w:bookmarkEnd w:id="7"/>
      <w:bookmarkEnd w:id="8"/>
      <w:bookmarkEnd w:id="9"/>
      <w:bookmarkEnd w:id="10"/>
      <w:bookmarkEnd w:id="11"/>
    </w:p>
    <w:p w14:paraId="725AE200">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1、满足《中华人民共和国政府采购法》第二十二条规定；</w:t>
      </w:r>
    </w:p>
    <w:p w14:paraId="727FE9C0">
      <w:pPr>
        <w:pStyle w:val="2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2</w:t>
      </w:r>
      <w:r>
        <w:rPr>
          <w:rFonts w:hint="eastAsia" w:ascii="宋体" w:hAnsi="宋体" w:eastAsia="宋体" w:cs="宋体"/>
          <w:bCs/>
          <w:color w:val="auto"/>
          <w:kern w:val="2"/>
          <w:sz w:val="28"/>
          <w:szCs w:val="28"/>
          <w:highlight w:val="none"/>
          <w:lang w:val="en-US" w:eastAsia="zh-CN" w:bidi="ar-SA"/>
        </w:rPr>
        <w:t>、落实政府采购政策需满足的资格要求：本项目为专门面向中小型企业采购的项目；</w:t>
      </w:r>
    </w:p>
    <w:p w14:paraId="5C433F18">
      <w:pPr>
        <w:pStyle w:val="2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3</w:t>
      </w:r>
      <w:r>
        <w:rPr>
          <w:rFonts w:hint="eastAsia" w:ascii="宋体" w:hAnsi="宋体" w:eastAsia="宋体" w:cs="宋体"/>
          <w:bCs/>
          <w:color w:val="auto"/>
          <w:kern w:val="2"/>
          <w:sz w:val="28"/>
          <w:szCs w:val="28"/>
          <w:highlight w:val="none"/>
          <w:lang w:val="en-US" w:eastAsia="zh-CN" w:bidi="ar-SA"/>
        </w:rPr>
        <w:t>、本项目无特定资格要求。</w:t>
      </w:r>
    </w:p>
    <w:p w14:paraId="145C5158">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、供应商存在以下不良信用记录情形之一的，不得推荐为成交候选供应商，不得确定为成交供应商：</w:t>
      </w:r>
    </w:p>
    <w:p w14:paraId="21D79AF7">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供应商被人民法院列入失信被执行人的；</w:t>
      </w:r>
    </w:p>
    <w:p w14:paraId="26CD26FD">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供应商被市场监督管理部门列入企业经营异常名录的；</w:t>
      </w:r>
    </w:p>
    <w:p w14:paraId="7E4385A6">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供应商被税务部门列入重大税收违法案件当事人名单的；</w:t>
      </w:r>
    </w:p>
    <w:p w14:paraId="17D6FC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供应商被政府采购监管部门列入政府采购严重违法失信行为记录名单的。</w:t>
      </w:r>
    </w:p>
    <w:p w14:paraId="54858CF4">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14" w:name="_Toc32583"/>
      <w:bookmarkStart w:id="15" w:name="_Toc35393631"/>
      <w:bookmarkStart w:id="16" w:name="_Toc35393800"/>
      <w:r>
        <w:rPr>
          <w:rFonts w:hint="eastAsia" w:ascii="宋体" w:hAnsi="宋体" w:eastAsia="宋体" w:cs="宋体"/>
          <w:b w:val="0"/>
          <w:bCs/>
          <w:color w:val="auto"/>
          <w:sz w:val="28"/>
          <w:szCs w:val="28"/>
          <w:highlight w:val="none"/>
        </w:rPr>
        <w:t>三、获取采购文件</w:t>
      </w:r>
      <w:bookmarkEnd w:id="12"/>
      <w:bookmarkEnd w:id="13"/>
      <w:bookmarkEnd w:id="14"/>
      <w:bookmarkEnd w:id="15"/>
      <w:bookmarkEnd w:id="16"/>
    </w:p>
    <w:p w14:paraId="1C814D0D">
      <w:pPr>
        <w:spacing w:line="560" w:lineRule="exact"/>
        <w:ind w:firstLine="560" w:firstLineChars="200"/>
        <w:rPr>
          <w:rFonts w:hint="eastAsia" w:ascii="宋体" w:hAnsi="宋体" w:eastAsia="宋体" w:cs="宋体"/>
          <w:bCs/>
          <w:color w:val="auto"/>
          <w:sz w:val="28"/>
          <w:szCs w:val="28"/>
          <w:highlight w:val="none"/>
        </w:rPr>
      </w:pPr>
      <w:bookmarkStart w:id="17" w:name="_Toc35393632"/>
      <w:bookmarkStart w:id="18" w:name="_Toc28359015"/>
      <w:bookmarkStart w:id="19" w:name="_Toc35393801"/>
      <w:bookmarkStart w:id="20" w:name="_Toc28359092"/>
      <w:bookmarkStart w:id="21" w:name="_Toc26077"/>
      <w:r>
        <w:rPr>
          <w:rFonts w:hint="eastAsia" w:ascii="宋体" w:hAnsi="宋体" w:eastAsia="宋体" w:cs="宋体"/>
          <w:bCs/>
          <w:color w:val="auto"/>
          <w:sz w:val="28"/>
          <w:szCs w:val="28"/>
          <w:highlight w:val="none"/>
        </w:rPr>
        <w:t>1、时间：2024年</w:t>
      </w: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lang w:val="en-US" w:eastAsia="zh-CN"/>
        </w:rPr>
        <w:t>30</w:t>
      </w:r>
      <w:r>
        <w:rPr>
          <w:rFonts w:hint="eastAsia" w:ascii="宋体" w:hAnsi="宋体" w:eastAsia="宋体" w:cs="宋体"/>
          <w:bCs/>
          <w:color w:val="auto"/>
          <w:sz w:val="28"/>
          <w:szCs w:val="28"/>
          <w:highlight w:val="none"/>
        </w:rPr>
        <w:t>日至2024年</w:t>
      </w:r>
      <w:r>
        <w:rPr>
          <w:rFonts w:hint="eastAsia" w:ascii="宋体" w:hAnsi="宋体" w:eastAsia="宋体" w:cs="宋体"/>
          <w:bCs/>
          <w:color w:val="auto"/>
          <w:sz w:val="28"/>
          <w:szCs w:val="28"/>
          <w:highlight w:val="none"/>
          <w:lang w:val="en-US" w:eastAsia="zh-CN"/>
        </w:rPr>
        <w:t>1</w:t>
      </w: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lang w:val="en-US" w:eastAsia="zh-CN"/>
        </w:rPr>
        <w:t>11</w:t>
      </w:r>
      <w:r>
        <w:rPr>
          <w:rFonts w:hint="eastAsia" w:ascii="宋体" w:hAnsi="宋体" w:eastAsia="宋体" w:cs="宋体"/>
          <w:bCs/>
          <w:color w:val="auto"/>
          <w:sz w:val="28"/>
          <w:szCs w:val="28"/>
          <w:highlight w:val="none"/>
        </w:rPr>
        <w:t>日；</w:t>
      </w:r>
    </w:p>
    <w:p w14:paraId="6841D34A">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2、获取方式：</w:t>
      </w:r>
      <w:r>
        <w:rPr>
          <w:rFonts w:hint="eastAsia" w:ascii="宋体" w:hAnsi="宋体" w:eastAsia="宋体" w:cs="宋体"/>
          <w:bCs/>
          <w:color w:val="auto"/>
          <w:sz w:val="28"/>
          <w:szCs w:val="28"/>
          <w:highlight w:val="none"/>
          <w:lang w:val="en-US" w:eastAsia="zh-CN"/>
        </w:rPr>
        <w:t>供应商</w:t>
      </w:r>
      <w:r>
        <w:rPr>
          <w:rFonts w:hint="eastAsia" w:ascii="宋体" w:hAnsi="宋体" w:eastAsia="宋体" w:cs="宋体"/>
          <w:bCs/>
          <w:color w:val="auto"/>
          <w:sz w:val="28"/>
          <w:szCs w:val="28"/>
          <w:highlight w:val="none"/>
        </w:rPr>
        <w:t>在获取时间内线上获取；</w:t>
      </w:r>
    </w:p>
    <w:p w14:paraId="21A7A2CA">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r>
        <w:rPr>
          <w:rFonts w:hint="eastAsia" w:ascii="宋体" w:hAnsi="宋体" w:eastAsia="宋体" w:cs="宋体"/>
          <w:bCs/>
          <w:color w:val="auto"/>
          <w:sz w:val="28"/>
          <w:szCs w:val="28"/>
          <w:highlight w:val="none"/>
          <w:lang w:val="en-US" w:eastAsia="zh-CN"/>
        </w:rPr>
        <w:t>网</w:t>
      </w:r>
      <w:r>
        <w:rPr>
          <w:rFonts w:hint="eastAsia" w:ascii="宋体" w:hAnsi="宋体" w:eastAsia="宋体" w:cs="宋体"/>
          <w:bCs/>
          <w:color w:val="auto"/>
          <w:sz w:val="28"/>
          <w:szCs w:val="28"/>
          <w:highlight w:val="none"/>
        </w:rPr>
        <w:t>址：</w:t>
      </w:r>
      <w:r>
        <w:rPr>
          <w:rFonts w:hint="eastAsia" w:ascii="宋体" w:hAnsi="宋体" w:eastAsia="宋体" w:cs="宋体"/>
          <w:bCs/>
          <w:color w:val="auto"/>
          <w:sz w:val="28"/>
          <w:szCs w:val="28"/>
          <w:highlight w:val="none"/>
          <w:lang w:val="en-US" w:eastAsia="zh-CN"/>
        </w:rPr>
        <w:t xml:space="preserve"> https://slj.luan.gov.cn</w:t>
      </w:r>
      <w:r>
        <w:rPr>
          <w:rFonts w:hint="eastAsia" w:ascii="宋体" w:hAnsi="宋体" w:eastAsia="宋体" w:cs="宋体"/>
          <w:bCs/>
          <w:color w:val="auto"/>
          <w:sz w:val="28"/>
          <w:szCs w:val="28"/>
          <w:highlight w:val="none"/>
        </w:rPr>
        <w:t>；</w:t>
      </w:r>
    </w:p>
    <w:p w14:paraId="300D2A71">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四、响应文件</w:t>
      </w:r>
      <w:bookmarkEnd w:id="17"/>
      <w:bookmarkEnd w:id="18"/>
      <w:bookmarkEnd w:id="19"/>
      <w:bookmarkEnd w:id="20"/>
      <w:r>
        <w:rPr>
          <w:rFonts w:hint="eastAsia" w:ascii="宋体" w:hAnsi="宋体" w:eastAsia="宋体" w:cs="宋体"/>
          <w:b w:val="0"/>
          <w:bCs/>
          <w:color w:val="auto"/>
          <w:sz w:val="28"/>
          <w:szCs w:val="28"/>
          <w:highlight w:val="none"/>
        </w:rPr>
        <w:t>提交</w:t>
      </w:r>
      <w:bookmarkEnd w:id="21"/>
    </w:p>
    <w:p w14:paraId="1EA47F76">
      <w:pPr>
        <w:pStyle w:val="12"/>
        <w:spacing w:after="0" w:line="560" w:lineRule="exact"/>
        <w:ind w:firstLine="560" w:firstLineChars="200"/>
        <w:rPr>
          <w:rFonts w:hint="eastAsia" w:ascii="宋体" w:hAnsi="宋体" w:eastAsia="宋体" w:cs="宋体"/>
          <w:color w:val="auto"/>
          <w:sz w:val="28"/>
          <w:szCs w:val="28"/>
          <w:highlight w:val="none"/>
        </w:rPr>
      </w:pPr>
      <w:bookmarkStart w:id="22" w:name="_Toc35393802"/>
      <w:bookmarkStart w:id="23" w:name="_Toc28359016"/>
      <w:bookmarkStart w:id="24" w:name="_Toc35393633"/>
      <w:bookmarkStart w:id="25" w:name="_Toc28359093"/>
      <w:bookmarkStart w:id="26" w:name="_Toc11900"/>
      <w:r>
        <w:rPr>
          <w:rFonts w:hint="eastAsia" w:ascii="宋体" w:hAnsi="宋体" w:eastAsia="宋体" w:cs="宋体"/>
          <w:color w:val="auto"/>
          <w:sz w:val="28"/>
          <w:szCs w:val="28"/>
          <w:highlight w:val="none"/>
        </w:rPr>
        <w:t>1、截止时</w:t>
      </w:r>
      <w:r>
        <w:rPr>
          <w:rFonts w:hint="eastAsia" w:ascii="宋体" w:hAnsi="宋体" w:eastAsia="宋体" w:cs="宋体"/>
          <w:color w:val="auto"/>
          <w:sz w:val="28"/>
          <w:szCs w:val="28"/>
          <w:highlight w:val="none"/>
        </w:rPr>
        <w:t>间：2024年</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 xml:space="preserve">日 </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分（北京时间）</w:t>
      </w:r>
    </w:p>
    <w:p w14:paraId="641F6883">
      <w:pPr>
        <w:pStyle w:val="12"/>
        <w:spacing w:after="0"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2、地点：</w:t>
      </w:r>
      <w:r>
        <w:rPr>
          <w:rFonts w:hint="eastAsia" w:ascii="宋体" w:hAnsi="宋体" w:eastAsia="宋体" w:cs="宋体"/>
          <w:color w:val="auto"/>
          <w:sz w:val="28"/>
          <w:szCs w:val="28"/>
          <w:highlight w:val="none"/>
        </w:rPr>
        <w:t>六安市水利局7楼会议室</w:t>
      </w:r>
    </w:p>
    <w:p w14:paraId="0899B155">
      <w:pPr>
        <w:pStyle w:val="12"/>
        <w:spacing w:after="0"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3、响应文件提交方式：现场递交纸质标书。逾期送达的或者未送达指定地点的响应文件，采购人不予受理。</w:t>
      </w:r>
    </w:p>
    <w:p w14:paraId="33E8F719">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五、</w:t>
      </w:r>
      <w:bookmarkEnd w:id="22"/>
      <w:bookmarkEnd w:id="23"/>
      <w:bookmarkEnd w:id="24"/>
      <w:bookmarkEnd w:id="25"/>
      <w:r>
        <w:rPr>
          <w:rFonts w:hint="eastAsia" w:ascii="宋体" w:hAnsi="宋体" w:eastAsia="宋体" w:cs="宋体"/>
          <w:b w:val="0"/>
          <w:bCs/>
          <w:color w:val="auto"/>
          <w:sz w:val="28"/>
          <w:szCs w:val="28"/>
          <w:highlight w:val="none"/>
        </w:rPr>
        <w:t>响应文件开启</w:t>
      </w:r>
      <w:bookmarkEnd w:id="26"/>
    </w:p>
    <w:p w14:paraId="40D3D7D8">
      <w:pPr>
        <w:spacing w:line="52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1、时间</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u w:val="single"/>
        </w:rPr>
        <w:t>202</w:t>
      </w:r>
      <w:r>
        <w:rPr>
          <w:rFonts w:hint="eastAsia" w:ascii="宋体" w:hAnsi="宋体" w:eastAsia="宋体" w:cs="宋体"/>
          <w:bCs/>
          <w:color w:val="auto"/>
          <w:sz w:val="28"/>
          <w:szCs w:val="28"/>
          <w:highlight w:val="none"/>
          <w:u w:val="single"/>
          <w:lang w:val="en-US" w:eastAsia="zh-CN"/>
        </w:rPr>
        <w:t>4</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1</w:t>
      </w:r>
      <w:r>
        <w:rPr>
          <w:rFonts w:hint="eastAsia" w:ascii="宋体" w:hAnsi="宋体" w:cs="宋体"/>
          <w:bCs/>
          <w:color w:val="auto"/>
          <w:sz w:val="28"/>
          <w:szCs w:val="28"/>
          <w:highlight w:val="none"/>
          <w:u w:val="single"/>
          <w:lang w:val="en-US" w:eastAsia="zh-CN"/>
        </w:rPr>
        <w:t>1</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u w:val="single"/>
          <w:lang w:val="en-US" w:eastAsia="zh-CN"/>
        </w:rPr>
        <w:t xml:space="preserve"> 11 </w:t>
      </w:r>
      <w:r>
        <w:rPr>
          <w:rFonts w:hint="eastAsia" w:ascii="宋体" w:hAnsi="宋体" w:eastAsia="宋体" w:cs="宋体"/>
          <w:bCs/>
          <w:color w:val="auto"/>
          <w:sz w:val="28"/>
          <w:szCs w:val="28"/>
          <w:highlight w:val="none"/>
        </w:rPr>
        <w:t>日</w:t>
      </w:r>
      <w:r>
        <w:rPr>
          <w:rFonts w:hint="eastAsia" w:ascii="宋体" w:hAnsi="宋体" w:eastAsia="宋体" w:cs="宋体"/>
          <w:bCs/>
          <w:color w:val="auto"/>
          <w:sz w:val="28"/>
          <w:szCs w:val="28"/>
          <w:highlight w:val="none"/>
          <w:u w:val="single"/>
          <w:lang w:val="en-US" w:eastAsia="zh-CN"/>
        </w:rPr>
        <w:t xml:space="preserve"> 9</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点</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30 </w:t>
      </w:r>
      <w:r>
        <w:rPr>
          <w:rFonts w:hint="eastAsia" w:ascii="宋体" w:hAnsi="宋体" w:eastAsia="宋体" w:cs="宋体"/>
          <w:bCs/>
          <w:color w:val="auto"/>
          <w:sz w:val="28"/>
          <w:szCs w:val="28"/>
          <w:highlight w:val="none"/>
        </w:rPr>
        <w:t>分</w:t>
      </w:r>
      <w:r>
        <w:rPr>
          <w:rFonts w:hint="eastAsia" w:ascii="宋体" w:hAnsi="宋体" w:eastAsia="宋体" w:cs="宋体"/>
          <w:color w:val="auto"/>
          <w:sz w:val="28"/>
          <w:szCs w:val="28"/>
          <w:highlight w:val="none"/>
        </w:rPr>
        <w:t>（北京时间）</w:t>
      </w:r>
    </w:p>
    <w:p w14:paraId="28584CB4">
      <w:pPr>
        <w:pStyle w:val="12"/>
        <w:spacing w:after="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2、地点：六安市水利局7楼会议室</w:t>
      </w:r>
    </w:p>
    <w:p w14:paraId="0F0F25BC">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27" w:name="_Toc35393634"/>
      <w:bookmarkStart w:id="28" w:name="_Toc35393803"/>
      <w:bookmarkStart w:id="29" w:name="_Toc28359017"/>
      <w:bookmarkStart w:id="30" w:name="_Toc28359094"/>
      <w:bookmarkStart w:id="31" w:name="_Toc6439"/>
      <w:r>
        <w:rPr>
          <w:rFonts w:hint="eastAsia" w:ascii="宋体" w:hAnsi="宋体" w:eastAsia="宋体" w:cs="宋体"/>
          <w:b w:val="0"/>
          <w:bCs/>
          <w:color w:val="auto"/>
          <w:sz w:val="28"/>
          <w:szCs w:val="28"/>
          <w:highlight w:val="none"/>
        </w:rPr>
        <w:t>六、公告期限</w:t>
      </w:r>
      <w:bookmarkEnd w:id="27"/>
      <w:bookmarkEnd w:id="28"/>
      <w:bookmarkEnd w:id="29"/>
      <w:bookmarkEnd w:id="30"/>
      <w:bookmarkEnd w:id="31"/>
    </w:p>
    <w:p w14:paraId="224333C7">
      <w:pPr>
        <w:spacing w:line="5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自本公告发布之日起3个工作日。</w:t>
      </w:r>
    </w:p>
    <w:p w14:paraId="176CECFC">
      <w:pPr>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w:t>
      </w:r>
      <w:bookmarkStart w:id="32" w:name="_Toc35393804"/>
      <w:bookmarkStart w:id="33" w:name="_Toc35393635"/>
      <w:r>
        <w:rPr>
          <w:rFonts w:hint="eastAsia" w:ascii="宋体" w:hAnsi="宋体" w:eastAsia="宋体" w:cs="宋体"/>
          <w:color w:val="auto"/>
          <w:sz w:val="28"/>
          <w:szCs w:val="28"/>
          <w:highlight w:val="none"/>
        </w:rPr>
        <w:t>其他事宜</w:t>
      </w:r>
      <w:bookmarkEnd w:id="32"/>
      <w:bookmarkEnd w:id="33"/>
      <w:bookmarkStart w:id="34" w:name="_Toc35393636"/>
      <w:bookmarkStart w:id="35" w:name="_Toc28359018"/>
      <w:bookmarkStart w:id="36" w:name="_Toc35393805"/>
      <w:bookmarkStart w:id="37" w:name="_Toc28359095"/>
    </w:p>
    <w:p w14:paraId="340E594F">
      <w:pPr>
        <w:widowControl/>
        <w:shd w:val="clear" w:color="auto" w:fill="FFFFFF"/>
        <w:spacing w:line="520" w:lineRule="exact"/>
        <w:ind w:firstLine="280" w:firstLineChars="100"/>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响应保证金：本项目无需提供。</w:t>
      </w:r>
    </w:p>
    <w:p w14:paraId="496D355B">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38" w:name="_Toc21256"/>
      <w:bookmarkStart w:id="39" w:name="_Toc7807"/>
      <w:r>
        <w:rPr>
          <w:rFonts w:hint="eastAsia" w:ascii="宋体" w:hAnsi="宋体" w:eastAsia="宋体" w:cs="宋体"/>
          <w:b w:val="0"/>
          <w:bCs/>
          <w:color w:val="auto"/>
          <w:sz w:val="28"/>
          <w:szCs w:val="28"/>
          <w:highlight w:val="none"/>
        </w:rPr>
        <w:t>八、凡对本次采购提出询问，请按以下方式联系。</w:t>
      </w:r>
      <w:bookmarkEnd w:id="34"/>
      <w:bookmarkEnd w:id="35"/>
      <w:bookmarkEnd w:id="36"/>
      <w:bookmarkEnd w:id="37"/>
      <w:bookmarkEnd w:id="38"/>
      <w:bookmarkEnd w:id="39"/>
    </w:p>
    <w:p w14:paraId="3244CD41">
      <w:pPr>
        <w:pStyle w:val="5"/>
        <w:adjustRightInd/>
        <w:spacing w:before="0" w:after="0" w:line="560" w:lineRule="exact"/>
        <w:ind w:firstLine="560" w:firstLineChars="200"/>
        <w:jc w:val="both"/>
        <w:textAlignment w:val="auto"/>
        <w:rPr>
          <w:rFonts w:hint="eastAsia" w:ascii="宋体" w:hAnsi="宋体" w:eastAsia="宋体" w:cs="宋体"/>
          <w:b w:val="0"/>
          <w:bCs/>
          <w:color w:val="auto"/>
          <w:sz w:val="28"/>
          <w:szCs w:val="28"/>
          <w:highlight w:val="none"/>
        </w:rPr>
      </w:pPr>
      <w:bookmarkStart w:id="40" w:name="_Toc24687"/>
      <w:bookmarkStart w:id="41" w:name="_Toc35393806"/>
      <w:bookmarkStart w:id="42" w:name="_Toc35393637"/>
      <w:bookmarkStart w:id="43" w:name="_Toc28359019"/>
      <w:bookmarkStart w:id="44" w:name="_Toc28359096"/>
      <w:bookmarkStart w:id="45" w:name="_Toc12167"/>
      <w:r>
        <w:rPr>
          <w:rFonts w:hint="eastAsia" w:ascii="宋体" w:hAnsi="宋体" w:eastAsia="宋体" w:cs="宋体"/>
          <w:b w:val="0"/>
          <w:bCs/>
          <w:color w:val="auto"/>
          <w:sz w:val="28"/>
          <w:szCs w:val="28"/>
          <w:highlight w:val="none"/>
        </w:rPr>
        <w:t>1、采购人信息</w:t>
      </w:r>
      <w:bookmarkEnd w:id="40"/>
      <w:bookmarkEnd w:id="41"/>
      <w:bookmarkEnd w:id="42"/>
      <w:bookmarkEnd w:id="43"/>
      <w:bookmarkEnd w:id="44"/>
      <w:bookmarkEnd w:id="45"/>
    </w:p>
    <w:p w14:paraId="346E6440">
      <w:pPr>
        <w:spacing w:line="560" w:lineRule="exact"/>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名    称：六安市水利</w:t>
      </w:r>
      <w:r>
        <w:rPr>
          <w:rFonts w:hint="eastAsia" w:ascii="宋体" w:hAnsi="宋体" w:eastAsia="宋体" w:cs="宋体"/>
          <w:bCs/>
          <w:color w:val="auto"/>
          <w:sz w:val="28"/>
          <w:szCs w:val="28"/>
          <w:highlight w:val="none"/>
          <w:lang w:val="en-US" w:eastAsia="zh-CN"/>
        </w:rPr>
        <w:t>工程建设管理处</w:t>
      </w:r>
    </w:p>
    <w:p w14:paraId="68924858">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地    址：六安市皖西大道1513号</w:t>
      </w:r>
    </w:p>
    <w:p w14:paraId="11E2D809">
      <w:pPr>
        <w:spacing w:line="560" w:lineRule="exact"/>
        <w:ind w:firstLine="560" w:firstLineChars="200"/>
        <w:rPr>
          <w:rFonts w:hint="eastAsia" w:ascii="宋体" w:hAnsi="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联系方式：</w:t>
      </w:r>
      <w:bookmarkStart w:id="46" w:name="_Toc28359097"/>
      <w:bookmarkStart w:id="47" w:name="_Toc35393807"/>
      <w:bookmarkStart w:id="48" w:name="_Toc28359020"/>
      <w:bookmarkStart w:id="49" w:name="_Toc35393638"/>
      <w:r>
        <w:rPr>
          <w:rFonts w:hint="eastAsia" w:ascii="宋体" w:hAnsi="宋体" w:eastAsia="宋体" w:cs="宋体"/>
          <w:bCs/>
          <w:color w:val="auto"/>
          <w:sz w:val="28"/>
          <w:szCs w:val="28"/>
          <w:highlight w:val="none"/>
          <w:lang w:val="en-US" w:eastAsia="zh-CN"/>
        </w:rPr>
        <w:t>0564 -333</w:t>
      </w:r>
      <w:r>
        <w:rPr>
          <w:rFonts w:hint="eastAsia" w:ascii="宋体" w:hAnsi="宋体" w:cs="宋体"/>
          <w:bCs/>
          <w:color w:val="auto"/>
          <w:sz w:val="28"/>
          <w:szCs w:val="28"/>
          <w:highlight w:val="none"/>
          <w:lang w:val="en-US" w:eastAsia="zh-CN"/>
        </w:rPr>
        <w:t>9100</w:t>
      </w:r>
    </w:p>
    <w:p w14:paraId="424228F8">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2、采购代理机构信息</w:t>
      </w:r>
      <w:bookmarkEnd w:id="46"/>
      <w:bookmarkEnd w:id="47"/>
      <w:bookmarkEnd w:id="48"/>
      <w:bookmarkEnd w:id="49"/>
      <w:bookmarkStart w:id="50" w:name="_Toc28359098"/>
      <w:bookmarkStart w:id="51" w:name="_Toc28359021"/>
      <w:bookmarkStart w:id="52" w:name="_Toc35393808"/>
      <w:bookmarkStart w:id="53" w:name="_Toc35393639"/>
    </w:p>
    <w:p w14:paraId="748CE383">
      <w:pPr>
        <w:spacing w:line="560" w:lineRule="exact"/>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名 称：六安市厚灵工程咨询服务有限公司 </w:t>
      </w:r>
      <w:r>
        <w:rPr>
          <w:rFonts w:hint="eastAsia" w:ascii="宋体" w:hAnsi="宋体" w:eastAsia="宋体" w:cs="宋体"/>
          <w:bCs/>
          <w:color w:val="auto"/>
          <w:sz w:val="28"/>
          <w:szCs w:val="28"/>
          <w:highlight w:val="none"/>
          <w:lang w:val="en-US" w:eastAsia="zh-CN"/>
        </w:rPr>
        <w:t xml:space="preserve"> </w:t>
      </w:r>
    </w:p>
    <w:p w14:paraId="79CDFCE0">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地址：六安市金安区金桥小区二期1号楼1804室                                     </w:t>
      </w:r>
    </w:p>
    <w:p w14:paraId="44011567">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联系人：</w:t>
      </w:r>
      <w:r>
        <w:rPr>
          <w:rFonts w:hint="eastAsia" w:ascii="宋体" w:hAnsi="宋体" w:eastAsia="宋体" w:cs="宋体"/>
          <w:bCs/>
          <w:color w:val="auto"/>
          <w:sz w:val="28"/>
          <w:szCs w:val="28"/>
          <w:highlight w:val="none"/>
          <w:lang w:eastAsia="zh-CN"/>
        </w:rPr>
        <w:t>夏工</w:t>
      </w:r>
      <w:r>
        <w:rPr>
          <w:rFonts w:hint="eastAsia" w:ascii="宋体" w:hAnsi="宋体" w:eastAsia="宋体" w:cs="宋体"/>
          <w:bCs/>
          <w:color w:val="auto"/>
          <w:sz w:val="28"/>
          <w:szCs w:val="28"/>
          <w:highlight w:val="none"/>
        </w:rPr>
        <w:t xml:space="preserve">             </w:t>
      </w:r>
    </w:p>
    <w:p w14:paraId="5EF56632">
      <w:pPr>
        <w:spacing w:line="560" w:lineRule="exact"/>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电话：0564-3330080  </w:t>
      </w:r>
      <w:r>
        <w:rPr>
          <w:rFonts w:hint="eastAsia" w:ascii="宋体" w:hAnsi="宋体" w:eastAsia="宋体" w:cs="宋体"/>
          <w:bCs/>
          <w:color w:val="auto"/>
          <w:sz w:val="28"/>
          <w:szCs w:val="28"/>
          <w:highlight w:val="none"/>
          <w:lang w:val="en-US" w:eastAsia="zh-CN"/>
        </w:rPr>
        <w:t xml:space="preserve"> </w:t>
      </w:r>
    </w:p>
    <w:p w14:paraId="2EBFD299">
      <w:pPr>
        <w:numPr>
          <w:ilvl w:val="0"/>
          <w:numId w:val="1"/>
        </w:num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项目联系方式</w:t>
      </w:r>
      <w:bookmarkEnd w:id="50"/>
      <w:bookmarkEnd w:id="51"/>
      <w:bookmarkEnd w:id="52"/>
      <w:bookmarkEnd w:id="53"/>
    </w:p>
    <w:p w14:paraId="69AA910D">
      <w:pPr>
        <w:widowControl/>
        <w:spacing w:line="560" w:lineRule="exact"/>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项目联系人：</w:t>
      </w:r>
      <w:r>
        <w:rPr>
          <w:rFonts w:hint="eastAsia" w:ascii="宋体" w:hAnsi="宋体" w:eastAsia="宋体" w:cs="宋体"/>
          <w:bCs/>
          <w:color w:val="auto"/>
          <w:sz w:val="28"/>
          <w:szCs w:val="28"/>
          <w:highlight w:val="none"/>
          <w:lang w:eastAsia="zh-CN"/>
        </w:rPr>
        <w:t>夏工</w:t>
      </w:r>
      <w:r>
        <w:rPr>
          <w:rFonts w:hint="eastAsia" w:ascii="宋体" w:hAnsi="宋体" w:eastAsia="宋体" w:cs="宋体"/>
          <w:bCs/>
          <w:color w:val="auto"/>
          <w:sz w:val="28"/>
          <w:szCs w:val="28"/>
          <w:highlight w:val="none"/>
          <w:lang w:val="en-US" w:eastAsia="zh-CN"/>
        </w:rPr>
        <w:t xml:space="preserve"> </w:t>
      </w:r>
    </w:p>
    <w:p w14:paraId="54B25D3E">
      <w:pPr>
        <w:widowControl/>
        <w:spacing w:line="560" w:lineRule="exact"/>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电　   话：</w:t>
      </w:r>
      <w:r>
        <w:rPr>
          <w:rFonts w:hint="eastAsia" w:ascii="宋体" w:hAnsi="宋体" w:eastAsia="宋体" w:cs="宋体"/>
          <w:bCs/>
          <w:color w:val="auto"/>
          <w:sz w:val="28"/>
          <w:szCs w:val="28"/>
          <w:highlight w:val="none"/>
          <w:lang w:val="en-US" w:eastAsia="zh-CN"/>
        </w:rPr>
        <w:t xml:space="preserve"> 0564-</w:t>
      </w:r>
      <w:r>
        <w:rPr>
          <w:rFonts w:hint="eastAsia" w:ascii="宋体" w:hAnsi="宋体" w:eastAsia="宋体" w:cs="宋体"/>
          <w:bCs/>
          <w:color w:val="auto"/>
          <w:sz w:val="28"/>
          <w:szCs w:val="28"/>
          <w:highlight w:val="none"/>
        </w:rPr>
        <w:t>3330080</w:t>
      </w:r>
    </w:p>
    <w:p w14:paraId="50D67361">
      <w:pPr>
        <w:widowControl/>
        <w:spacing w:line="540" w:lineRule="exact"/>
        <w:ind w:firstLine="560" w:firstLineChars="200"/>
        <w:rPr>
          <w:rFonts w:hint="eastAsia" w:ascii="宋体" w:hAnsi="宋体" w:eastAsia="宋体" w:cs="宋体"/>
          <w:bCs/>
          <w:color w:val="auto"/>
          <w:sz w:val="28"/>
          <w:szCs w:val="28"/>
          <w:highlight w:val="none"/>
        </w:rPr>
      </w:pPr>
    </w:p>
    <w:p w14:paraId="52F946CE">
      <w:pPr>
        <w:pStyle w:val="12"/>
        <w:spacing w:line="520" w:lineRule="exact"/>
        <w:ind w:firstLine="0"/>
        <w:rPr>
          <w:rFonts w:hint="eastAsia" w:ascii="宋体" w:hAnsi="宋体" w:eastAsia="宋体" w:cs="宋体"/>
          <w:bCs/>
          <w:color w:val="auto"/>
          <w:sz w:val="28"/>
          <w:szCs w:val="28"/>
          <w:highlight w:val="none"/>
        </w:rPr>
      </w:pPr>
    </w:p>
    <w:p w14:paraId="2E627477">
      <w:pPr>
        <w:spacing w:line="520" w:lineRule="exact"/>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202</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lang w:val="en-US" w:eastAsia="zh-CN"/>
        </w:rPr>
        <w:t>1</w:t>
      </w:r>
      <w:r>
        <w:rPr>
          <w:rFonts w:hint="eastAsia" w:ascii="宋体" w:hAnsi="宋体" w:cs="宋体"/>
          <w:bCs/>
          <w:color w:val="auto"/>
          <w:sz w:val="28"/>
          <w:szCs w:val="28"/>
          <w:highlight w:val="none"/>
          <w:lang w:val="en-US" w:eastAsia="zh-CN"/>
        </w:rPr>
        <w:t>0</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lang w:val="en-US" w:eastAsia="zh-CN"/>
        </w:rPr>
        <w:t>30</w:t>
      </w:r>
      <w:r>
        <w:rPr>
          <w:rFonts w:hint="eastAsia" w:ascii="宋体" w:hAnsi="宋体" w:eastAsia="宋体" w:cs="宋体"/>
          <w:bCs/>
          <w:color w:val="auto"/>
          <w:sz w:val="28"/>
          <w:szCs w:val="28"/>
          <w:highlight w:val="none"/>
        </w:rPr>
        <w:t>日</w:t>
      </w:r>
    </w:p>
    <w:p w14:paraId="57F5E55B">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31E2AC6A">
      <w:pPr>
        <w:pStyle w:val="5"/>
        <w:spacing w:before="120" w:beforeLines="50" w:after="120" w:afterLines="50" w:line="560" w:lineRule="exact"/>
        <w:jc w:val="center"/>
        <w:rPr>
          <w:rFonts w:hint="eastAsia" w:ascii="宋体" w:hAnsi="宋体" w:eastAsia="宋体" w:cs="宋体"/>
          <w:color w:val="auto"/>
          <w:sz w:val="28"/>
          <w:szCs w:val="28"/>
          <w:highlight w:val="none"/>
        </w:rPr>
      </w:pPr>
      <w:bookmarkStart w:id="54" w:name="_Toc21819"/>
      <w:r>
        <w:rPr>
          <w:rFonts w:hint="eastAsia" w:ascii="宋体" w:hAnsi="宋体" w:eastAsia="宋体" w:cs="宋体"/>
          <w:color w:val="auto"/>
          <w:sz w:val="28"/>
          <w:szCs w:val="28"/>
          <w:highlight w:val="none"/>
        </w:rPr>
        <w:t>一、供应商须知</w:t>
      </w:r>
      <w:bookmarkEnd w:id="54"/>
    </w:p>
    <w:p w14:paraId="6C9129B4">
      <w:pPr>
        <w:pStyle w:val="5"/>
        <w:spacing w:before="0" w:after="0" w:line="560" w:lineRule="exact"/>
        <w:jc w:val="center"/>
        <w:rPr>
          <w:rFonts w:hint="eastAsia" w:ascii="宋体" w:hAnsi="宋体" w:eastAsia="宋体" w:cs="宋体"/>
          <w:color w:val="auto"/>
          <w:sz w:val="24"/>
          <w:szCs w:val="24"/>
          <w:highlight w:val="none"/>
        </w:rPr>
      </w:pPr>
      <w:bookmarkStart w:id="55" w:name="_Toc22568"/>
      <w:r>
        <w:rPr>
          <w:rFonts w:hint="eastAsia" w:ascii="宋体" w:hAnsi="宋体" w:eastAsia="宋体" w:cs="宋体"/>
          <w:color w:val="auto"/>
          <w:sz w:val="24"/>
          <w:szCs w:val="24"/>
          <w:highlight w:val="none"/>
        </w:rPr>
        <w:t>（一）须知前附表</w:t>
      </w:r>
      <w:bookmarkEnd w:id="55"/>
    </w:p>
    <w:tbl>
      <w:tblPr>
        <w:tblStyle w:val="1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3EA9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1A99B32">
            <w:pPr>
              <w:spacing w:line="440" w:lineRule="exact"/>
              <w:jc w:val="center"/>
              <w:rPr>
                <w:rFonts w:hint="eastAsia" w:ascii="宋体" w:hAnsi="宋体" w:eastAsia="宋体" w:cs="宋体"/>
                <w:b/>
                <w:color w:val="auto"/>
                <w:sz w:val="24"/>
                <w:szCs w:val="24"/>
                <w:highlight w:val="none"/>
              </w:rPr>
            </w:pPr>
            <w:bookmarkStart w:id="56" w:name="_Toc438107743"/>
            <w:bookmarkStart w:id="57" w:name="_Toc363199267"/>
            <w:bookmarkStart w:id="58" w:name="_Toc216158627"/>
            <w:r>
              <w:rPr>
                <w:rFonts w:hint="eastAsia" w:ascii="宋体" w:hAnsi="宋体" w:eastAsia="宋体" w:cs="宋体"/>
                <w:b/>
                <w:color w:val="auto"/>
                <w:sz w:val="24"/>
                <w:szCs w:val="24"/>
                <w:highlight w:val="none"/>
              </w:rPr>
              <w:t>序号</w:t>
            </w:r>
          </w:p>
        </w:tc>
        <w:tc>
          <w:tcPr>
            <w:tcW w:w="1502" w:type="dxa"/>
            <w:vAlign w:val="center"/>
          </w:tcPr>
          <w:p w14:paraId="0DB26C15">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308" w:type="dxa"/>
            <w:vAlign w:val="center"/>
          </w:tcPr>
          <w:p w14:paraId="7F04FCA3">
            <w:pPr>
              <w:pStyle w:val="28"/>
              <w:widowControl w:val="0"/>
              <w:spacing w:before="0" w:beforeAutospacing="0" w:after="0" w:afterAutospacing="0" w:line="440" w:lineRule="exac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说明与要求</w:t>
            </w:r>
          </w:p>
        </w:tc>
      </w:tr>
      <w:tr w14:paraId="04EF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364CE3A9">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w:t>
            </w:r>
          </w:p>
        </w:tc>
        <w:tc>
          <w:tcPr>
            <w:tcW w:w="1502" w:type="dxa"/>
            <w:vAlign w:val="center"/>
          </w:tcPr>
          <w:p w14:paraId="6CED51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w:t>
            </w:r>
          </w:p>
        </w:tc>
        <w:tc>
          <w:tcPr>
            <w:tcW w:w="7308" w:type="dxa"/>
            <w:vAlign w:val="center"/>
          </w:tcPr>
          <w:p w14:paraId="1284D3D0">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六安市水利</w:t>
            </w:r>
            <w:r>
              <w:rPr>
                <w:rFonts w:hint="eastAsia" w:ascii="宋体" w:hAnsi="宋体" w:eastAsia="宋体" w:cs="宋体"/>
                <w:bCs/>
                <w:color w:val="auto"/>
                <w:sz w:val="24"/>
                <w:szCs w:val="24"/>
                <w:highlight w:val="none"/>
                <w:lang w:val="en-US" w:eastAsia="zh-CN"/>
              </w:rPr>
              <w:t>工程建设管理处</w:t>
            </w:r>
          </w:p>
        </w:tc>
      </w:tr>
      <w:tr w14:paraId="4055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5D4B899A">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2</w:t>
            </w:r>
          </w:p>
        </w:tc>
        <w:tc>
          <w:tcPr>
            <w:tcW w:w="1502" w:type="dxa"/>
            <w:vAlign w:val="center"/>
          </w:tcPr>
          <w:p w14:paraId="6765DD47">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采购代理机构</w:t>
            </w:r>
          </w:p>
        </w:tc>
        <w:tc>
          <w:tcPr>
            <w:tcW w:w="7308" w:type="dxa"/>
            <w:vAlign w:val="center"/>
          </w:tcPr>
          <w:p w14:paraId="3C6FCF8A">
            <w:pPr>
              <w:spacing w:line="44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名称：六安市厚灵工程咨询服务有限公司</w:t>
            </w:r>
          </w:p>
          <w:p w14:paraId="46849557">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eastAsia="zh-CN"/>
              </w:rPr>
              <w:t>地址：六安市金安区金桥小区二期1号楼1804室</w:t>
            </w:r>
          </w:p>
        </w:tc>
      </w:tr>
      <w:tr w14:paraId="21F7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BD392E3">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3</w:t>
            </w:r>
          </w:p>
        </w:tc>
        <w:tc>
          <w:tcPr>
            <w:tcW w:w="1502" w:type="dxa"/>
            <w:vAlign w:val="center"/>
          </w:tcPr>
          <w:p w14:paraId="39777D7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7308" w:type="dxa"/>
            <w:vAlign w:val="center"/>
          </w:tcPr>
          <w:p w14:paraId="3E515653">
            <w:pPr>
              <w:pStyle w:val="28"/>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响应文件提交截止日后60天</w:t>
            </w:r>
          </w:p>
        </w:tc>
      </w:tr>
      <w:tr w14:paraId="3263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E746B46">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rPr>
              <w:t>4</w:t>
            </w:r>
          </w:p>
        </w:tc>
        <w:tc>
          <w:tcPr>
            <w:tcW w:w="1502" w:type="dxa"/>
            <w:vAlign w:val="center"/>
          </w:tcPr>
          <w:p w14:paraId="0D3AAB6E">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项目类型</w:t>
            </w:r>
          </w:p>
        </w:tc>
        <w:tc>
          <w:tcPr>
            <w:tcW w:w="7308" w:type="dxa"/>
            <w:vAlign w:val="center"/>
          </w:tcPr>
          <w:p w14:paraId="02669F85">
            <w:pPr>
              <w:pStyle w:val="28"/>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服务类</w:t>
            </w:r>
          </w:p>
        </w:tc>
      </w:tr>
      <w:tr w14:paraId="2BA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949F6BB">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rPr>
              <w:t>5</w:t>
            </w:r>
          </w:p>
        </w:tc>
        <w:tc>
          <w:tcPr>
            <w:tcW w:w="1502" w:type="dxa"/>
            <w:vAlign w:val="center"/>
          </w:tcPr>
          <w:p w14:paraId="15114DC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08" w:type="dxa"/>
            <w:vAlign w:val="center"/>
          </w:tcPr>
          <w:p w14:paraId="2AA82EB4">
            <w:pPr>
              <w:pStyle w:val="28"/>
              <w:widowControl w:val="0"/>
              <w:spacing w:before="0" w:beforeAutospacing="0" w:after="0" w:afterAutospacing="0"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杭埠河治理工程补充设计项目档案整编</w:t>
            </w:r>
          </w:p>
        </w:tc>
      </w:tr>
      <w:tr w14:paraId="0A05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28BF402F">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6</w:t>
            </w:r>
          </w:p>
        </w:tc>
        <w:tc>
          <w:tcPr>
            <w:tcW w:w="1502" w:type="dxa"/>
            <w:vAlign w:val="center"/>
          </w:tcPr>
          <w:p w14:paraId="1D17766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08" w:type="dxa"/>
            <w:vAlign w:val="center"/>
          </w:tcPr>
          <w:p w14:paraId="49C1F083">
            <w:pPr>
              <w:pStyle w:val="28"/>
              <w:widowControl w:val="0"/>
              <w:spacing w:before="0" w:beforeAutospacing="0" w:after="0" w:afterAutospacing="0" w:line="440" w:lineRule="exact"/>
              <w:jc w:val="both"/>
              <w:rPr>
                <w:rFonts w:hint="default" w:ascii="宋体" w:hAnsi="宋体" w:eastAsia="宋体" w:cs="宋体"/>
                <w:b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LAHL-2024-10-</w:t>
            </w:r>
            <w:r>
              <w:rPr>
                <w:rFonts w:hint="eastAsia" w:cs="宋体"/>
                <w:b w:val="0"/>
                <w:bCs w:val="0"/>
                <w:color w:val="auto"/>
                <w:kern w:val="2"/>
                <w:sz w:val="24"/>
                <w:szCs w:val="24"/>
                <w:highlight w:val="none"/>
                <w:lang w:val="en-US" w:eastAsia="zh-CN" w:bidi="ar-SA"/>
              </w:rPr>
              <w:t>24</w:t>
            </w:r>
          </w:p>
        </w:tc>
      </w:tr>
      <w:tr w14:paraId="41FD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83" w:hRule="atLeast"/>
          <w:jc w:val="center"/>
        </w:trPr>
        <w:tc>
          <w:tcPr>
            <w:tcW w:w="804" w:type="dxa"/>
            <w:vAlign w:val="center"/>
          </w:tcPr>
          <w:p w14:paraId="2F0ECEC3">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7</w:t>
            </w:r>
          </w:p>
        </w:tc>
        <w:tc>
          <w:tcPr>
            <w:tcW w:w="1502" w:type="dxa"/>
            <w:vAlign w:val="center"/>
          </w:tcPr>
          <w:p w14:paraId="7F62EA4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08" w:type="dxa"/>
            <w:vAlign w:val="center"/>
          </w:tcPr>
          <w:p w14:paraId="564FAF70">
            <w:pPr>
              <w:spacing w:line="44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合同签订后支付合同价款的30%作为预付款（须</w:t>
            </w:r>
            <w:r>
              <w:rPr>
                <w:rFonts w:hint="eastAsia" w:ascii="宋体" w:hAnsi="宋体" w:cs="宋体"/>
                <w:b/>
                <w:bCs/>
                <w:color w:val="auto"/>
                <w:sz w:val="24"/>
                <w:highlight w:val="none"/>
                <w:lang w:val="en-US" w:eastAsia="zh-CN"/>
              </w:rPr>
              <w:t>成交供应商提交申请并</w:t>
            </w:r>
            <w:r>
              <w:rPr>
                <w:rFonts w:hint="eastAsia" w:ascii="宋体" w:hAnsi="宋体" w:eastAsia="宋体" w:cs="宋体"/>
                <w:b/>
                <w:bCs/>
                <w:color w:val="auto"/>
                <w:sz w:val="24"/>
                <w:highlight w:val="none"/>
                <w:lang w:val="en-US" w:eastAsia="zh-CN"/>
              </w:rPr>
              <w:t>提供预付款保函后支付），通过档案专项验收后支付至合同价款的90%；</w:t>
            </w:r>
            <w:r>
              <w:rPr>
                <w:rFonts w:hint="eastAsia" w:ascii="宋体" w:hAnsi="宋体" w:cs="宋体"/>
                <w:b/>
                <w:bCs/>
                <w:color w:val="auto"/>
                <w:sz w:val="24"/>
                <w:highlight w:val="none"/>
                <w:lang w:val="en-US" w:eastAsia="zh-CN"/>
              </w:rPr>
              <w:t>完成档案移交</w:t>
            </w:r>
            <w:r>
              <w:rPr>
                <w:rFonts w:hint="eastAsia" w:ascii="宋体" w:hAnsi="宋体" w:eastAsia="宋体" w:cs="宋体"/>
                <w:b/>
                <w:bCs/>
                <w:color w:val="auto"/>
                <w:sz w:val="24"/>
                <w:highlight w:val="none"/>
                <w:lang w:val="en-US" w:eastAsia="zh-CN"/>
              </w:rPr>
              <w:t>后</w:t>
            </w:r>
            <w:r>
              <w:rPr>
                <w:rFonts w:hint="eastAsia" w:ascii="宋体" w:hAnsi="宋体" w:cs="宋体"/>
                <w:b/>
                <w:bCs/>
                <w:color w:val="auto"/>
                <w:sz w:val="24"/>
                <w:highlight w:val="none"/>
                <w:lang w:val="en-US" w:eastAsia="zh-CN"/>
              </w:rPr>
              <w:t>（含软件挂接）</w:t>
            </w:r>
            <w:r>
              <w:rPr>
                <w:rFonts w:hint="eastAsia" w:ascii="宋体" w:hAnsi="宋体" w:eastAsia="宋体" w:cs="宋体"/>
                <w:b/>
                <w:bCs/>
                <w:color w:val="auto"/>
                <w:sz w:val="24"/>
                <w:highlight w:val="none"/>
                <w:lang w:val="en-US" w:eastAsia="zh-CN"/>
              </w:rPr>
              <w:t>支付剩余尾款；</w:t>
            </w:r>
          </w:p>
          <w:p w14:paraId="477E4A65">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（供应商提交的响应文件中如有关于付款条件的表述与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文件规定不符，将被视为实质性不响应，将导致响应无效）</w:t>
            </w:r>
          </w:p>
        </w:tc>
      </w:tr>
      <w:tr w14:paraId="2E02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CBD8937">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8</w:t>
            </w:r>
          </w:p>
        </w:tc>
        <w:tc>
          <w:tcPr>
            <w:tcW w:w="1502" w:type="dxa"/>
            <w:vAlign w:val="center"/>
          </w:tcPr>
          <w:p w14:paraId="64AA473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308" w:type="dxa"/>
            <w:vAlign w:val="center"/>
          </w:tcPr>
          <w:p w14:paraId="39E0CC1B">
            <w:pPr>
              <w:widowControl/>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至竣工验收档案移交完成止（其中2025年6月底前完成档案整编工作）。</w:t>
            </w:r>
          </w:p>
        </w:tc>
      </w:tr>
      <w:tr w14:paraId="64AE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A841CE1">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9</w:t>
            </w:r>
          </w:p>
        </w:tc>
        <w:tc>
          <w:tcPr>
            <w:tcW w:w="1502" w:type="dxa"/>
            <w:vAlign w:val="center"/>
          </w:tcPr>
          <w:p w14:paraId="24BBB331">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color w:val="auto"/>
                <w:szCs w:val="24"/>
                <w:highlight w:val="none"/>
              </w:rPr>
            </w:pPr>
            <w:r>
              <w:rPr>
                <w:rFonts w:hint="eastAsia" w:ascii="宋体" w:hAnsi="宋体" w:eastAsia="宋体" w:cs="宋体"/>
                <w:bCs/>
                <w:color w:val="auto"/>
                <w:kern w:val="2"/>
                <w:szCs w:val="24"/>
                <w:highlight w:val="none"/>
              </w:rPr>
              <w:t>代理服务费</w:t>
            </w:r>
          </w:p>
        </w:tc>
        <w:tc>
          <w:tcPr>
            <w:tcW w:w="7308" w:type="dxa"/>
            <w:vAlign w:val="center"/>
          </w:tcPr>
          <w:p w14:paraId="25F90423">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Cs/>
                <w:color w:val="auto"/>
                <w:kern w:val="2"/>
                <w:szCs w:val="24"/>
                <w:highlight w:val="none"/>
              </w:rPr>
              <w:t>本项目代理服务费和专家评审费由成交</w:t>
            </w:r>
            <w:r>
              <w:rPr>
                <w:rFonts w:hint="eastAsia" w:ascii="宋体" w:hAnsi="宋体" w:eastAsia="宋体" w:cs="宋体"/>
                <w:bCs/>
                <w:color w:val="auto"/>
                <w:kern w:val="2"/>
                <w:szCs w:val="24"/>
                <w:highlight w:val="none"/>
                <w:lang w:val="en-US"/>
              </w:rPr>
              <w:t>供应商</w:t>
            </w:r>
            <w:r>
              <w:rPr>
                <w:rFonts w:hint="eastAsia" w:ascii="宋体" w:hAnsi="宋体" w:eastAsia="宋体" w:cs="宋体"/>
                <w:bCs/>
                <w:color w:val="auto"/>
                <w:kern w:val="2"/>
                <w:szCs w:val="24"/>
                <w:highlight w:val="none"/>
              </w:rPr>
              <w:t>支付，成交</w:t>
            </w:r>
            <w:r>
              <w:rPr>
                <w:rFonts w:hint="eastAsia" w:ascii="宋体" w:hAnsi="宋体" w:eastAsia="宋体" w:cs="宋体"/>
                <w:bCs/>
                <w:color w:val="auto"/>
                <w:kern w:val="2"/>
                <w:szCs w:val="24"/>
                <w:highlight w:val="none"/>
                <w:lang w:val="en-US"/>
              </w:rPr>
              <w:t>供应商</w:t>
            </w:r>
            <w:r>
              <w:rPr>
                <w:rFonts w:hint="eastAsia" w:ascii="宋体" w:hAnsi="宋体" w:eastAsia="宋体" w:cs="宋体"/>
                <w:bCs/>
                <w:color w:val="auto"/>
                <w:kern w:val="2"/>
                <w:szCs w:val="24"/>
                <w:highlight w:val="none"/>
              </w:rPr>
              <w:t>在响应报价中需充分考虑本项目代理服务费和专家评审费等相关费用，成交</w:t>
            </w:r>
            <w:r>
              <w:rPr>
                <w:rFonts w:hint="eastAsia" w:ascii="宋体" w:hAnsi="宋体" w:eastAsia="宋体" w:cs="宋体"/>
                <w:bCs/>
                <w:color w:val="auto"/>
                <w:kern w:val="2"/>
                <w:szCs w:val="24"/>
                <w:highlight w:val="none"/>
                <w:lang w:val="en-US"/>
              </w:rPr>
              <w:t>供应商</w:t>
            </w:r>
            <w:r>
              <w:rPr>
                <w:rFonts w:hint="eastAsia" w:ascii="宋体" w:hAnsi="宋体" w:eastAsia="宋体" w:cs="宋体"/>
                <w:bCs/>
                <w:color w:val="auto"/>
                <w:kern w:val="2"/>
                <w:szCs w:val="24"/>
                <w:highlight w:val="none"/>
              </w:rPr>
              <w:t>领取成交通知书前一次性支付，代理服务费按</w:t>
            </w:r>
            <w:r>
              <w:rPr>
                <w:rFonts w:hint="eastAsia" w:ascii="宋体" w:hAnsi="宋体" w:eastAsia="宋体" w:cs="宋体"/>
                <w:bCs/>
                <w:color w:val="auto"/>
                <w:kern w:val="2"/>
                <w:szCs w:val="24"/>
                <w:highlight w:val="none"/>
              </w:rPr>
              <w:t>以</w:t>
            </w:r>
            <w:r>
              <w:rPr>
                <w:rFonts w:hint="eastAsia" w:ascii="宋体" w:hAnsi="宋体" w:eastAsia="宋体" w:cs="宋体"/>
                <w:bCs/>
                <w:color w:val="auto"/>
                <w:kern w:val="2"/>
                <w:szCs w:val="24"/>
                <w:highlight w:val="none"/>
                <w:lang w:val="en-US"/>
              </w:rPr>
              <w:t>成交</w:t>
            </w:r>
            <w:r>
              <w:rPr>
                <w:rFonts w:hint="eastAsia" w:ascii="宋体" w:hAnsi="宋体" w:eastAsia="宋体" w:cs="宋体"/>
                <w:bCs/>
                <w:color w:val="auto"/>
                <w:kern w:val="2"/>
                <w:szCs w:val="24"/>
                <w:highlight w:val="none"/>
              </w:rPr>
              <w:t>金额为计算基础，</w:t>
            </w:r>
            <w:r>
              <w:rPr>
                <w:rFonts w:hint="eastAsia" w:ascii="宋体" w:hAnsi="宋体" w:eastAsia="宋体" w:cs="宋体"/>
                <w:bCs/>
                <w:color w:val="auto"/>
                <w:kern w:val="2"/>
                <w:szCs w:val="24"/>
                <w:highlight w:val="none"/>
                <w:lang w:val="en-US"/>
              </w:rPr>
              <w:t>收费标准</w:t>
            </w:r>
            <w:r>
              <w:rPr>
                <w:rFonts w:hint="eastAsia" w:ascii="宋体" w:hAnsi="宋体" w:eastAsia="宋体" w:cs="宋体"/>
                <w:bCs/>
                <w:color w:val="auto"/>
                <w:kern w:val="2"/>
                <w:szCs w:val="24"/>
                <w:highlight w:val="none"/>
                <w:lang w:val="en-US" w:eastAsia="zh-CN"/>
              </w:rPr>
              <w:t>如下（按差额定率累进法）：</w:t>
            </w:r>
          </w:p>
          <w:tbl>
            <w:tblPr>
              <w:tblStyle w:val="14"/>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500"/>
              <w:gridCol w:w="1483"/>
              <w:gridCol w:w="1525"/>
            </w:tblGrid>
            <w:tr w14:paraId="1536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1F0124B6">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rPr>
                  </w:pPr>
                  <w:r>
                    <w:rPr>
                      <w:rFonts w:hint="eastAsia" w:ascii="宋体" w:hAnsi="宋体" w:eastAsia="宋体" w:cs="宋体"/>
                      <w:b/>
                      <w:bCs/>
                      <w:color w:val="auto"/>
                      <w:kern w:val="0"/>
                      <w:sz w:val="22"/>
                      <w:szCs w:val="22"/>
                      <w:highlight w:val="none"/>
                      <w:lang w:val="en-US" w:eastAsia="zh-CN" w:bidi="ar"/>
                    </w:rPr>
                    <w:t>中标（成交）金额（万元）</w:t>
                  </w:r>
                </w:p>
              </w:tc>
              <w:tc>
                <w:tcPr>
                  <w:tcW w:w="1500" w:type="dxa"/>
                </w:tcPr>
                <w:p w14:paraId="017D6FFC">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货物类项目</w:t>
                  </w:r>
                </w:p>
              </w:tc>
              <w:tc>
                <w:tcPr>
                  <w:tcW w:w="1483" w:type="dxa"/>
                </w:tcPr>
                <w:p w14:paraId="42088083">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服务类项目</w:t>
                  </w:r>
                </w:p>
              </w:tc>
              <w:tc>
                <w:tcPr>
                  <w:tcW w:w="1525" w:type="dxa"/>
                </w:tcPr>
                <w:p w14:paraId="12C0BD09">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工程类项目</w:t>
                  </w:r>
                </w:p>
              </w:tc>
            </w:tr>
            <w:tr w14:paraId="3FA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0A129DE6">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100以下</w:t>
                  </w:r>
                </w:p>
              </w:tc>
              <w:tc>
                <w:tcPr>
                  <w:tcW w:w="1500" w:type="dxa"/>
                </w:tcPr>
                <w:p w14:paraId="6E015E70">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1.5%</w:t>
                  </w:r>
                </w:p>
              </w:tc>
              <w:tc>
                <w:tcPr>
                  <w:tcW w:w="1483" w:type="dxa"/>
                </w:tcPr>
                <w:p w14:paraId="4C2C6533">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rPr>
                  </w:pPr>
                  <w:r>
                    <w:rPr>
                      <w:rFonts w:hint="eastAsia" w:ascii="宋体" w:hAnsi="宋体" w:eastAsia="宋体" w:cs="宋体"/>
                      <w:bCs/>
                      <w:color w:val="auto"/>
                      <w:kern w:val="2"/>
                      <w:szCs w:val="24"/>
                      <w:highlight w:val="none"/>
                      <w:vertAlign w:val="baseline"/>
                      <w:lang w:val="en-US" w:eastAsia="zh-CN"/>
                    </w:rPr>
                    <w:t>1.5%</w:t>
                  </w:r>
                </w:p>
              </w:tc>
              <w:tc>
                <w:tcPr>
                  <w:tcW w:w="1525" w:type="dxa"/>
                </w:tcPr>
                <w:p w14:paraId="5525B6E3">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rPr>
                  </w:pPr>
                  <w:r>
                    <w:rPr>
                      <w:rFonts w:hint="eastAsia" w:ascii="宋体" w:hAnsi="宋体" w:eastAsia="宋体" w:cs="宋体"/>
                      <w:bCs/>
                      <w:color w:val="auto"/>
                      <w:kern w:val="2"/>
                      <w:szCs w:val="24"/>
                      <w:highlight w:val="none"/>
                      <w:vertAlign w:val="baseline"/>
                      <w:lang w:val="en-US" w:eastAsia="zh-CN"/>
                    </w:rPr>
                    <w:t>1.0%</w:t>
                  </w:r>
                </w:p>
              </w:tc>
            </w:tr>
            <w:tr w14:paraId="6063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4" w:type="dxa"/>
                </w:tcPr>
                <w:p w14:paraId="359D4CA9">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100-500</w:t>
                  </w:r>
                </w:p>
              </w:tc>
              <w:tc>
                <w:tcPr>
                  <w:tcW w:w="1500" w:type="dxa"/>
                </w:tcPr>
                <w:p w14:paraId="6B0BEF31">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1.1%</w:t>
                  </w:r>
                </w:p>
              </w:tc>
              <w:tc>
                <w:tcPr>
                  <w:tcW w:w="1483" w:type="dxa"/>
                </w:tcPr>
                <w:p w14:paraId="729A8E20">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0.8%</w:t>
                  </w:r>
                </w:p>
              </w:tc>
              <w:tc>
                <w:tcPr>
                  <w:tcW w:w="1525" w:type="dxa"/>
                </w:tcPr>
                <w:p w14:paraId="045A6A1A">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0.7%</w:t>
                  </w:r>
                </w:p>
              </w:tc>
            </w:tr>
            <w:tr w14:paraId="440D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4B4CC0FA">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500-1000</w:t>
                  </w:r>
                </w:p>
              </w:tc>
              <w:tc>
                <w:tcPr>
                  <w:tcW w:w="1500" w:type="dxa"/>
                </w:tcPr>
                <w:p w14:paraId="7380DDAE">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0.8%</w:t>
                  </w:r>
                </w:p>
              </w:tc>
              <w:tc>
                <w:tcPr>
                  <w:tcW w:w="1483" w:type="dxa"/>
                </w:tcPr>
                <w:p w14:paraId="3A11C786">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0.45%</w:t>
                  </w:r>
                </w:p>
              </w:tc>
              <w:tc>
                <w:tcPr>
                  <w:tcW w:w="1525" w:type="dxa"/>
                </w:tcPr>
                <w:p w14:paraId="541E5BD9">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0.55%</w:t>
                  </w:r>
                </w:p>
              </w:tc>
            </w:tr>
            <w:tr w14:paraId="34B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66EBE84E">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1000-5000</w:t>
                  </w:r>
                </w:p>
              </w:tc>
              <w:tc>
                <w:tcPr>
                  <w:tcW w:w="1500" w:type="dxa"/>
                </w:tcPr>
                <w:p w14:paraId="1EADE778">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0.5%</w:t>
                  </w:r>
                </w:p>
              </w:tc>
              <w:tc>
                <w:tcPr>
                  <w:tcW w:w="1483" w:type="dxa"/>
                </w:tcPr>
                <w:p w14:paraId="6D1A2A6C">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0.25%</w:t>
                  </w:r>
                </w:p>
              </w:tc>
              <w:tc>
                <w:tcPr>
                  <w:tcW w:w="1525" w:type="dxa"/>
                </w:tcPr>
                <w:p w14:paraId="3F2837B6">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0.35%</w:t>
                  </w:r>
                </w:p>
              </w:tc>
            </w:tr>
            <w:tr w14:paraId="07BC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7752D3E4">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5000-10000</w:t>
                  </w:r>
                </w:p>
              </w:tc>
              <w:tc>
                <w:tcPr>
                  <w:tcW w:w="1500" w:type="dxa"/>
                </w:tcPr>
                <w:p w14:paraId="1C237C60">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0.25%</w:t>
                  </w:r>
                </w:p>
              </w:tc>
              <w:tc>
                <w:tcPr>
                  <w:tcW w:w="1483" w:type="dxa"/>
                </w:tcPr>
                <w:p w14:paraId="7B915943">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0.1%</w:t>
                  </w:r>
                </w:p>
              </w:tc>
              <w:tc>
                <w:tcPr>
                  <w:tcW w:w="1525" w:type="dxa"/>
                </w:tcPr>
                <w:p w14:paraId="0B0FF31C">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0.2%</w:t>
                  </w:r>
                </w:p>
              </w:tc>
            </w:tr>
            <w:tr w14:paraId="5B76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0CE41297">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10000-100000</w:t>
                  </w:r>
                </w:p>
              </w:tc>
              <w:tc>
                <w:tcPr>
                  <w:tcW w:w="1500" w:type="dxa"/>
                </w:tcPr>
                <w:p w14:paraId="1D0E8B08">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0.05%</w:t>
                  </w:r>
                </w:p>
              </w:tc>
              <w:tc>
                <w:tcPr>
                  <w:tcW w:w="1483" w:type="dxa"/>
                </w:tcPr>
                <w:p w14:paraId="2F0FD87F">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0.05%</w:t>
                  </w:r>
                </w:p>
              </w:tc>
              <w:tc>
                <w:tcPr>
                  <w:tcW w:w="1525" w:type="dxa"/>
                </w:tcPr>
                <w:p w14:paraId="752F3938">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0.05%</w:t>
                  </w:r>
                </w:p>
              </w:tc>
            </w:tr>
            <w:tr w14:paraId="6661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14:paraId="2DEA8CD1">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100000以上</w:t>
                  </w:r>
                </w:p>
              </w:tc>
              <w:tc>
                <w:tcPr>
                  <w:tcW w:w="1500" w:type="dxa"/>
                </w:tcPr>
                <w:p w14:paraId="3DE90D32">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0.01%</w:t>
                  </w:r>
                </w:p>
              </w:tc>
              <w:tc>
                <w:tcPr>
                  <w:tcW w:w="1483" w:type="dxa"/>
                </w:tcPr>
                <w:p w14:paraId="60EF1128">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0.01%</w:t>
                  </w:r>
                </w:p>
              </w:tc>
              <w:tc>
                <w:tcPr>
                  <w:tcW w:w="1525" w:type="dxa"/>
                </w:tcPr>
                <w:p w14:paraId="56F61991">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vertAlign w:val="baseline"/>
                      <w:lang w:val="en-US" w:eastAsia="zh-CN"/>
                    </w:rPr>
                  </w:pPr>
                  <w:r>
                    <w:rPr>
                      <w:rFonts w:hint="eastAsia" w:ascii="宋体" w:hAnsi="宋体" w:eastAsia="宋体" w:cs="宋体"/>
                      <w:bCs/>
                      <w:color w:val="auto"/>
                      <w:kern w:val="2"/>
                      <w:szCs w:val="24"/>
                      <w:highlight w:val="none"/>
                      <w:vertAlign w:val="baseline"/>
                      <w:lang w:val="en-US" w:eastAsia="zh-CN"/>
                    </w:rPr>
                    <w:t>0.01%</w:t>
                  </w:r>
                </w:p>
              </w:tc>
            </w:tr>
          </w:tbl>
          <w:p w14:paraId="66583347">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szCs w:val="24"/>
                <w:highlight w:val="none"/>
                <w:lang w:val="en-US"/>
              </w:rPr>
            </w:pPr>
            <w:r>
              <w:rPr>
                <w:rFonts w:hint="eastAsia" w:ascii="宋体" w:hAnsi="宋体" w:eastAsia="宋体" w:cs="宋体"/>
                <w:bCs/>
                <w:color w:val="auto"/>
                <w:kern w:val="2"/>
                <w:szCs w:val="24"/>
                <w:highlight w:val="none"/>
                <w:lang w:val="en-US"/>
              </w:rPr>
              <w:t>，</w:t>
            </w:r>
            <w:r>
              <w:rPr>
                <w:rFonts w:hint="eastAsia" w:ascii="宋体" w:hAnsi="宋体" w:eastAsia="宋体" w:cs="宋体"/>
                <w:b w:val="0"/>
                <w:bCs w:val="0"/>
                <w:color w:val="auto"/>
                <w:sz w:val="24"/>
                <w:szCs w:val="24"/>
                <w:highlight w:val="none"/>
              </w:rPr>
              <w:t>不足3000元的按3000元固定标准收费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Cs/>
                <w:color w:val="auto"/>
                <w:kern w:val="2"/>
                <w:szCs w:val="24"/>
                <w:highlight w:val="none"/>
                <w:lang w:val="en-US"/>
              </w:rPr>
              <w:t>专家评审费按实收取</w:t>
            </w:r>
            <w:r>
              <w:rPr>
                <w:rFonts w:hint="eastAsia" w:ascii="宋体" w:hAnsi="宋体" w:eastAsia="宋体" w:cs="宋体"/>
                <w:bCs/>
                <w:color w:val="auto"/>
                <w:kern w:val="2"/>
                <w:szCs w:val="24"/>
                <w:highlight w:val="none"/>
              </w:rPr>
              <w:t>。</w:t>
            </w:r>
            <w:r>
              <w:rPr>
                <w:rFonts w:hint="eastAsia" w:ascii="宋体" w:hAnsi="宋体" w:eastAsia="宋体" w:cs="宋体"/>
                <w:color w:val="auto"/>
                <w:szCs w:val="24"/>
                <w:highlight w:val="none"/>
              </w:rPr>
              <w:t>此项费用无需单列，供应商综合考虑到报价中。</w:t>
            </w:r>
          </w:p>
        </w:tc>
      </w:tr>
      <w:tr w14:paraId="0161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D6C4DD0">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10</w:t>
            </w:r>
          </w:p>
        </w:tc>
        <w:tc>
          <w:tcPr>
            <w:tcW w:w="1502" w:type="dxa"/>
            <w:vAlign w:val="center"/>
          </w:tcPr>
          <w:p w14:paraId="701FF8E0">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履约保证金</w:t>
            </w:r>
          </w:p>
        </w:tc>
        <w:tc>
          <w:tcPr>
            <w:tcW w:w="7308" w:type="dxa"/>
            <w:vAlign w:val="center"/>
          </w:tcPr>
          <w:p w14:paraId="688E4171">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本项目不作要求。</w:t>
            </w:r>
          </w:p>
        </w:tc>
      </w:tr>
      <w:tr w14:paraId="28FB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B27C6B0">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11</w:t>
            </w:r>
          </w:p>
        </w:tc>
        <w:tc>
          <w:tcPr>
            <w:tcW w:w="1502" w:type="dxa"/>
            <w:vAlign w:val="center"/>
          </w:tcPr>
          <w:p w14:paraId="55043E61">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勘察及对接</w:t>
            </w:r>
          </w:p>
        </w:tc>
        <w:tc>
          <w:tcPr>
            <w:tcW w:w="7308" w:type="dxa"/>
            <w:vAlign w:val="center"/>
          </w:tcPr>
          <w:p w14:paraId="08793110">
            <w:pPr>
              <w:pStyle w:val="29"/>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请各供应商联系采购单位自行勘踏，采购人免费提供项目实施过程中各项对接协调服务。</w:t>
            </w:r>
          </w:p>
        </w:tc>
      </w:tr>
      <w:tr w14:paraId="0D5F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005EECC0">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12</w:t>
            </w:r>
          </w:p>
        </w:tc>
        <w:tc>
          <w:tcPr>
            <w:tcW w:w="1502" w:type="dxa"/>
            <w:vAlign w:val="center"/>
          </w:tcPr>
          <w:p w14:paraId="01A58729">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提问与回复</w:t>
            </w:r>
          </w:p>
        </w:tc>
        <w:tc>
          <w:tcPr>
            <w:tcW w:w="7308" w:type="dxa"/>
            <w:vAlign w:val="center"/>
          </w:tcPr>
          <w:p w14:paraId="7EE6A19C">
            <w:pPr>
              <w:pStyle w:val="28"/>
              <w:widowControl w:val="0"/>
              <w:spacing w:before="0" w:beforeAutospacing="0" w:after="0" w:afterAutospacing="0" w:line="46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供应商应仔细阅读采购文件及采购需求，有任何疑问应以书面方式向采购人或采购代理机构提出澄清要求。</w:t>
            </w:r>
          </w:p>
          <w:p w14:paraId="2FADF8BD">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color w:val="auto"/>
                <w:kern w:val="2"/>
                <w:szCs w:val="24"/>
                <w:highlight w:val="none"/>
              </w:rPr>
              <w:t>供应商请注意</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如需要</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采购人将以书面形式向所有供应商发布澄清文件</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该澄清文件内容为采购文件的组成部分</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对响应供应商具有同样约束力。</w:t>
            </w:r>
          </w:p>
        </w:tc>
      </w:tr>
      <w:tr w14:paraId="1552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254CBB1">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13</w:t>
            </w:r>
          </w:p>
        </w:tc>
        <w:tc>
          <w:tcPr>
            <w:tcW w:w="1502" w:type="dxa"/>
            <w:vAlign w:val="center"/>
          </w:tcPr>
          <w:p w14:paraId="2E324B38">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响应文件份数及要求</w:t>
            </w:r>
          </w:p>
        </w:tc>
        <w:tc>
          <w:tcPr>
            <w:tcW w:w="7308" w:type="dxa"/>
            <w:vAlign w:val="center"/>
          </w:tcPr>
          <w:p w14:paraId="2D485784">
            <w:pPr>
              <w:pStyle w:val="29"/>
              <w:pBdr>
                <w:bottom w:val="none" w:color="auto" w:sz="0" w:space="0"/>
              </w:pBdr>
              <w:tabs>
                <w:tab w:val="clear" w:pos="4153"/>
                <w:tab w:val="clear" w:pos="8306"/>
              </w:tabs>
              <w:adjustRightInd/>
              <w:spacing w:line="460" w:lineRule="exact"/>
              <w:jc w:val="left"/>
              <w:rPr>
                <w:rFonts w:hint="eastAsia" w:ascii="宋体" w:hAnsi="宋体" w:eastAsia="宋体" w:cs="宋体"/>
                <w:color w:val="auto"/>
                <w:highlight w:val="none"/>
              </w:rPr>
            </w:pPr>
            <w:r>
              <w:rPr>
                <w:rFonts w:hint="eastAsia" w:ascii="宋体" w:hAnsi="宋体" w:eastAsia="宋体" w:cs="宋体"/>
                <w:bCs/>
                <w:color w:val="auto"/>
                <w:kern w:val="2"/>
                <w:szCs w:val="24"/>
                <w:highlight w:val="none"/>
              </w:rPr>
              <w:t>1、</w:t>
            </w:r>
            <w:r>
              <w:rPr>
                <w:rFonts w:hint="eastAsia" w:ascii="宋体" w:hAnsi="宋体" w:eastAsia="宋体" w:cs="宋体"/>
                <w:color w:val="auto"/>
                <w:highlight w:val="none"/>
              </w:rPr>
              <w:t>响应文件壹式肆份。其中，正本壹份、副本叁份。当响应文件正本和副本内容不一致时，以正本内容为准，供应商应无异议，否则作无效响应文件处理。响应文件建议胶装成册。</w:t>
            </w:r>
          </w:p>
          <w:p w14:paraId="5BF077B8">
            <w:pPr>
              <w:pStyle w:val="29"/>
              <w:pBdr>
                <w:bottom w:val="none" w:color="auto" w:sz="0" w:space="0"/>
              </w:pBdr>
              <w:tabs>
                <w:tab w:val="clear" w:pos="4153"/>
                <w:tab w:val="clear" w:pos="8306"/>
              </w:tabs>
              <w:adjustRightInd/>
              <w:spacing w:line="460" w:lineRule="exact"/>
              <w:jc w:val="left"/>
              <w:rPr>
                <w:rFonts w:hint="eastAsia" w:ascii="宋体" w:hAnsi="宋体" w:eastAsia="宋体" w:cs="宋体"/>
                <w:bCs/>
                <w:color w:val="auto"/>
                <w:kern w:val="2"/>
                <w:szCs w:val="24"/>
                <w:highlight w:val="none"/>
              </w:rPr>
            </w:pPr>
            <w:r>
              <w:rPr>
                <w:rFonts w:hint="eastAsia" w:ascii="宋体" w:hAnsi="宋体" w:eastAsia="宋体" w:cs="宋体"/>
                <w:color w:val="auto"/>
                <w:highlight w:val="none"/>
                <w:lang w:val="en-US"/>
              </w:rPr>
              <w:t>2</w:t>
            </w:r>
            <w:r>
              <w:rPr>
                <w:rFonts w:hint="eastAsia" w:ascii="宋体" w:hAnsi="宋体" w:eastAsia="宋体" w:cs="宋体"/>
                <w:color w:val="auto"/>
                <w:highlight w:val="none"/>
              </w:rPr>
              <w:t>、供应商应将响应文件密封递交，并在封袋上加盖供应商公章。</w:t>
            </w:r>
          </w:p>
        </w:tc>
      </w:tr>
      <w:tr w14:paraId="381D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DCC0912">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14</w:t>
            </w:r>
          </w:p>
        </w:tc>
        <w:tc>
          <w:tcPr>
            <w:tcW w:w="1502" w:type="dxa"/>
            <w:vAlign w:val="center"/>
          </w:tcPr>
          <w:p w14:paraId="57F233AE">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递交响应文件注意事项</w:t>
            </w:r>
          </w:p>
        </w:tc>
        <w:tc>
          <w:tcPr>
            <w:tcW w:w="7308" w:type="dxa"/>
            <w:vAlign w:val="center"/>
          </w:tcPr>
          <w:p w14:paraId="51CBCFC1">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响应文件必须在响应截止时间前现场递交。</w:t>
            </w:r>
          </w:p>
        </w:tc>
      </w:tr>
      <w:tr w14:paraId="6BE9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08" w:hRule="atLeast"/>
          <w:jc w:val="center"/>
        </w:trPr>
        <w:tc>
          <w:tcPr>
            <w:tcW w:w="804" w:type="dxa"/>
            <w:vAlign w:val="center"/>
          </w:tcPr>
          <w:p w14:paraId="0F287E6B">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15</w:t>
            </w:r>
          </w:p>
        </w:tc>
        <w:tc>
          <w:tcPr>
            <w:tcW w:w="1502" w:type="dxa"/>
            <w:vAlign w:val="center"/>
          </w:tcPr>
          <w:p w14:paraId="34650AAB">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备注一</w:t>
            </w:r>
          </w:p>
        </w:tc>
        <w:tc>
          <w:tcPr>
            <w:tcW w:w="7308" w:type="dxa"/>
            <w:vAlign w:val="center"/>
          </w:tcPr>
          <w:p w14:paraId="02174830">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1、存在以下不良信用记录情形之一的，不得推荐为成交候选供应商,评审时</w:t>
            </w:r>
            <w:r>
              <w:rPr>
                <w:rFonts w:hint="eastAsia" w:ascii="宋体" w:hAnsi="宋体" w:eastAsia="宋体" w:cs="宋体"/>
                <w:bCs/>
                <w:color w:val="auto"/>
                <w:kern w:val="2"/>
                <w:szCs w:val="24"/>
                <w:highlight w:val="none"/>
                <w:lang w:eastAsia="zh-CN"/>
              </w:rPr>
              <w:t>磋商</w:t>
            </w:r>
            <w:r>
              <w:rPr>
                <w:rFonts w:hint="eastAsia" w:ascii="宋体" w:hAnsi="宋体" w:eastAsia="宋体" w:cs="宋体"/>
                <w:bCs/>
                <w:color w:val="auto"/>
                <w:kern w:val="2"/>
                <w:szCs w:val="24"/>
                <w:highlight w:val="none"/>
              </w:rPr>
              <w:t>小组应当按照下列第3条不良信用记录查询渠道对供应商是否存在不良信用记录进行查询：</w:t>
            </w:r>
          </w:p>
          <w:p w14:paraId="20353D7E">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（1）供应商被人民法院列入失信被执行人的；</w:t>
            </w:r>
          </w:p>
          <w:p w14:paraId="48CB1F9E">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（2）供应商被市场监督管理部门列入企业经营异常名录的；</w:t>
            </w:r>
          </w:p>
          <w:p w14:paraId="50C46DE8">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（3）供应商被税务部门列入重大税收违法案件当事人名单的；</w:t>
            </w:r>
          </w:p>
          <w:p w14:paraId="07F56872">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（4）供应商被监管部门列入严重违法失信行为记录名单的。</w:t>
            </w:r>
          </w:p>
          <w:p w14:paraId="382F0A27">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2、联合体供应商，联合体任何一方存在上述不良信用记录的，视同联合体存在不良信用记录。</w:t>
            </w:r>
          </w:p>
          <w:p w14:paraId="288F1B1A">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3、不良信用记录查询渠道如下：</w:t>
            </w:r>
          </w:p>
          <w:p w14:paraId="747E166D">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（1）失信被执行人：信用中国官网（www.creditchina.gov.cn）</w:t>
            </w:r>
          </w:p>
          <w:p w14:paraId="5E2CA4C1">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（2）企业经营异常名录：信用中国官网（www.creditchina.gov.cn）</w:t>
            </w:r>
          </w:p>
          <w:p w14:paraId="470B9F54">
            <w:pPr>
              <w:pStyle w:val="29"/>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（3）重大税收违法案件当事人名单：信用中国官网（www.creditchina.gov.cn）</w:t>
            </w:r>
          </w:p>
          <w:p w14:paraId="42DC8F23">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（4）严重违法失信行为记录名单：中国政府采购官网（www.ccgp.gov.cn）</w:t>
            </w:r>
          </w:p>
        </w:tc>
      </w:tr>
      <w:tr w14:paraId="5B9D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221D85FB">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16</w:t>
            </w:r>
          </w:p>
        </w:tc>
        <w:tc>
          <w:tcPr>
            <w:tcW w:w="1502" w:type="dxa"/>
            <w:vAlign w:val="center"/>
          </w:tcPr>
          <w:p w14:paraId="31796D7E">
            <w:pPr>
              <w:pStyle w:val="2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备注二</w:t>
            </w:r>
          </w:p>
        </w:tc>
        <w:tc>
          <w:tcPr>
            <w:tcW w:w="7308" w:type="dxa"/>
            <w:vAlign w:val="center"/>
          </w:tcPr>
          <w:p w14:paraId="0D9F9479">
            <w:pPr>
              <w:pStyle w:val="29"/>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特别提醒：供应商参与</w:t>
            </w:r>
            <w:r>
              <w:rPr>
                <w:rFonts w:hint="eastAsia" w:ascii="宋体" w:hAnsi="宋体" w:eastAsia="宋体" w:cs="宋体"/>
                <w:bCs/>
                <w:color w:val="auto"/>
                <w:kern w:val="2"/>
                <w:szCs w:val="24"/>
                <w:highlight w:val="none"/>
                <w:lang w:val="en-US"/>
              </w:rPr>
              <w:t>采购活动</w:t>
            </w:r>
            <w:r>
              <w:rPr>
                <w:rFonts w:hint="eastAsia" w:ascii="宋体" w:hAnsi="宋体" w:eastAsia="宋体" w:cs="宋体"/>
                <w:bCs/>
                <w:color w:val="auto"/>
                <w:kern w:val="2"/>
                <w:szCs w:val="24"/>
                <w:highlight w:val="none"/>
              </w:rPr>
              <w:t>，应当诚信守法、公平竞争。如有以提供虚假材料（包括但不限于虚假技术参数响应、虚假业绩、虚假证书、虚假检测报告等）、串通投标、隐瞒失信信息等谋取中标的行为，一经发现，将报监管部门严肃查处。</w:t>
            </w:r>
          </w:p>
        </w:tc>
      </w:tr>
    </w:tbl>
    <w:p w14:paraId="1ED0FF4A">
      <w:pPr>
        <w:rPr>
          <w:rFonts w:hint="eastAsia" w:ascii="宋体" w:hAnsi="宋体" w:eastAsia="宋体" w:cs="宋体"/>
          <w:color w:val="auto"/>
          <w:szCs w:val="24"/>
          <w:highlight w:val="none"/>
        </w:rPr>
      </w:pPr>
    </w:p>
    <w:p w14:paraId="658CFC5F">
      <w:pPr>
        <w:pStyle w:val="5"/>
        <w:spacing w:before="20" w:after="20"/>
        <w:ind w:firstLine="241" w:firstLineChars="100"/>
        <w:jc w:val="center"/>
        <w:rPr>
          <w:rFonts w:hint="eastAsia" w:ascii="宋体" w:hAnsi="宋体" w:eastAsia="宋体" w:cs="宋体"/>
          <w:color w:val="auto"/>
          <w:sz w:val="24"/>
          <w:szCs w:val="24"/>
          <w:highlight w:val="none"/>
        </w:rPr>
      </w:pPr>
    </w:p>
    <w:p w14:paraId="6BECBBCB">
      <w:pPr>
        <w:jc w:val="center"/>
        <w:rPr>
          <w:rFonts w:hint="eastAsia" w:ascii="宋体" w:hAnsi="宋体" w:eastAsia="宋体" w:cs="宋体"/>
          <w:b/>
          <w:bCs/>
          <w:color w:val="auto"/>
          <w:sz w:val="24"/>
          <w:szCs w:val="24"/>
          <w:highlight w:val="none"/>
        </w:rPr>
      </w:pPr>
      <w:bookmarkStart w:id="59" w:name="_Toc14333"/>
    </w:p>
    <w:p w14:paraId="74785C6C">
      <w:pPr>
        <w:jc w:val="center"/>
        <w:rPr>
          <w:rFonts w:hint="eastAsia" w:ascii="宋体" w:hAnsi="宋体" w:eastAsia="宋体" w:cs="宋体"/>
          <w:b/>
          <w:bCs/>
          <w:color w:val="auto"/>
          <w:sz w:val="24"/>
          <w:szCs w:val="24"/>
          <w:highlight w:val="none"/>
        </w:rPr>
      </w:pPr>
    </w:p>
    <w:p w14:paraId="484BBE8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2BBF54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bookmarkEnd w:id="59"/>
    </w:p>
    <w:bookmarkEnd w:id="56"/>
    <w:p w14:paraId="799DAC5C">
      <w:pPr>
        <w:pStyle w:val="12"/>
        <w:spacing w:line="520" w:lineRule="exact"/>
        <w:ind w:firstLine="480" w:firstLineChars="200"/>
        <w:rPr>
          <w:rFonts w:hint="eastAsia" w:ascii="宋体" w:hAnsi="宋体" w:eastAsia="宋体" w:cs="宋体"/>
          <w:color w:val="auto"/>
          <w:highlight w:val="none"/>
        </w:rPr>
      </w:pPr>
      <w:bookmarkStart w:id="60" w:name="_Toc363199266"/>
      <w:bookmarkStart w:id="61" w:name="_Toc438648662"/>
      <w:bookmarkStart w:id="62" w:name="_Toc216158625"/>
      <w:r>
        <w:rPr>
          <w:rFonts w:hint="eastAsia" w:ascii="宋体" w:hAnsi="宋体" w:eastAsia="宋体" w:cs="宋体"/>
          <w:color w:val="auto"/>
          <w:highlight w:val="none"/>
        </w:rPr>
        <w:t>见本项目采购公告</w:t>
      </w:r>
    </w:p>
    <w:p w14:paraId="37F1C94A">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63" w:name="_Toc9435"/>
      <w:r>
        <w:rPr>
          <w:rFonts w:hint="eastAsia" w:ascii="宋体" w:hAnsi="宋体" w:eastAsia="宋体" w:cs="宋体"/>
          <w:color w:val="auto"/>
          <w:sz w:val="24"/>
          <w:szCs w:val="24"/>
          <w:highlight w:val="none"/>
        </w:rPr>
        <w:t>（三）供应商必须提交的响应文件内容</w:t>
      </w:r>
      <w:bookmarkEnd w:id="60"/>
      <w:bookmarkEnd w:id="61"/>
      <w:bookmarkEnd w:id="62"/>
      <w:bookmarkEnd w:id="63"/>
    </w:p>
    <w:p w14:paraId="3CF2016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1、报价单；</w:t>
      </w:r>
    </w:p>
    <w:p w14:paraId="4998177B">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2、供应商基本信息；</w:t>
      </w:r>
    </w:p>
    <w:p w14:paraId="423DA61E">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3、磋商授权书；</w:t>
      </w:r>
    </w:p>
    <w:p w14:paraId="2B6924D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4、磋商响应函；</w:t>
      </w:r>
    </w:p>
    <w:p w14:paraId="3AE4289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5、无重大违法记录声明函、无不良信用记录承诺函；</w:t>
      </w:r>
    </w:p>
    <w:p w14:paraId="63B92A1F">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6、响应情况表；</w:t>
      </w:r>
    </w:p>
    <w:p w14:paraId="13114692">
      <w:pPr>
        <w:spacing w:line="52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7、磋商文件要求和供应商认为需要提供的其它说明和资料。</w:t>
      </w:r>
    </w:p>
    <w:p w14:paraId="0CC9C24F">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E50ECE">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64" w:name="_Toc9883"/>
      <w:r>
        <w:rPr>
          <w:rFonts w:hint="eastAsia" w:ascii="宋体" w:hAnsi="宋体" w:eastAsia="宋体" w:cs="宋体"/>
          <w:color w:val="auto"/>
          <w:sz w:val="24"/>
          <w:szCs w:val="24"/>
          <w:highlight w:val="none"/>
        </w:rPr>
        <w:t>（四）响应文件的提交</w:t>
      </w:r>
      <w:bookmarkEnd w:id="64"/>
    </w:p>
    <w:bookmarkEnd w:id="57"/>
    <w:bookmarkEnd w:id="58"/>
    <w:p w14:paraId="02F67627">
      <w:pPr>
        <w:spacing w:line="500" w:lineRule="exact"/>
        <w:ind w:firstLine="482" w:firstLineChars="200"/>
        <w:rPr>
          <w:rFonts w:hint="eastAsia" w:ascii="宋体" w:hAnsi="宋体" w:eastAsia="宋体" w:cs="宋体"/>
          <w:b/>
          <w:color w:val="auto"/>
          <w:sz w:val="24"/>
          <w:szCs w:val="24"/>
          <w:highlight w:val="none"/>
        </w:rPr>
      </w:pPr>
      <w:bookmarkStart w:id="65" w:name="_Toc15950"/>
      <w:bookmarkStart w:id="66" w:name="_Toc32682"/>
      <w:r>
        <w:rPr>
          <w:rFonts w:hint="eastAsia" w:ascii="宋体" w:hAnsi="宋体" w:eastAsia="宋体" w:cs="宋体"/>
          <w:b/>
          <w:color w:val="auto"/>
          <w:sz w:val="24"/>
          <w:szCs w:val="24"/>
          <w:highlight w:val="none"/>
        </w:rPr>
        <w:t>1、响应文件的装订</w:t>
      </w:r>
    </w:p>
    <w:p w14:paraId="533E48C7">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详见须知前附表</w:t>
      </w:r>
    </w:p>
    <w:p w14:paraId="6FAC5C6E">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2、响应文件的提交</w:t>
      </w:r>
    </w:p>
    <w:p w14:paraId="1572E284">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详见须知前附表</w:t>
      </w:r>
    </w:p>
    <w:p w14:paraId="6188143E">
      <w:pPr>
        <w:pStyle w:val="5"/>
        <w:spacing w:before="120" w:beforeLines="50" w:after="120" w:afterLines="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65"/>
      <w:bookmarkEnd w:id="66"/>
    </w:p>
    <w:p w14:paraId="3D5ED82E">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1、磋商人员是按规定组成的三人或三人以上的磋商小组。</w:t>
      </w:r>
    </w:p>
    <w:p w14:paraId="256D63E6">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2、在掌握了供应商的基本情况后，磋商小组与供应商分别进行磋商。</w:t>
      </w:r>
    </w:p>
    <w:p w14:paraId="5BB3E6F7">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4E334C87">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4、磋商采用一轮磋商、两轮报价的方式进行。但最终采取多少轮磋商，由磋商小组视情况而定。</w:t>
      </w:r>
    </w:p>
    <w:p w14:paraId="458B6408">
      <w:pPr>
        <w:pStyle w:val="5"/>
        <w:spacing w:before="0" w:after="0" w:line="520" w:lineRule="exact"/>
        <w:ind w:firstLine="480" w:firstLineChars="200"/>
        <w:jc w:val="both"/>
        <w:rPr>
          <w:rFonts w:hint="eastAsia" w:ascii="宋体" w:hAnsi="宋体" w:eastAsia="宋体" w:cs="宋体"/>
          <w:b w:val="0"/>
          <w:bCs/>
          <w:color w:val="auto"/>
          <w:sz w:val="24"/>
          <w:szCs w:val="24"/>
          <w:highlight w:val="none"/>
        </w:rPr>
      </w:pPr>
      <w:bookmarkStart w:id="67" w:name="_Toc8817"/>
      <w:bookmarkStart w:id="68" w:name="_Toc6912"/>
      <w:r>
        <w:rPr>
          <w:rFonts w:hint="eastAsia" w:ascii="宋体" w:hAnsi="宋体" w:eastAsia="宋体" w:cs="宋体"/>
          <w:b w:val="0"/>
          <w:bCs/>
          <w:color w:val="auto"/>
          <w:sz w:val="24"/>
          <w:szCs w:val="24"/>
          <w:highlight w:val="none"/>
        </w:rPr>
        <w:t>5、磋商结束后，磋商小组将要求所有符合条件的供应商在规定的时间内进行最后的报价。</w:t>
      </w:r>
      <w:bookmarkEnd w:id="67"/>
      <w:bookmarkEnd w:id="68"/>
    </w:p>
    <w:p w14:paraId="17DDE265">
      <w:pPr>
        <w:tabs>
          <w:tab w:val="left" w:pos="900"/>
        </w:tabs>
        <w:spacing w:line="52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6、供应商必须在规定的时间内将自己在磋商中作出的澄清、变动以及最终的报价，经法定代表人或被授权代表签字后，以书面的方式提交给磋商小组。</w:t>
      </w:r>
    </w:p>
    <w:p w14:paraId="74F72E22">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69" w:name="_Toc7501"/>
      <w:bookmarkStart w:id="70" w:name="_Toc11542"/>
      <w:r>
        <w:rPr>
          <w:rFonts w:hint="eastAsia" w:ascii="宋体" w:hAnsi="宋体" w:eastAsia="宋体" w:cs="宋体"/>
          <w:color w:val="auto"/>
          <w:sz w:val="24"/>
          <w:szCs w:val="24"/>
          <w:highlight w:val="none"/>
        </w:rPr>
        <w:t>（六）评审及异常情况处理</w:t>
      </w:r>
      <w:bookmarkEnd w:id="69"/>
      <w:bookmarkEnd w:id="70"/>
    </w:p>
    <w:p w14:paraId="632C14A0">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1、磋商小组将遵循公平、公正的原则，对供应商最终提交的确认价进行综合评审，根据得分由高到低顺序推荐不少于3名成交候选供应商。</w:t>
      </w:r>
    </w:p>
    <w:p w14:paraId="1268D5E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2、磋商时出现以下情况之一的，将予以废标：</w:t>
      </w:r>
    </w:p>
    <w:p w14:paraId="1E3C3B6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（1）符合专业条件的供应商或者对采购文件作实质性响应的供应商不足三家的（若采购项目是政府购买服务项目只有2家的，竞争性磋商活动可以继续进行）；</w:t>
      </w:r>
    </w:p>
    <w:p w14:paraId="5559C2EA">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（2）供应商的报价均超过了采购预算，经过多轮磋商仍不能降到预算内且采购人不能支付的；</w:t>
      </w:r>
    </w:p>
    <w:p w14:paraId="01E31B68">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（3）经过磋商，供应商所提供的服务仍无法满足磋商文件实质性要求、影响工作的；</w:t>
      </w:r>
    </w:p>
    <w:p w14:paraId="10CE05C1">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（4）出现影响采购公正的违法、违规行为的；</w:t>
      </w:r>
    </w:p>
    <w:p w14:paraId="39F095F7">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（5）因重大变故，采购任务取消的。</w:t>
      </w:r>
    </w:p>
    <w:p w14:paraId="40E040E1">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3、重新组织磋商，采购单位将另行通知。</w:t>
      </w:r>
    </w:p>
    <w:p w14:paraId="7B2F241F">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71" w:name="_Toc30632"/>
      <w:r>
        <w:rPr>
          <w:rFonts w:hint="eastAsia" w:ascii="宋体" w:hAnsi="宋体" w:eastAsia="宋体" w:cs="宋体"/>
          <w:color w:val="auto"/>
          <w:sz w:val="24"/>
          <w:szCs w:val="24"/>
          <w:highlight w:val="none"/>
        </w:rPr>
        <w:t>（七）报价响应及答疑</w:t>
      </w:r>
      <w:bookmarkEnd w:id="71"/>
    </w:p>
    <w:p w14:paraId="5B3C1270">
      <w:pPr>
        <w:spacing w:line="500" w:lineRule="exact"/>
        <w:ind w:firstLine="480" w:firstLineChars="200"/>
        <w:rPr>
          <w:rFonts w:hint="eastAsia" w:ascii="宋体" w:hAnsi="宋体" w:eastAsia="宋体" w:cs="宋体"/>
          <w:color w:val="auto"/>
          <w:sz w:val="24"/>
          <w:szCs w:val="24"/>
          <w:highlight w:val="none"/>
        </w:rPr>
      </w:pPr>
      <w:bookmarkStart w:id="72" w:name="_Toc19999"/>
      <w:r>
        <w:rPr>
          <w:rFonts w:hint="eastAsia" w:ascii="宋体" w:hAnsi="宋体" w:eastAsia="宋体" w:cs="宋体"/>
          <w:color w:val="auto"/>
          <w:sz w:val="24"/>
          <w:szCs w:val="24"/>
          <w:highlight w:val="none"/>
        </w:rPr>
        <w:t>1、响应报价应含有所投服务各环节所发生的一切费用。</w:t>
      </w:r>
    </w:p>
    <w:p w14:paraId="0D0FBC0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14:paraId="349E33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3、供应商如果对磋商文件的其他任何内容有相关疑问，可</w:t>
      </w:r>
      <w:r>
        <w:rPr>
          <w:rFonts w:hint="eastAsia" w:ascii="宋体" w:hAnsi="宋体" w:eastAsia="宋体" w:cs="宋体"/>
          <w:color w:val="auto"/>
          <w:sz w:val="24"/>
          <w:highlight w:val="none"/>
        </w:rPr>
        <w:t>以书面形式提出。</w:t>
      </w:r>
    </w:p>
    <w:p w14:paraId="456B6E5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请供应商及时通过网站相关公告栏目查看答疑文件。</w:t>
      </w:r>
    </w:p>
    <w:p w14:paraId="76A4293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4、供应商应确保其所提供的响应资料的真实性、有效性及合法性，否则，由此引起的任何责任由其自行承担。</w:t>
      </w:r>
    </w:p>
    <w:p w14:paraId="2B93007A">
      <w:pPr>
        <w:pStyle w:val="5"/>
        <w:spacing w:before="120" w:beforeLines="50" w:after="120" w:afterLines="50"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（八）合同的签订</w:t>
      </w:r>
      <w:bookmarkEnd w:id="72"/>
    </w:p>
    <w:p w14:paraId="17D05902">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448C36E7">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3、成交供应商因不可抗力或者自身原因不能在规定的时间内与采购人签订采购合同，采购人可以与排在成交供应商后第一位的候选供应商签订采购合同，以此类推或重新组织采购。</w:t>
      </w:r>
    </w:p>
    <w:p w14:paraId="1F35BE60">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4、因政策变化等原因不能签订合同，造成企业合法利益受损的情形，采购人可以与供应商充分协商，给予合理补偿。</w:t>
      </w:r>
    </w:p>
    <w:p w14:paraId="308207D3">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5、成交供应商无正当理由不与采购人订立合同的处罚依据：</w:t>
      </w:r>
    </w:p>
    <w:p w14:paraId="75CAE72F">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（1）《中华人民共和国政府采购法实施条例》</w:t>
      </w:r>
    </w:p>
    <w:p w14:paraId="060A85AD">
      <w:pPr>
        <w:pStyle w:val="1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第七十二条 供应商有下列情形之一的，依照政府采购法第七十七条第一款的规定追究法律责任：……</w:t>
      </w:r>
    </w:p>
    <w:p w14:paraId="1A0166E4">
      <w:pPr>
        <w:pStyle w:val="1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（二）中标或者成交后无正当理由拒不与采购人签订政府采购合同；……</w:t>
      </w:r>
    </w:p>
    <w:p w14:paraId="5FED31E0">
      <w:pPr>
        <w:pStyle w:val="1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（2）《中华人民共和国政府采购法》</w:t>
      </w:r>
    </w:p>
    <w:p w14:paraId="76FE454E">
      <w:pPr>
        <w:pStyle w:val="1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F5BB2E1">
      <w:pPr>
        <w:pStyle w:val="1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（3）《政府采购非招标采购方式管理办法》（财政部令第74号）</w:t>
      </w:r>
    </w:p>
    <w:p w14:paraId="65BEDB7C">
      <w:pPr>
        <w:pStyle w:val="1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第五十四条 成交供应商有下列情形之一的，责令限期整改，情节严重的，列入不良行为记录名单，在1至3年内禁止参加政府采购活动，并予以通报：……</w:t>
      </w:r>
    </w:p>
    <w:p w14:paraId="09B8F33B">
      <w:pPr>
        <w:pStyle w:val="12"/>
        <w:spacing w:after="0"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（二）成交后无正当理由不与采购人签订合同的；……</w:t>
      </w:r>
    </w:p>
    <w:p w14:paraId="16CB8EA8">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73" w:name="_Toc1832"/>
      <w:r>
        <w:rPr>
          <w:rFonts w:hint="eastAsia" w:ascii="宋体" w:hAnsi="宋体" w:eastAsia="宋体" w:cs="宋体"/>
          <w:color w:val="auto"/>
          <w:sz w:val="24"/>
          <w:szCs w:val="24"/>
          <w:highlight w:val="none"/>
        </w:rPr>
        <w:t>（九）澄清及变更</w:t>
      </w:r>
      <w:bookmarkEnd w:id="73"/>
    </w:p>
    <w:p w14:paraId="755B5EE9">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磋商文件如有澄清及变更，将以网上公告形式发布，请供应商及时关注。</w:t>
      </w:r>
    </w:p>
    <w:p w14:paraId="3745317C">
      <w:pPr>
        <w:pStyle w:val="5"/>
        <w:spacing w:before="120" w:beforeLines="50" w:after="120" w:afterLines="50" w:line="520" w:lineRule="exact"/>
        <w:jc w:val="center"/>
        <w:rPr>
          <w:rFonts w:hint="eastAsia" w:ascii="宋体" w:hAnsi="宋体" w:eastAsia="宋体" w:cs="宋体"/>
          <w:color w:val="auto"/>
          <w:sz w:val="24"/>
          <w:szCs w:val="24"/>
          <w:highlight w:val="none"/>
          <w:lang w:eastAsia="zh-CN"/>
        </w:rPr>
      </w:pPr>
      <w:bookmarkStart w:id="74" w:name="_Toc18928"/>
      <w:r>
        <w:rPr>
          <w:rFonts w:hint="eastAsia" w:ascii="宋体" w:hAnsi="宋体" w:eastAsia="宋体" w:cs="宋体"/>
          <w:color w:val="auto"/>
          <w:sz w:val="24"/>
          <w:szCs w:val="24"/>
          <w:highlight w:val="none"/>
        </w:rPr>
        <w:t>（十）验收</w:t>
      </w:r>
      <w:bookmarkEnd w:id="74"/>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5C73E0">
      <w:pPr>
        <w:pStyle w:val="5"/>
        <w:spacing w:before="120" w:beforeLines="50" w:after="120" w:afterLines="50" w:line="520" w:lineRule="exact"/>
        <w:jc w:val="left"/>
        <w:rPr>
          <w:rFonts w:hint="eastAsia" w:ascii="宋体" w:hAnsi="宋体" w:eastAsia="宋体" w:cs="宋体"/>
          <w:b w:val="0"/>
          <w:bCs/>
          <w:color w:val="auto"/>
          <w:kern w:val="2"/>
          <w:sz w:val="24"/>
          <w:highlight w:val="none"/>
          <w:lang w:val="en-US" w:eastAsia="zh-CN" w:bidi="ar-SA"/>
        </w:rPr>
      </w:pPr>
      <w:bookmarkStart w:id="75" w:name="_Toc3680"/>
      <w:r>
        <w:rPr>
          <w:rFonts w:hint="eastAsia" w:ascii="宋体" w:hAnsi="宋体" w:eastAsia="宋体" w:cs="宋体"/>
          <w:b w:val="0"/>
          <w:bCs/>
          <w:color w:val="auto"/>
          <w:kern w:val="2"/>
          <w:sz w:val="24"/>
          <w:highlight w:val="none"/>
          <w:lang w:val="en-US" w:eastAsia="zh-CN" w:bidi="ar-SA"/>
        </w:rPr>
        <w:t xml:space="preserve">    1、采购人应当在项目完成且收到供应商验收申请后 5 个工作日内组织开展履约验收。</w:t>
      </w:r>
    </w:p>
    <w:p w14:paraId="46ADA8CA">
      <w:pPr>
        <w:pStyle w:val="5"/>
        <w:spacing w:before="120" w:beforeLines="50" w:after="120" w:afterLines="50" w:line="520" w:lineRule="exact"/>
        <w:jc w:val="left"/>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 xml:space="preserve">    2、采购人验收时，应成立三人以上（由合同双方、项目法人、纪检等相关人员组成）验收小组，明确责任，严格依照采购文件、成交通知书、政府采购合同及相关验收规范进行核对、验收，形成验收结论，并出具书面验收报告。</w:t>
      </w:r>
    </w:p>
    <w:p w14:paraId="6DC41CE2">
      <w:pPr>
        <w:pStyle w:val="5"/>
        <w:spacing w:before="120" w:beforeLines="50" w:after="120" w:afterLines="50" w:line="520" w:lineRule="exact"/>
        <w:jc w:val="left"/>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 xml:space="preserve">    3、涉及安全、消防、环保等其他需要由质检或行业主管部门进行验收的项目，必须邀请相关部门或相关专家参与验收。</w:t>
      </w:r>
    </w:p>
    <w:p w14:paraId="164420FF">
      <w:pPr>
        <w:pStyle w:val="5"/>
        <w:spacing w:before="120" w:beforeLines="50" w:after="120" w:afterLines="50" w:line="520" w:lineRule="exact"/>
        <w:jc w:val="left"/>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 xml:space="preserve">    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5EADA7E9">
      <w:pPr>
        <w:pStyle w:val="5"/>
        <w:spacing w:before="120" w:beforeLines="50" w:after="120" w:afterLines="50"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（十一）质疑</w:t>
      </w:r>
      <w:bookmarkEnd w:id="75"/>
    </w:p>
    <w:p w14:paraId="0273A693">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1、质疑人认为磋商结果使自己的权益受到损害的，可以向采购人及采购代理机构提出质疑。质疑实行实名制，应当有具体的事项及根据，不得进行虚假、恶意质疑，扰乱采购的正常工作秩序。</w:t>
      </w:r>
    </w:p>
    <w:p w14:paraId="63DC2B73">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2、质疑应在规定时限内提出： </w:t>
      </w:r>
    </w:p>
    <w:p w14:paraId="0AE623D5">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对政府采购中标结果的质疑，应在中标结果公布之日起七个工作日内提出。</w:t>
      </w:r>
    </w:p>
    <w:p w14:paraId="0FED4AE6">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3、质疑应以书面形式实名提出，书面质疑材料应当包括以下内容：</w:t>
      </w:r>
    </w:p>
    <w:p w14:paraId="64FF1B65">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3.1质疑人的名称、地址、有效联系方式；</w:t>
      </w:r>
    </w:p>
    <w:p w14:paraId="0FB6805A">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3.2项目名称、项目编号、包别号（如有）；</w:t>
      </w:r>
    </w:p>
    <w:p w14:paraId="34D2DEE6">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3.3被质疑人名称；</w:t>
      </w:r>
    </w:p>
    <w:p w14:paraId="5EAF05E9">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3.4具体的质疑事项、基本事实及必要的证明材料；</w:t>
      </w:r>
    </w:p>
    <w:p w14:paraId="7D39B74E">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3.5明确的请求及主张；</w:t>
      </w:r>
    </w:p>
    <w:p w14:paraId="5264BA43">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3.6提起质疑的日期。</w:t>
      </w:r>
    </w:p>
    <w:p w14:paraId="0CFFC462">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质疑人为法人或者其他组织的，应当由法定代表人或其委托代理人（需有委托授权书）签字并加盖公章。</w:t>
      </w:r>
    </w:p>
    <w:p w14:paraId="01DCF8FA">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质疑人需要修改、补充质疑材料的，应当在质疑期内提交修改或补充材料。</w:t>
      </w:r>
    </w:p>
    <w:p w14:paraId="25EC4018">
      <w:pPr>
        <w:spacing w:line="5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4、有下列情形之一的，不予受理：</w:t>
      </w:r>
    </w:p>
    <w:p w14:paraId="53ACBE9B">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4.1提起质疑的主体不是参与该政府采购项目活动的供应商；</w:t>
      </w:r>
    </w:p>
    <w:p w14:paraId="2C27B5AE">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4.2提起质疑的时间超过规定时限的；</w:t>
      </w:r>
    </w:p>
    <w:p w14:paraId="1CC0765E">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4.3质疑材料不完整的；</w:t>
      </w:r>
    </w:p>
    <w:p w14:paraId="0DA0358D">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4.4质疑事项含有主观猜测等内容且未提供有效线索、难以查证的；</w:t>
      </w:r>
    </w:p>
    <w:p w14:paraId="3B950135">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4.5对其他投标供应商的投标文件详细内容质疑，无法提供合法来源渠道的；</w:t>
      </w:r>
    </w:p>
    <w:p w14:paraId="3C00B4E3">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4.6质疑事项已进入投诉处理、行政复议或行政诉讼程序的。</w:t>
      </w:r>
    </w:p>
    <w:p w14:paraId="7D686394">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7D5DEE4D">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6、质疑人在答复期满前撤回质疑的，应由法定代表人或授权代表人签字确认，即终止质疑处理程序。质疑人不得以同一理由再次提出质疑。</w:t>
      </w:r>
    </w:p>
    <w:p w14:paraId="2B07C798">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质疑人对质疑答复不满意或采购人及采购代理机构未在规定时间内做出答复的，可以在规定期限内向相关部门提起投诉。</w:t>
      </w:r>
    </w:p>
    <w:p w14:paraId="351952E8">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质疑人应在答复期满后十五个工作日内提起投诉。</w:t>
      </w:r>
    </w:p>
    <w:p w14:paraId="1DD22B7E">
      <w:pPr>
        <w:pStyle w:val="1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Cs/>
          <w:color w:val="auto"/>
          <w:szCs w:val="24"/>
          <w:highlight w:val="none"/>
        </w:rPr>
      </w:pPr>
      <w:r>
        <w:rPr>
          <w:rFonts w:hint="eastAsia" w:ascii="宋体" w:hAnsi="宋体" w:eastAsia="宋体" w:cs="宋体"/>
          <w:bCs/>
          <w:color w:val="auto"/>
          <w:highlight w:val="none"/>
        </w:rPr>
        <w:t>7、</w:t>
      </w:r>
      <w:bookmarkStart w:id="76" w:name="_Toc216158630"/>
      <w:r>
        <w:rPr>
          <w:rFonts w:hint="eastAsia" w:ascii="宋体" w:hAnsi="宋体" w:eastAsia="宋体" w:cs="宋体"/>
          <w:bCs/>
          <w:color w:val="auto"/>
          <w:szCs w:val="24"/>
          <w:highlight w:val="none"/>
        </w:rPr>
        <w:t>投诉人在全国范围12个月内三次以上投诉查无实据的，由财政部门列入不良行为记录名单。</w:t>
      </w:r>
    </w:p>
    <w:p w14:paraId="3B908B6A">
      <w:pPr>
        <w:pStyle w:val="1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投诉人有下列行为之一的，属于虚假、恶意投诉，由财政部门列入不良行为记录名单，禁止其1至3年内参加政府采购活动：</w:t>
      </w:r>
    </w:p>
    <w:p w14:paraId="53DAF965">
      <w:pPr>
        <w:pStyle w:val="1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（一）捏造事实;</w:t>
      </w:r>
    </w:p>
    <w:p w14:paraId="31DEEF8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（二）提供虚假材料;</w:t>
      </w:r>
    </w:p>
    <w:p w14:paraId="2DEC90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（三）以非法手段取得证明材料。证据来源的合法性存在明显疑问，投诉人无法证明其取得方式合法的，视为以非法手段取得证明材料。</w:t>
      </w:r>
      <w:bookmarkStart w:id="77" w:name="_Toc22378"/>
    </w:p>
    <w:p w14:paraId="442B8B31">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31CDDDF3">
      <w:pPr>
        <w:pStyle w:val="5"/>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77"/>
    </w:p>
    <w:p w14:paraId="4229A772">
      <w:pPr>
        <w:rPr>
          <w:rFonts w:hint="eastAsia" w:ascii="宋体" w:hAnsi="宋体" w:eastAsia="宋体" w:cs="宋体"/>
          <w:color w:val="auto"/>
          <w:highlight w:val="none"/>
        </w:rPr>
      </w:pPr>
    </w:p>
    <w:bookmarkEnd w:id="76"/>
    <w:p w14:paraId="41B2822F">
      <w:pPr>
        <w:spacing w:line="253" w:lineRule="auto"/>
        <w:rPr>
          <w:rFonts w:hint="eastAsia" w:ascii="宋体" w:hAnsi="宋体" w:eastAsia="宋体" w:cs="宋体"/>
          <w:color w:val="auto"/>
          <w:highlight w:val="none"/>
        </w:rPr>
      </w:pPr>
      <w:bookmarkStart w:id="78" w:name="_Toc363199273"/>
    </w:p>
    <w:p w14:paraId="7AA0E647">
      <w:pPr>
        <w:spacing w:line="254" w:lineRule="auto"/>
        <w:rPr>
          <w:rFonts w:hint="eastAsia" w:ascii="宋体" w:hAnsi="宋体" w:eastAsia="宋体" w:cs="宋体"/>
          <w:color w:val="auto"/>
          <w:highlight w:val="none"/>
        </w:rPr>
      </w:pPr>
    </w:p>
    <w:p w14:paraId="03637143">
      <w:pPr>
        <w:autoSpaceDE w:val="0"/>
        <w:autoSpaceDN w:val="0"/>
        <w:spacing w:before="66" w:line="192" w:lineRule="auto"/>
        <w:ind w:left="172" w:right="470"/>
        <w:jc w:val="center"/>
        <w:outlineLvl w:val="0"/>
        <w:rPr>
          <w:rFonts w:hint="eastAsia" w:ascii="宋体" w:hAnsi="宋体" w:eastAsia="宋体" w:cs="宋体"/>
          <w:bCs/>
          <w:color w:val="auto"/>
          <w:spacing w:val="11"/>
          <w:kern w:val="0"/>
          <w:sz w:val="24"/>
          <w:szCs w:val="24"/>
          <w:highlight w:val="none"/>
        </w:rPr>
      </w:pPr>
    </w:p>
    <w:p w14:paraId="21358AAB">
      <w:pPr>
        <w:autoSpaceDE w:val="0"/>
        <w:autoSpaceDN w:val="0"/>
        <w:spacing w:before="66" w:line="192" w:lineRule="auto"/>
        <w:ind w:left="172" w:right="470"/>
        <w:jc w:val="center"/>
        <w:outlineLvl w:val="0"/>
        <w:rPr>
          <w:rFonts w:hint="eastAsia" w:ascii="宋体" w:hAnsi="宋体" w:eastAsia="宋体" w:cs="宋体"/>
          <w:bCs/>
          <w:color w:val="auto"/>
          <w:spacing w:val="11"/>
          <w:kern w:val="0"/>
          <w:sz w:val="24"/>
          <w:szCs w:val="24"/>
          <w:highlight w:val="none"/>
        </w:rPr>
      </w:pPr>
      <w:r>
        <w:rPr>
          <w:rFonts w:hint="eastAsia" w:ascii="宋体" w:hAnsi="宋体" w:eastAsia="宋体" w:cs="宋体"/>
          <w:bCs/>
          <w:color w:val="auto"/>
          <w:spacing w:val="11"/>
          <w:kern w:val="0"/>
          <w:sz w:val="24"/>
          <w:szCs w:val="24"/>
          <w:highlight w:val="none"/>
        </w:rPr>
        <w:t>（本合同仅供参考，具体以双方签订的为准）</w:t>
      </w:r>
    </w:p>
    <w:p w14:paraId="4AF0F9D4">
      <w:pPr>
        <w:spacing w:line="254" w:lineRule="auto"/>
        <w:rPr>
          <w:rFonts w:hint="eastAsia" w:ascii="宋体" w:hAnsi="宋体" w:eastAsia="宋体" w:cs="宋体"/>
          <w:color w:val="auto"/>
          <w:highlight w:val="none"/>
        </w:rPr>
      </w:pPr>
    </w:p>
    <w:p w14:paraId="21FA7A33">
      <w:pPr>
        <w:spacing w:after="120" w:afterLines="50"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40"/>
          <w:szCs w:val="40"/>
          <w:highlight w:val="none"/>
        </w:rPr>
        <w:t>六安市政府采购合同参考范本</w:t>
      </w:r>
    </w:p>
    <w:p w14:paraId="6DF62B18">
      <w:pPr>
        <w:spacing w:after="120" w:afterLines="50"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（服务类）</w:t>
      </w:r>
    </w:p>
    <w:p w14:paraId="038CF9DC">
      <w:pPr>
        <w:spacing w:line="600" w:lineRule="exact"/>
        <w:rPr>
          <w:rFonts w:hint="eastAsia" w:ascii="宋体" w:hAnsi="宋体" w:eastAsia="宋体" w:cs="宋体"/>
          <w:color w:val="auto"/>
          <w:highlight w:val="none"/>
        </w:rPr>
      </w:pPr>
    </w:p>
    <w:p w14:paraId="23003154">
      <w:pPr>
        <w:pStyle w:val="12"/>
        <w:rPr>
          <w:rFonts w:hint="eastAsia" w:ascii="宋体" w:hAnsi="宋体" w:eastAsia="宋体" w:cs="宋体"/>
          <w:color w:val="auto"/>
          <w:highlight w:val="none"/>
        </w:rPr>
      </w:pPr>
    </w:p>
    <w:p w14:paraId="33B4EBEE">
      <w:pPr>
        <w:pStyle w:val="12"/>
        <w:ind w:firstLine="0"/>
        <w:rPr>
          <w:rFonts w:hint="eastAsia" w:ascii="宋体" w:hAnsi="宋体" w:eastAsia="宋体" w:cs="宋体"/>
          <w:color w:val="auto"/>
          <w:highlight w:val="none"/>
        </w:rPr>
      </w:pPr>
    </w:p>
    <w:p w14:paraId="73B75FFF">
      <w:pPr>
        <w:spacing w:line="6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第一部分 合同书</w:t>
      </w:r>
    </w:p>
    <w:p w14:paraId="4FC59D49">
      <w:pPr>
        <w:spacing w:line="600" w:lineRule="exact"/>
        <w:rPr>
          <w:rFonts w:hint="eastAsia" w:ascii="宋体" w:hAnsi="宋体" w:eastAsia="宋体" w:cs="宋体"/>
          <w:color w:val="auto"/>
          <w:sz w:val="24"/>
          <w:szCs w:val="24"/>
          <w:highlight w:val="none"/>
        </w:rPr>
      </w:pPr>
    </w:p>
    <w:p w14:paraId="048C7A1E">
      <w:pPr>
        <w:spacing w:line="600" w:lineRule="exact"/>
        <w:rPr>
          <w:rFonts w:hint="eastAsia" w:ascii="宋体" w:hAnsi="宋体" w:eastAsia="宋体" w:cs="宋体"/>
          <w:color w:val="auto"/>
          <w:sz w:val="24"/>
          <w:szCs w:val="24"/>
          <w:highlight w:val="none"/>
        </w:rPr>
      </w:pPr>
    </w:p>
    <w:p w14:paraId="767433C8">
      <w:pPr>
        <w:pStyle w:val="12"/>
        <w:rPr>
          <w:rFonts w:hint="eastAsia" w:ascii="宋体" w:hAnsi="宋体" w:eastAsia="宋体" w:cs="宋体"/>
          <w:color w:val="auto"/>
          <w:szCs w:val="24"/>
          <w:highlight w:val="none"/>
        </w:rPr>
      </w:pPr>
    </w:p>
    <w:p w14:paraId="7371A86B">
      <w:pPr>
        <w:spacing w:line="700" w:lineRule="exact"/>
        <w:ind w:left="1050" w:left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C75BB1D">
      <w:pPr>
        <w:spacing w:line="700" w:lineRule="exact"/>
        <w:ind w:left="1050" w:left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p>
    <w:p w14:paraId="1A4B2C54">
      <w:pPr>
        <w:spacing w:line="700" w:lineRule="exact"/>
        <w:ind w:left="1050" w:left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p>
    <w:p w14:paraId="34679C5B">
      <w:pPr>
        <w:spacing w:line="700" w:lineRule="exact"/>
        <w:ind w:left="1050" w:left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乙方(成交供应商)：</w:t>
      </w:r>
    </w:p>
    <w:p w14:paraId="7638C94E">
      <w:pPr>
        <w:spacing w:line="700" w:lineRule="exact"/>
        <w:ind w:left="1050" w:left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w:t>
      </w:r>
    </w:p>
    <w:p w14:paraId="5BA8ACDA">
      <w:pPr>
        <w:spacing w:line="700" w:lineRule="exact"/>
        <w:ind w:left="1050" w:left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3B4EB0C">
      <w:pPr>
        <w:snapToGrid w:val="0"/>
        <w:spacing w:line="600" w:lineRule="exact"/>
        <w:rPr>
          <w:rFonts w:hint="eastAsia" w:ascii="宋体" w:hAnsi="宋体" w:eastAsia="宋体" w:cs="宋体"/>
          <w:color w:val="auto"/>
          <w:highlight w:val="none"/>
        </w:rPr>
        <w:sectPr>
          <w:footerReference r:id="rId3" w:type="default"/>
          <w:pgSz w:w="11907" w:h="16839"/>
          <w:pgMar w:top="1118" w:right="1769" w:bottom="1233" w:left="1771" w:header="877" w:footer="982" w:gutter="0"/>
          <w:pgBorders>
            <w:top w:val="none" w:sz="0" w:space="0"/>
            <w:left w:val="none" w:sz="0" w:space="0"/>
            <w:bottom w:val="none" w:sz="0" w:space="0"/>
            <w:right w:val="none" w:sz="0" w:space="0"/>
          </w:pgBorders>
          <w:pgNumType w:fmt="numberInDash"/>
          <w:cols w:space="720" w:num="1"/>
        </w:sectPr>
      </w:pPr>
    </w:p>
    <w:p w14:paraId="4B867046">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 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方式采购活动，经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成交供应商名称)</w:t>
      </w:r>
      <w:r>
        <w:rPr>
          <w:rFonts w:hint="eastAsia" w:ascii="宋体" w:hAnsi="宋体" w:eastAsia="宋体" w:cs="宋体"/>
          <w:color w:val="auto"/>
          <w:sz w:val="24"/>
          <w:szCs w:val="24"/>
          <w:highlight w:val="none"/>
        </w:rPr>
        <w:t xml:space="preserve"> (以下简称：乙方)为本项目成交供应商，现按照采购文件确定的事项签订本合同。</w:t>
      </w:r>
    </w:p>
    <w:p w14:paraId="76336DC6">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7CED1A4E">
      <w:pPr>
        <w:snapToGri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合同组成部分</w:t>
      </w:r>
    </w:p>
    <w:p w14:paraId="7C70030C">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1F9767">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219CB2A1">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成交通知书；</w:t>
      </w:r>
    </w:p>
    <w:p w14:paraId="7FE2C7E5">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响应文件(含澄清或者说明文件)；</w:t>
      </w:r>
    </w:p>
    <w:p w14:paraId="5784A13C">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采购文件(含澄清或者修改文件)；</w:t>
      </w:r>
    </w:p>
    <w:p w14:paraId="50CA547E">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5127B1EE">
      <w:pPr>
        <w:snapToGri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服务</w:t>
      </w:r>
    </w:p>
    <w:p w14:paraId="366C2250">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服务名称：；</w:t>
      </w:r>
    </w:p>
    <w:p w14:paraId="524BB1A4">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服务内容：；</w:t>
      </w:r>
    </w:p>
    <w:p w14:paraId="146D9FCB">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服务质量：。</w:t>
      </w:r>
    </w:p>
    <w:p w14:paraId="1AFCE7B8">
      <w:pPr>
        <w:snapToGri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价款</w:t>
      </w:r>
    </w:p>
    <w:p w14:paraId="7247E7D7">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7FF0B38">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p w14:paraId="1BDF702E">
      <w:pPr>
        <w:spacing w:line="71" w:lineRule="exact"/>
        <w:rPr>
          <w:rFonts w:hint="eastAsia" w:ascii="宋体" w:hAnsi="宋体" w:eastAsia="宋体" w:cs="宋体"/>
          <w:color w:val="auto"/>
          <w:highlight w:val="none"/>
        </w:rPr>
      </w:pPr>
    </w:p>
    <w:tbl>
      <w:tblPr>
        <w:tblStyle w:val="13"/>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59"/>
        <w:gridCol w:w="4282"/>
        <w:gridCol w:w="3047"/>
      </w:tblGrid>
      <w:tr w14:paraId="2077B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9" w:hRule="atLeast"/>
          <w:jc w:val="center"/>
        </w:trPr>
        <w:tc>
          <w:tcPr>
            <w:tcW w:w="959" w:type="dxa"/>
            <w:noWrap w:val="0"/>
            <w:vAlign w:val="center"/>
          </w:tcPr>
          <w:p w14:paraId="6DAFC43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82" w:type="dxa"/>
            <w:noWrap w:val="0"/>
            <w:vAlign w:val="center"/>
          </w:tcPr>
          <w:p w14:paraId="214FE76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047" w:type="dxa"/>
            <w:noWrap w:val="0"/>
            <w:vAlign w:val="center"/>
          </w:tcPr>
          <w:p w14:paraId="4B135F9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84E4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605B916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82" w:type="dxa"/>
            <w:noWrap w:val="0"/>
            <w:vAlign w:val="center"/>
          </w:tcPr>
          <w:p w14:paraId="60CE1EEC">
            <w:pPr>
              <w:spacing w:line="400" w:lineRule="exact"/>
              <w:jc w:val="center"/>
              <w:rPr>
                <w:rFonts w:hint="eastAsia" w:ascii="宋体" w:hAnsi="宋体" w:eastAsia="宋体" w:cs="宋体"/>
                <w:color w:val="auto"/>
                <w:sz w:val="24"/>
                <w:szCs w:val="24"/>
                <w:highlight w:val="none"/>
              </w:rPr>
            </w:pPr>
          </w:p>
        </w:tc>
        <w:tc>
          <w:tcPr>
            <w:tcW w:w="3047" w:type="dxa"/>
            <w:noWrap w:val="0"/>
            <w:vAlign w:val="center"/>
          </w:tcPr>
          <w:p w14:paraId="7CDCBE74">
            <w:pPr>
              <w:spacing w:line="400" w:lineRule="exact"/>
              <w:jc w:val="center"/>
              <w:rPr>
                <w:rFonts w:hint="eastAsia" w:ascii="宋体" w:hAnsi="宋体" w:eastAsia="宋体" w:cs="宋体"/>
                <w:color w:val="auto"/>
                <w:sz w:val="24"/>
                <w:szCs w:val="24"/>
                <w:highlight w:val="none"/>
              </w:rPr>
            </w:pPr>
          </w:p>
        </w:tc>
      </w:tr>
      <w:tr w14:paraId="1EE26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4571F22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82" w:type="dxa"/>
            <w:noWrap w:val="0"/>
            <w:vAlign w:val="center"/>
          </w:tcPr>
          <w:p w14:paraId="65C5D8CF">
            <w:pPr>
              <w:spacing w:line="400" w:lineRule="exact"/>
              <w:jc w:val="center"/>
              <w:rPr>
                <w:rFonts w:hint="eastAsia" w:ascii="宋体" w:hAnsi="宋体" w:eastAsia="宋体" w:cs="宋体"/>
                <w:color w:val="auto"/>
                <w:sz w:val="24"/>
                <w:szCs w:val="24"/>
                <w:highlight w:val="none"/>
              </w:rPr>
            </w:pPr>
          </w:p>
        </w:tc>
        <w:tc>
          <w:tcPr>
            <w:tcW w:w="3047" w:type="dxa"/>
            <w:noWrap w:val="0"/>
            <w:vAlign w:val="center"/>
          </w:tcPr>
          <w:p w14:paraId="7FB11814">
            <w:pPr>
              <w:spacing w:line="400" w:lineRule="exact"/>
              <w:jc w:val="center"/>
              <w:rPr>
                <w:rFonts w:hint="eastAsia" w:ascii="宋体" w:hAnsi="宋体" w:eastAsia="宋体" w:cs="宋体"/>
                <w:color w:val="auto"/>
                <w:sz w:val="24"/>
                <w:szCs w:val="24"/>
                <w:highlight w:val="none"/>
              </w:rPr>
            </w:pPr>
          </w:p>
        </w:tc>
      </w:tr>
      <w:tr w14:paraId="33ACB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5E513C5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82" w:type="dxa"/>
            <w:noWrap w:val="0"/>
            <w:vAlign w:val="center"/>
          </w:tcPr>
          <w:p w14:paraId="3AFF0584">
            <w:pPr>
              <w:spacing w:line="400" w:lineRule="exact"/>
              <w:jc w:val="center"/>
              <w:rPr>
                <w:rFonts w:hint="eastAsia" w:ascii="宋体" w:hAnsi="宋体" w:eastAsia="宋体" w:cs="宋体"/>
                <w:color w:val="auto"/>
                <w:sz w:val="24"/>
                <w:szCs w:val="24"/>
                <w:highlight w:val="none"/>
              </w:rPr>
            </w:pPr>
          </w:p>
        </w:tc>
        <w:tc>
          <w:tcPr>
            <w:tcW w:w="3047" w:type="dxa"/>
            <w:noWrap w:val="0"/>
            <w:vAlign w:val="center"/>
          </w:tcPr>
          <w:p w14:paraId="6E8B676C">
            <w:pPr>
              <w:spacing w:line="400" w:lineRule="exact"/>
              <w:jc w:val="center"/>
              <w:rPr>
                <w:rFonts w:hint="eastAsia" w:ascii="宋体" w:hAnsi="宋体" w:eastAsia="宋体" w:cs="宋体"/>
                <w:color w:val="auto"/>
                <w:sz w:val="24"/>
                <w:szCs w:val="24"/>
                <w:highlight w:val="none"/>
              </w:rPr>
            </w:pPr>
          </w:p>
        </w:tc>
      </w:tr>
      <w:tr w14:paraId="4D5E8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466" w:hRule="atLeast"/>
          <w:jc w:val="center"/>
        </w:trPr>
        <w:tc>
          <w:tcPr>
            <w:tcW w:w="959" w:type="dxa"/>
            <w:noWrap w:val="0"/>
            <w:vAlign w:val="center"/>
          </w:tcPr>
          <w:p w14:paraId="72F1BD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282" w:type="dxa"/>
            <w:noWrap w:val="0"/>
            <w:vAlign w:val="center"/>
          </w:tcPr>
          <w:p w14:paraId="67698D85">
            <w:pPr>
              <w:spacing w:line="400" w:lineRule="exact"/>
              <w:jc w:val="center"/>
              <w:rPr>
                <w:rFonts w:hint="eastAsia" w:ascii="宋体" w:hAnsi="宋体" w:eastAsia="宋体" w:cs="宋体"/>
                <w:color w:val="auto"/>
                <w:sz w:val="24"/>
                <w:szCs w:val="24"/>
                <w:highlight w:val="none"/>
              </w:rPr>
            </w:pPr>
          </w:p>
        </w:tc>
        <w:tc>
          <w:tcPr>
            <w:tcW w:w="3047" w:type="dxa"/>
            <w:noWrap w:val="0"/>
            <w:vAlign w:val="center"/>
          </w:tcPr>
          <w:p w14:paraId="1E34BF9A">
            <w:pPr>
              <w:spacing w:line="400" w:lineRule="exact"/>
              <w:jc w:val="center"/>
              <w:rPr>
                <w:rFonts w:hint="eastAsia" w:ascii="宋体" w:hAnsi="宋体" w:eastAsia="宋体" w:cs="宋体"/>
                <w:color w:val="auto"/>
                <w:sz w:val="24"/>
                <w:szCs w:val="24"/>
                <w:highlight w:val="none"/>
              </w:rPr>
            </w:pPr>
          </w:p>
        </w:tc>
      </w:tr>
      <w:tr w14:paraId="05BFA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5241" w:type="dxa"/>
            <w:gridSpan w:val="2"/>
            <w:noWrap w:val="0"/>
            <w:vAlign w:val="center"/>
          </w:tcPr>
          <w:p w14:paraId="23C6BC4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3047" w:type="dxa"/>
            <w:noWrap w:val="0"/>
            <w:vAlign w:val="center"/>
          </w:tcPr>
          <w:p w14:paraId="27A38601">
            <w:pPr>
              <w:spacing w:line="400" w:lineRule="exact"/>
              <w:jc w:val="center"/>
              <w:rPr>
                <w:rFonts w:hint="eastAsia" w:ascii="宋体" w:hAnsi="宋体" w:eastAsia="宋体" w:cs="宋体"/>
                <w:color w:val="auto"/>
                <w:sz w:val="24"/>
                <w:szCs w:val="24"/>
                <w:highlight w:val="none"/>
              </w:rPr>
            </w:pPr>
          </w:p>
        </w:tc>
      </w:tr>
    </w:tbl>
    <w:p w14:paraId="59E6C484">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付款方式和发票开具方式</w:t>
      </w:r>
    </w:p>
    <w:p w14:paraId="6C092BC8">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付款方式：    </w:t>
      </w:r>
    </w:p>
    <w:p w14:paraId="518DA11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发票开具方式： </w:t>
      </w:r>
    </w:p>
    <w:p w14:paraId="17C03F30">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服务期限、地点和方式</w:t>
      </w:r>
    </w:p>
    <w:p w14:paraId="02168B8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服务期限：</w:t>
      </w:r>
    </w:p>
    <w:p w14:paraId="035F7855">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服务地点：</w:t>
      </w:r>
    </w:p>
    <w:p w14:paraId="53C6B3B8">
      <w:pPr>
        <w:widowControl/>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服务方式：</w:t>
      </w:r>
    </w:p>
    <w:p w14:paraId="5DB60A13">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违约责任</w:t>
      </w:r>
    </w:p>
    <w:p w14:paraId="7B719514">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除不可抗力外，如果乙方没有按照本合同约定的期限、地点和方式履行，那么甲方可要求乙方支付违约金，违约金按每迟延履行一日的应提供而未提供服务价格</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66E4ABE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w:t>
      </w:r>
      <w:r>
        <w:rPr>
          <w:rFonts w:hint="eastAsia" w:ascii="宋体" w:hAnsi="宋体" w:eastAsia="宋体" w:cs="宋体"/>
          <w:color w:val="auto"/>
          <w:sz w:val="24"/>
          <w:szCs w:val="24"/>
          <w:highlight w:val="none"/>
        </w:rPr>
        <w:t>款的</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%计算，最高限额为本合同总价的</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w:t>
      </w:r>
      <w:r>
        <w:rPr>
          <w:rFonts w:hint="eastAsia" w:ascii="宋体" w:hAnsi="宋体" w:eastAsia="宋体" w:cs="宋体"/>
          <w:color w:val="auto"/>
          <w:sz w:val="24"/>
          <w:szCs w:val="24"/>
          <w:highlight w:val="none"/>
        </w:rPr>
        <w:t>款的违约金计算数额达到前述最高限额之日起，乙方有权在要求甲方支付违约金的同时，书面通知甲方解除本合同；</w:t>
      </w:r>
    </w:p>
    <w:p w14:paraId="1AF7EA5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9E12EA">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22568F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 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B8502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3B5209A1">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合同争议的解决</w:t>
      </w:r>
    </w:p>
    <w:p w14:paraId="6CAA7727">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z w:val="24"/>
          <w:szCs w:val="24"/>
          <w:highlight w:val="none"/>
          <w:lang w:val="en-US" w:eastAsia="zh-CN"/>
        </w:rPr>
        <w:t>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2E07020F">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将争议提交仲裁委员会依申请仲裁时其现行有效的仲裁规则裁决；</w:t>
      </w:r>
    </w:p>
    <w:p w14:paraId="0EDF0D97">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1.7.2 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项目所在地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398870C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合同生效</w:t>
      </w:r>
    </w:p>
    <w:p w14:paraId="399A9F1F">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06A068C2">
      <w:pPr>
        <w:spacing w:line="272" w:lineRule="auto"/>
        <w:rPr>
          <w:rFonts w:hint="eastAsia" w:ascii="宋体" w:hAnsi="宋体" w:eastAsia="宋体" w:cs="宋体"/>
          <w:color w:val="auto"/>
          <w:highlight w:val="none"/>
        </w:rPr>
      </w:pPr>
    </w:p>
    <w:p w14:paraId="15F85F2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EEACBD">
      <w:pPr>
        <w:pStyle w:val="12"/>
        <w:ind w:firstLine="0"/>
        <w:rPr>
          <w:rFonts w:hint="eastAsia" w:ascii="宋体" w:hAnsi="宋体" w:eastAsia="宋体" w:cs="宋体"/>
          <w:color w:val="auto"/>
          <w:highlight w:val="none"/>
        </w:rPr>
      </w:pPr>
    </w:p>
    <w:p w14:paraId="5E227C4F">
      <w:pPr>
        <w:pStyle w:val="12"/>
        <w:ind w:firstLine="0"/>
        <w:rPr>
          <w:rFonts w:hint="eastAsia" w:ascii="宋体" w:hAnsi="宋体" w:eastAsia="宋体" w:cs="宋体"/>
          <w:color w:val="auto"/>
          <w:highlight w:val="none"/>
        </w:rPr>
      </w:pPr>
      <w:r>
        <w:rPr>
          <w:rFonts w:hint="eastAsia" w:ascii="宋体" w:hAnsi="宋体" w:eastAsia="宋体" w:cs="宋体"/>
          <w:color w:val="auto"/>
          <w:highlight w:val="none"/>
        </w:rPr>
        <w:t>（签字盖章页）</w:t>
      </w:r>
    </w:p>
    <w:p w14:paraId="00C9B29A">
      <w:pPr>
        <w:pStyle w:val="12"/>
        <w:ind w:firstLine="0"/>
        <w:rPr>
          <w:rFonts w:hint="eastAsia" w:ascii="宋体" w:hAnsi="宋体" w:eastAsia="宋体" w:cs="宋体"/>
          <w:color w:val="auto"/>
          <w:highlight w:val="none"/>
        </w:rPr>
      </w:pPr>
    </w:p>
    <w:tbl>
      <w:tblPr>
        <w:tblStyle w:val="13"/>
        <w:tblW w:w="8388" w:type="dxa"/>
        <w:jc w:val="center"/>
        <w:tblLayout w:type="fixed"/>
        <w:tblCellMar>
          <w:top w:w="0" w:type="dxa"/>
          <w:left w:w="108" w:type="dxa"/>
          <w:bottom w:w="0" w:type="dxa"/>
          <w:right w:w="108" w:type="dxa"/>
        </w:tblCellMar>
      </w:tblPr>
      <w:tblGrid>
        <w:gridCol w:w="8388"/>
      </w:tblGrid>
      <w:tr w14:paraId="4E77555F">
        <w:tblPrEx>
          <w:tblCellMar>
            <w:top w:w="0" w:type="dxa"/>
            <w:left w:w="108" w:type="dxa"/>
            <w:bottom w:w="0" w:type="dxa"/>
            <w:right w:w="108" w:type="dxa"/>
          </w:tblCellMar>
        </w:tblPrEx>
        <w:trPr>
          <w:trHeight w:val="608" w:hRule="atLeast"/>
          <w:jc w:val="center"/>
        </w:trPr>
        <w:tc>
          <w:tcPr>
            <w:tcW w:w="8388" w:type="dxa"/>
            <w:noWrap w:val="0"/>
            <w:vAlign w:val="center"/>
          </w:tcPr>
          <w:p w14:paraId="6415C79D">
            <w:pPr>
              <w:spacing w:before="156" w:after="93"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c>
      </w:tr>
      <w:tr w14:paraId="559CAA61">
        <w:tblPrEx>
          <w:tblCellMar>
            <w:top w:w="0" w:type="dxa"/>
            <w:left w:w="108" w:type="dxa"/>
            <w:bottom w:w="0" w:type="dxa"/>
            <w:right w:w="108" w:type="dxa"/>
          </w:tblCellMar>
        </w:tblPrEx>
        <w:trPr>
          <w:jc w:val="center"/>
        </w:trPr>
        <w:tc>
          <w:tcPr>
            <w:tcW w:w="8388" w:type="dxa"/>
            <w:noWrap w:val="0"/>
            <w:vAlign w:val="center"/>
          </w:tcPr>
          <w:p w14:paraId="2704D7AE">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275F2EA">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tc>
      </w:tr>
      <w:tr w14:paraId="1C9C8FEE">
        <w:tblPrEx>
          <w:tblCellMar>
            <w:top w:w="0" w:type="dxa"/>
            <w:left w:w="108" w:type="dxa"/>
            <w:bottom w:w="0" w:type="dxa"/>
            <w:right w:w="108" w:type="dxa"/>
          </w:tblCellMar>
        </w:tblPrEx>
        <w:trPr>
          <w:trHeight w:val="636" w:hRule="atLeast"/>
          <w:jc w:val="center"/>
        </w:trPr>
        <w:tc>
          <w:tcPr>
            <w:tcW w:w="8388" w:type="dxa"/>
            <w:noWrap w:val="0"/>
            <w:vAlign w:val="center"/>
          </w:tcPr>
          <w:p w14:paraId="763ABD5C">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r w14:paraId="097FDC59">
        <w:tblPrEx>
          <w:tblCellMar>
            <w:top w:w="0" w:type="dxa"/>
            <w:left w:w="108" w:type="dxa"/>
            <w:bottom w:w="0" w:type="dxa"/>
            <w:right w:w="108" w:type="dxa"/>
          </w:tblCellMar>
        </w:tblPrEx>
        <w:trPr>
          <w:trHeight w:val="636" w:hRule="atLeast"/>
          <w:jc w:val="center"/>
        </w:trPr>
        <w:tc>
          <w:tcPr>
            <w:tcW w:w="8388" w:type="dxa"/>
            <w:noWrap w:val="0"/>
            <w:vAlign w:val="center"/>
          </w:tcPr>
          <w:p w14:paraId="1879B4F1">
            <w:pPr>
              <w:spacing w:before="156" w:after="93" w:line="440" w:lineRule="exact"/>
              <w:rPr>
                <w:rFonts w:hint="eastAsia" w:ascii="宋体" w:hAnsi="宋体" w:eastAsia="宋体" w:cs="宋体"/>
                <w:color w:val="auto"/>
                <w:sz w:val="24"/>
                <w:szCs w:val="24"/>
                <w:highlight w:val="none"/>
              </w:rPr>
            </w:pPr>
          </w:p>
        </w:tc>
      </w:tr>
      <w:tr w14:paraId="522C1592">
        <w:tblPrEx>
          <w:tblCellMar>
            <w:top w:w="0" w:type="dxa"/>
            <w:left w:w="108" w:type="dxa"/>
            <w:bottom w:w="0" w:type="dxa"/>
            <w:right w:w="108" w:type="dxa"/>
          </w:tblCellMar>
        </w:tblPrEx>
        <w:trPr>
          <w:trHeight w:val="636" w:hRule="atLeast"/>
          <w:jc w:val="center"/>
        </w:trPr>
        <w:tc>
          <w:tcPr>
            <w:tcW w:w="8388" w:type="dxa"/>
            <w:noWrap w:val="0"/>
            <w:vAlign w:val="center"/>
          </w:tcPr>
          <w:p w14:paraId="4FCEC49A">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14:paraId="42E57DF8">
        <w:tblPrEx>
          <w:tblCellMar>
            <w:top w:w="0" w:type="dxa"/>
            <w:left w:w="108" w:type="dxa"/>
            <w:bottom w:w="0" w:type="dxa"/>
            <w:right w:w="108" w:type="dxa"/>
          </w:tblCellMar>
        </w:tblPrEx>
        <w:trPr>
          <w:trHeight w:val="636" w:hRule="atLeast"/>
          <w:jc w:val="center"/>
        </w:trPr>
        <w:tc>
          <w:tcPr>
            <w:tcW w:w="8388" w:type="dxa"/>
            <w:noWrap w:val="0"/>
            <w:vAlign w:val="center"/>
          </w:tcPr>
          <w:p w14:paraId="1A6E9D32">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266F205E">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tc>
      </w:tr>
      <w:tr w14:paraId="327E43D3">
        <w:tblPrEx>
          <w:tblCellMar>
            <w:top w:w="0" w:type="dxa"/>
            <w:left w:w="108" w:type="dxa"/>
            <w:bottom w:w="0" w:type="dxa"/>
            <w:right w:w="108" w:type="dxa"/>
          </w:tblCellMar>
        </w:tblPrEx>
        <w:trPr>
          <w:trHeight w:val="636" w:hRule="atLeast"/>
          <w:jc w:val="center"/>
        </w:trPr>
        <w:tc>
          <w:tcPr>
            <w:tcW w:w="8388" w:type="dxa"/>
            <w:noWrap w:val="0"/>
            <w:vAlign w:val="center"/>
          </w:tcPr>
          <w:p w14:paraId="74E3BC83">
            <w:pPr>
              <w:spacing w:before="156" w:after="93"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r w14:paraId="3A714181">
        <w:tblPrEx>
          <w:tblCellMar>
            <w:top w:w="0" w:type="dxa"/>
            <w:left w:w="108" w:type="dxa"/>
            <w:bottom w:w="0" w:type="dxa"/>
            <w:right w:w="108" w:type="dxa"/>
          </w:tblCellMar>
        </w:tblPrEx>
        <w:trPr>
          <w:trHeight w:val="636" w:hRule="atLeast"/>
          <w:jc w:val="center"/>
        </w:trPr>
        <w:tc>
          <w:tcPr>
            <w:tcW w:w="8388" w:type="dxa"/>
            <w:noWrap w:val="0"/>
            <w:vAlign w:val="center"/>
          </w:tcPr>
          <w:p w14:paraId="397E53CA">
            <w:pPr>
              <w:spacing w:before="156" w:after="93" w:line="440" w:lineRule="exact"/>
              <w:rPr>
                <w:rFonts w:hint="eastAsia" w:ascii="宋体" w:hAnsi="宋体" w:eastAsia="宋体" w:cs="宋体"/>
                <w:color w:val="auto"/>
                <w:sz w:val="24"/>
                <w:szCs w:val="24"/>
                <w:highlight w:val="none"/>
              </w:rPr>
            </w:pPr>
          </w:p>
        </w:tc>
      </w:tr>
    </w:tbl>
    <w:p w14:paraId="4670233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A75A0FC">
      <w:pPr>
        <w:spacing w:before="78" w:line="220" w:lineRule="auto"/>
        <w:ind w:left="298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合同一般条款</w:t>
      </w:r>
    </w:p>
    <w:p w14:paraId="0FD346E5">
      <w:pPr>
        <w:spacing w:line="520" w:lineRule="exact"/>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定义</w:t>
      </w:r>
    </w:p>
    <w:p w14:paraId="3BE9656B">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本合同中的下列词语应按以下内容进行解释：</w:t>
      </w:r>
    </w:p>
    <w:p w14:paraId="13F9A0FF">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“合同”系指采购人和成交供应商签订的载明双方当事人所达成的协议，并包括所有的附件、附录和构成合同的其他文件。</w:t>
      </w:r>
    </w:p>
    <w:p w14:paraId="000442A9">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“合同价”系指根据合同约定，成交供应商在完全履行合同义务后，采购人应支付给成交供应商的价格。</w:t>
      </w:r>
    </w:p>
    <w:p w14:paraId="2F5958D1">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“服务”系指成交供应商根据合同约定应向采购人履行的除货物和工程以外的其他政府采购对象， 包括采购人自身需要的服务和向社会公众提供的公共服务。</w:t>
      </w:r>
    </w:p>
    <w:p w14:paraId="181F013B">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 “甲方”系指与成交供应商签署合同的采购人；采购人委托采购代理机构代表其与乙方签订合同的，采购人的授权委托书作为合同附件。</w:t>
      </w:r>
    </w:p>
    <w:p w14:paraId="5968F90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2.1.5 “乙方”系指根据合同约定提供服务的成交供应商；两个以上的自然人、法人或者其他组织组成一个联合体，以一个供应商的身份共同参加政府采购的，联合体各方均应为乙方或者与乙方相同地位</w:t>
      </w:r>
      <w:r>
        <w:rPr>
          <w:rFonts w:hint="eastAsia" w:ascii="宋体" w:hAnsi="宋体" w:eastAsia="宋体" w:cs="宋体"/>
          <w:color w:val="auto"/>
          <w:sz w:val="24"/>
          <w:szCs w:val="24"/>
          <w:highlight w:val="none"/>
        </w:rPr>
        <w:t>的合同当事人，并就合同约定的事项对甲方承担连带责任。</w:t>
      </w:r>
    </w:p>
    <w:p w14:paraId="55944DB5">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5BF0FA43">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技术规范</w:t>
      </w:r>
    </w:p>
    <w:p w14:paraId="1C38D1C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8A8337C">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知识产权</w:t>
      </w:r>
    </w:p>
    <w:p w14:paraId="12A8B341">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EC59A3B">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具有知识产权的计算机软件等货物的知识产权归属， 详见</w:t>
      </w:r>
      <w:r>
        <w:rPr>
          <w:rFonts w:hint="eastAsia" w:ascii="宋体" w:hAnsi="宋体" w:eastAsia="宋体" w:cs="宋体"/>
          <w:color w:val="auto"/>
          <w:sz w:val="24"/>
          <w:szCs w:val="24"/>
          <w:highlight w:val="none"/>
          <w:u w:val="single"/>
        </w:rPr>
        <w:t>合同专用条 款</w:t>
      </w:r>
      <w:r>
        <w:rPr>
          <w:rFonts w:hint="eastAsia" w:ascii="宋体" w:hAnsi="宋体" w:eastAsia="宋体" w:cs="宋体"/>
          <w:color w:val="auto"/>
          <w:sz w:val="24"/>
          <w:szCs w:val="24"/>
          <w:highlight w:val="none"/>
        </w:rPr>
        <w:t>。</w:t>
      </w:r>
    </w:p>
    <w:p w14:paraId="772D24B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履约检查和问题反馈</w:t>
      </w:r>
    </w:p>
    <w:p w14:paraId="3210C79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368C49E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06E51C7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结算方式和付款条件详见</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w:t>
      </w:r>
    </w:p>
    <w:p w14:paraId="7444C0AB">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技术资料和保密义务</w:t>
      </w:r>
    </w:p>
    <w:p w14:paraId="480809D7">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777A8B67">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101092E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81F9BF">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质量保证</w:t>
      </w:r>
    </w:p>
    <w:p w14:paraId="4EB0140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7AF30E8A">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2C6560B7">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延迟履行</w:t>
      </w:r>
    </w:p>
    <w:p w14:paraId="42F31560">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888876C">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 合同变更</w:t>
      </w:r>
    </w:p>
    <w:p w14:paraId="4532AA5A">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双方当事人协商一致，可以签订书面补充合同的形式变更合同，但不 得违背采购文件确定的事项；</w:t>
      </w:r>
    </w:p>
    <w:p w14:paraId="184D8E31">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合同继续履行将损害国家利益和社会公共利益的，双方当事人应当以书面形式变更合同。有过错的一方应当承担赔偿责任，双方当事人都有过错的， 各自承担相应的责任。</w:t>
      </w:r>
    </w:p>
    <w:p w14:paraId="60119A3C">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 合同转让和分包</w:t>
      </w:r>
    </w:p>
    <w:p w14:paraId="5DF65C77">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49939B">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不可抗力</w:t>
      </w:r>
    </w:p>
    <w:p w14:paraId="5EBF39C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 如果任何一方遭遇法律规定的不可抗力，致使合同履行受阻时，履行合同的期限应予延长，延长的期限应相当于不可抗力所影响的时间；</w:t>
      </w:r>
    </w:p>
    <w:p w14:paraId="23B328F5">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680E33F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07BBD77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 受不可抗力影响的一方在不可抗力发生后，应在</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13ACB562">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税费</w:t>
      </w:r>
    </w:p>
    <w:p w14:paraId="24003F6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748D8E5A">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乙方破产</w:t>
      </w:r>
    </w:p>
    <w:p w14:paraId="264F7E1A">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59AF08">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合同中止、终止</w:t>
      </w:r>
    </w:p>
    <w:p w14:paraId="6977409B">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39044470">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0A3C2B6A">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检验和验收</w:t>
      </w:r>
    </w:p>
    <w:p w14:paraId="44F314D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33C08B4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31D4E0E1">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color w:val="auto"/>
          <w:sz w:val="24"/>
          <w:szCs w:val="24"/>
          <w:highlight w:val="none"/>
          <w:u w:val="single"/>
        </w:rPr>
        <w:t>合同专用条款。</w:t>
      </w:r>
    </w:p>
    <w:p w14:paraId="6AA72C17">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合同使用的文字和适用的法律</w:t>
      </w:r>
    </w:p>
    <w:p w14:paraId="6EEAC55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 合同使用汉语书就、变更和解释；</w:t>
      </w:r>
    </w:p>
    <w:p w14:paraId="07D9462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 合同适用中华人民共和国法律。</w:t>
      </w:r>
    </w:p>
    <w:p w14:paraId="19D29F00">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 履约保证金</w:t>
      </w:r>
    </w:p>
    <w:p w14:paraId="16769E60">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采购文件要求乙方提交履约保证金的，乙方应按</w:t>
      </w:r>
      <w:r>
        <w:rPr>
          <w:rFonts w:hint="eastAsia" w:ascii="宋体" w:hAnsi="宋体" w:eastAsia="宋体" w:cs="宋体"/>
          <w:color w:val="auto"/>
          <w:sz w:val="24"/>
          <w:szCs w:val="24"/>
          <w:highlight w:val="none"/>
          <w:u w:val="single"/>
        </w:rPr>
        <w:t>供应商须知前附表的</w:t>
      </w:r>
      <w:r>
        <w:rPr>
          <w:rFonts w:hint="eastAsia" w:ascii="宋体" w:hAnsi="宋体" w:eastAsia="宋体" w:cs="宋体"/>
          <w:color w:val="auto"/>
          <w:sz w:val="24"/>
          <w:szCs w:val="24"/>
          <w:highlight w:val="none"/>
        </w:rPr>
        <w:t>约定提交不超过合同价2.5%的履约保证金；</w:t>
      </w:r>
    </w:p>
    <w:p w14:paraId="78009008">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8686EA">
      <w:pPr>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 合同份数</w:t>
      </w:r>
    </w:p>
    <w:p w14:paraId="7C6C77A6">
      <w:pPr>
        <w:spacing w:line="520" w:lineRule="exact"/>
        <w:ind w:firstLine="480" w:firstLineChars="200"/>
        <w:rPr>
          <w:rFonts w:hint="eastAsia" w:ascii="宋体" w:hAnsi="宋体" w:eastAsia="宋体" w:cs="宋体"/>
          <w:color w:val="auto"/>
          <w:highlight w:val="none"/>
        </w:rPr>
        <w:sectPr>
          <w:headerReference r:id="rId4" w:type="default"/>
          <w:footerReference r:id="rId5" w:type="default"/>
          <w:pgSz w:w="11907" w:h="16839"/>
          <w:pgMar w:top="1118" w:right="1731" w:bottom="1233" w:left="1771" w:header="877" w:footer="982"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z w:val="24"/>
          <w:szCs w:val="24"/>
          <w:highlight w:val="none"/>
        </w:rPr>
        <w:t>合同份数按</w:t>
      </w:r>
      <w:r>
        <w:rPr>
          <w:rFonts w:hint="eastAsia" w:ascii="宋体" w:hAnsi="宋体" w:eastAsia="宋体" w:cs="宋体"/>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37A86254">
      <w:pPr>
        <w:adjustRightInd w:val="0"/>
        <w:snapToGrid w:val="0"/>
        <w:spacing w:line="7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 合同专用条款</w:t>
      </w:r>
    </w:p>
    <w:p w14:paraId="237902EB">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F03832F">
      <w:pPr>
        <w:spacing w:line="69" w:lineRule="exact"/>
        <w:rPr>
          <w:rFonts w:hint="eastAsia" w:ascii="宋体" w:hAnsi="宋体" w:eastAsia="宋体" w:cs="宋体"/>
          <w:color w:val="auto"/>
          <w:sz w:val="24"/>
          <w:szCs w:val="24"/>
          <w:highlight w:val="none"/>
        </w:rPr>
      </w:pPr>
    </w:p>
    <w:tbl>
      <w:tblPr>
        <w:tblStyle w:val="13"/>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4FCBB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7CF3AF01">
            <w:pPr>
              <w:spacing w:before="83" w:line="220" w:lineRule="auto"/>
              <w:ind w:left="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014" w:type="dxa"/>
            <w:tcBorders>
              <w:left w:val="single" w:color="000000" w:sz="4" w:space="0"/>
              <w:right w:val="single" w:color="000000" w:sz="4" w:space="0"/>
            </w:tcBorders>
            <w:noWrap w:val="0"/>
            <w:vAlign w:val="center"/>
          </w:tcPr>
          <w:p w14:paraId="38EF6BAD">
            <w:pPr>
              <w:spacing w:before="83" w:line="22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r>
      <w:tr w14:paraId="518CF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7260E799">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6527BE8A">
            <w:pPr>
              <w:rPr>
                <w:rFonts w:hint="eastAsia" w:ascii="宋体" w:hAnsi="宋体" w:eastAsia="宋体" w:cs="宋体"/>
                <w:color w:val="auto"/>
                <w:sz w:val="24"/>
                <w:szCs w:val="24"/>
                <w:highlight w:val="none"/>
              </w:rPr>
            </w:pPr>
          </w:p>
        </w:tc>
      </w:tr>
      <w:tr w14:paraId="585D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79C601D9">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1B5CA20C">
            <w:pPr>
              <w:rPr>
                <w:rFonts w:hint="eastAsia" w:ascii="宋体" w:hAnsi="宋体" w:eastAsia="宋体" w:cs="宋体"/>
                <w:color w:val="auto"/>
                <w:sz w:val="24"/>
                <w:szCs w:val="24"/>
                <w:highlight w:val="none"/>
              </w:rPr>
            </w:pPr>
          </w:p>
        </w:tc>
      </w:tr>
      <w:tr w14:paraId="2C195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260CE1E7">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6813075C">
            <w:pPr>
              <w:rPr>
                <w:rFonts w:hint="eastAsia" w:ascii="宋体" w:hAnsi="宋体" w:eastAsia="宋体" w:cs="宋体"/>
                <w:color w:val="auto"/>
                <w:sz w:val="24"/>
                <w:szCs w:val="24"/>
                <w:highlight w:val="none"/>
              </w:rPr>
            </w:pPr>
          </w:p>
        </w:tc>
      </w:tr>
      <w:tr w14:paraId="33C2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93C1292">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4B5CE5CC">
            <w:pPr>
              <w:rPr>
                <w:rFonts w:hint="eastAsia" w:ascii="宋体" w:hAnsi="宋体" w:eastAsia="宋体" w:cs="宋体"/>
                <w:color w:val="auto"/>
                <w:sz w:val="24"/>
                <w:szCs w:val="24"/>
                <w:highlight w:val="none"/>
              </w:rPr>
            </w:pPr>
          </w:p>
        </w:tc>
      </w:tr>
      <w:tr w14:paraId="1ABD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2467F5FE">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75ADF1C9">
            <w:pPr>
              <w:rPr>
                <w:rFonts w:hint="eastAsia" w:ascii="宋体" w:hAnsi="宋体" w:eastAsia="宋体" w:cs="宋体"/>
                <w:color w:val="auto"/>
                <w:sz w:val="24"/>
                <w:szCs w:val="24"/>
                <w:highlight w:val="none"/>
              </w:rPr>
            </w:pPr>
          </w:p>
        </w:tc>
      </w:tr>
      <w:tr w14:paraId="0647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D61A20F">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0ADDBAB9">
            <w:pPr>
              <w:rPr>
                <w:rFonts w:hint="eastAsia" w:ascii="宋体" w:hAnsi="宋体" w:eastAsia="宋体" w:cs="宋体"/>
                <w:color w:val="auto"/>
                <w:sz w:val="24"/>
                <w:szCs w:val="24"/>
                <w:highlight w:val="none"/>
              </w:rPr>
            </w:pPr>
          </w:p>
        </w:tc>
      </w:tr>
      <w:tr w14:paraId="4B8B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6EE0E026">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20C00031">
            <w:pPr>
              <w:rPr>
                <w:rFonts w:hint="eastAsia" w:ascii="宋体" w:hAnsi="宋体" w:eastAsia="宋体" w:cs="宋体"/>
                <w:color w:val="auto"/>
                <w:sz w:val="24"/>
                <w:szCs w:val="24"/>
                <w:highlight w:val="none"/>
              </w:rPr>
            </w:pPr>
          </w:p>
        </w:tc>
      </w:tr>
      <w:tr w14:paraId="1288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09DD880B">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763E648E">
            <w:pPr>
              <w:rPr>
                <w:rFonts w:hint="eastAsia" w:ascii="宋体" w:hAnsi="宋体" w:eastAsia="宋体" w:cs="宋体"/>
                <w:color w:val="auto"/>
                <w:sz w:val="24"/>
                <w:szCs w:val="24"/>
                <w:highlight w:val="none"/>
              </w:rPr>
            </w:pPr>
          </w:p>
        </w:tc>
      </w:tr>
      <w:tr w14:paraId="79FCE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6DC9CA44">
            <w:pPr>
              <w:rPr>
                <w:rFonts w:hint="eastAsia" w:ascii="宋体" w:hAnsi="宋体" w:eastAsia="宋体" w:cs="宋体"/>
                <w:color w:val="auto"/>
                <w:sz w:val="24"/>
                <w:szCs w:val="24"/>
                <w:highlight w:val="none"/>
              </w:rPr>
            </w:pPr>
          </w:p>
        </w:tc>
        <w:tc>
          <w:tcPr>
            <w:tcW w:w="7014" w:type="dxa"/>
            <w:tcBorders>
              <w:left w:val="single" w:color="000000" w:sz="4" w:space="0"/>
              <w:right w:val="single" w:color="000000" w:sz="4" w:space="0"/>
            </w:tcBorders>
            <w:noWrap w:val="0"/>
            <w:vAlign w:val="center"/>
          </w:tcPr>
          <w:p w14:paraId="1FDEC44C">
            <w:pPr>
              <w:rPr>
                <w:rFonts w:hint="eastAsia" w:ascii="宋体" w:hAnsi="宋体" w:eastAsia="宋体" w:cs="宋体"/>
                <w:color w:val="auto"/>
                <w:sz w:val="24"/>
                <w:szCs w:val="24"/>
                <w:highlight w:val="none"/>
              </w:rPr>
            </w:pPr>
          </w:p>
        </w:tc>
      </w:tr>
    </w:tbl>
    <w:p w14:paraId="620BCE65">
      <w:pPr>
        <w:pStyle w:val="12"/>
        <w:ind w:firstLine="0"/>
        <w:rPr>
          <w:rFonts w:hint="eastAsia" w:ascii="宋体" w:hAnsi="宋体" w:eastAsia="宋体" w:cs="宋体"/>
          <w:color w:val="auto"/>
          <w:highlight w:val="none"/>
        </w:rPr>
      </w:pPr>
    </w:p>
    <w:p w14:paraId="388C1DE9">
      <w:pPr>
        <w:pStyle w:val="12"/>
        <w:ind w:firstLine="0"/>
        <w:rPr>
          <w:rFonts w:hint="eastAsia" w:ascii="宋体" w:hAnsi="宋体" w:eastAsia="宋体" w:cs="宋体"/>
          <w:color w:val="auto"/>
          <w:highlight w:val="none"/>
        </w:rPr>
      </w:pPr>
    </w:p>
    <w:p w14:paraId="4D3EE00E">
      <w:pPr>
        <w:pStyle w:val="12"/>
        <w:ind w:firstLine="0"/>
        <w:rPr>
          <w:rFonts w:hint="eastAsia" w:ascii="宋体" w:hAnsi="宋体" w:eastAsia="宋体" w:cs="宋体"/>
          <w:color w:val="auto"/>
          <w:highlight w:val="none"/>
        </w:rPr>
      </w:pPr>
    </w:p>
    <w:p w14:paraId="2CE866CA">
      <w:pPr>
        <w:pStyle w:val="12"/>
        <w:ind w:firstLine="0"/>
        <w:rPr>
          <w:rFonts w:hint="eastAsia" w:ascii="宋体" w:hAnsi="宋体" w:eastAsia="宋体" w:cs="宋体"/>
          <w:color w:val="auto"/>
          <w:highlight w:val="none"/>
        </w:rPr>
      </w:pPr>
    </w:p>
    <w:p w14:paraId="3B87566C">
      <w:pPr>
        <w:pStyle w:val="12"/>
        <w:ind w:firstLine="0"/>
        <w:rPr>
          <w:rFonts w:hint="eastAsia" w:ascii="宋体" w:hAnsi="宋体" w:eastAsia="宋体" w:cs="宋体"/>
          <w:color w:val="auto"/>
          <w:highlight w:val="none"/>
        </w:rPr>
      </w:pPr>
    </w:p>
    <w:p w14:paraId="33FCB420">
      <w:pPr>
        <w:pStyle w:val="12"/>
        <w:ind w:firstLine="0"/>
        <w:rPr>
          <w:rFonts w:hint="eastAsia" w:ascii="宋体" w:hAnsi="宋体" w:eastAsia="宋体" w:cs="宋体"/>
          <w:color w:val="auto"/>
          <w:highlight w:val="none"/>
        </w:rPr>
      </w:pPr>
    </w:p>
    <w:p w14:paraId="6BEF2CED">
      <w:pPr>
        <w:pStyle w:val="12"/>
        <w:ind w:firstLine="0"/>
        <w:rPr>
          <w:rFonts w:hint="eastAsia" w:ascii="宋体" w:hAnsi="宋体" w:eastAsia="宋体" w:cs="宋体"/>
          <w:color w:val="auto"/>
          <w:highlight w:val="none"/>
        </w:rPr>
      </w:pPr>
    </w:p>
    <w:p w14:paraId="6AE5118F">
      <w:pPr>
        <w:pStyle w:val="12"/>
        <w:ind w:firstLine="0"/>
        <w:rPr>
          <w:rFonts w:hint="eastAsia" w:ascii="宋体" w:hAnsi="宋体" w:eastAsia="宋体" w:cs="宋体"/>
          <w:color w:val="auto"/>
          <w:highlight w:val="none"/>
        </w:rPr>
      </w:pPr>
    </w:p>
    <w:p w14:paraId="2166F587">
      <w:pPr>
        <w:pStyle w:val="12"/>
        <w:ind w:firstLine="0"/>
        <w:rPr>
          <w:rFonts w:hint="eastAsia" w:ascii="宋体" w:hAnsi="宋体" w:eastAsia="宋体" w:cs="宋体"/>
          <w:color w:val="auto"/>
          <w:highlight w:val="none"/>
        </w:rPr>
      </w:pPr>
    </w:p>
    <w:p w14:paraId="325C466A">
      <w:pPr>
        <w:pStyle w:val="5"/>
        <w:numPr>
          <w:ilvl w:val="0"/>
          <w:numId w:val="2"/>
        </w:numPr>
        <w:spacing w:before="0" w:after="0" w:line="560" w:lineRule="exact"/>
        <w:jc w:val="center"/>
        <w:rPr>
          <w:rFonts w:hint="eastAsia" w:ascii="宋体" w:hAnsi="宋体" w:eastAsia="宋体" w:cs="宋体"/>
          <w:b/>
          <w:bCs/>
          <w:color w:val="auto"/>
          <w:sz w:val="24"/>
          <w:szCs w:val="24"/>
          <w:highlight w:val="none"/>
        </w:rPr>
      </w:pPr>
      <w:bookmarkStart w:id="79" w:name="_Toc17199"/>
      <w:r>
        <w:rPr>
          <w:rFonts w:hint="eastAsia" w:ascii="宋体" w:hAnsi="宋体" w:eastAsia="宋体" w:cs="宋体"/>
          <w:color w:val="auto"/>
          <w:sz w:val="28"/>
          <w:szCs w:val="28"/>
          <w:highlight w:val="none"/>
        </w:rPr>
        <w:t>采购需求</w:t>
      </w:r>
      <w:bookmarkEnd w:id="79"/>
    </w:p>
    <w:p w14:paraId="402E63C0">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69663D8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根据水利部《水利工程建设项目档案管理规定》《水利工程建设项目文件收集与归档规范》等档案验收规定，对各类档案进行整编并形成数字化档案。</w:t>
      </w:r>
    </w:p>
    <w:p w14:paraId="552FD09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本项目档案资料</w:t>
      </w:r>
      <w:r>
        <w:rPr>
          <w:rFonts w:hint="eastAsia" w:ascii="宋体" w:hAnsi="宋体" w:cs="宋体"/>
          <w:color w:val="auto"/>
          <w:sz w:val="24"/>
          <w:szCs w:val="24"/>
          <w:highlight w:val="none"/>
          <w:lang w:val="en-US" w:eastAsia="zh-CN"/>
        </w:rPr>
        <w:t>涉及市县建管处</w:t>
      </w:r>
      <w:r>
        <w:rPr>
          <w:rFonts w:hint="eastAsia" w:ascii="宋体" w:hAnsi="宋体" w:eastAsia="宋体" w:cs="宋体"/>
          <w:color w:val="auto"/>
          <w:sz w:val="24"/>
          <w:szCs w:val="24"/>
          <w:highlight w:val="none"/>
          <w:lang w:val="en-US" w:eastAsia="zh-CN"/>
        </w:rPr>
        <w:t>建设资料，需进行系统性梳理、整合，同时需完成与市水利局档案室现有档案管理软件挂接。</w:t>
      </w:r>
    </w:p>
    <w:p w14:paraId="1546D3A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二、</w:t>
      </w:r>
      <w:r>
        <w:rPr>
          <w:rFonts w:hint="eastAsia" w:ascii="宋体" w:hAnsi="宋体" w:eastAsia="宋体" w:cs="宋体"/>
          <w:b/>
          <w:bCs/>
          <w:color w:val="auto"/>
          <w:sz w:val="24"/>
          <w:szCs w:val="24"/>
          <w:highlight w:val="none"/>
        </w:rPr>
        <w:t>工作主要内容</w:t>
      </w:r>
    </w:p>
    <w:p w14:paraId="2D896CD2">
      <w:pPr>
        <w:pStyle w:val="6"/>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主要工作内容为：对建管档案进行整编及数字化服务（包括工程、声像档案收集、培训、整理、叠图、编制封面、目录备考表、装订、入库、软件挂接等），对各参建单位档案业务提供咨询指导，协助建设单位做好档案专项验收等。</w:t>
      </w:r>
    </w:p>
    <w:p w14:paraId="729D75C5">
      <w:pPr>
        <w:pStyle w:val="6"/>
        <w:keepNext w:val="0"/>
        <w:keepLines w:val="0"/>
        <w:pageBreakBefore w:val="0"/>
        <w:widowControl w:val="0"/>
        <w:kinsoku/>
        <w:wordWrap/>
        <w:overflowPunct/>
        <w:topLinePunct w:val="0"/>
        <w:autoSpaceDE/>
        <w:autoSpaceDN/>
        <w:bidi w:val="0"/>
        <w:adjustRightInd/>
        <w:snapToGrid/>
        <w:spacing w:after="0" w:line="600" w:lineRule="exact"/>
        <w:ind w:firstLine="438"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highlight w:val="none"/>
        </w:rPr>
        <w:t>三、</w:t>
      </w:r>
      <w:r>
        <w:rPr>
          <w:rFonts w:hint="eastAsia" w:ascii="宋体" w:hAnsi="宋体" w:eastAsia="宋体" w:cs="宋体"/>
          <w:b/>
          <w:bCs/>
          <w:color w:val="auto"/>
          <w:spacing w:val="-35"/>
          <w:sz w:val="24"/>
          <w:highlight w:val="none"/>
        </w:rPr>
        <w:t xml:space="preserve"> </w:t>
      </w:r>
      <w:r>
        <w:rPr>
          <w:rFonts w:hint="eastAsia" w:ascii="宋体" w:hAnsi="宋体" w:eastAsia="宋体" w:cs="宋体"/>
          <w:b/>
          <w:bCs/>
          <w:color w:val="auto"/>
          <w:spacing w:val="-11"/>
          <w:sz w:val="24"/>
          <w:highlight w:val="none"/>
          <w:lang w:val="en-US" w:eastAsia="zh-CN"/>
        </w:rPr>
        <w:t>付款方式</w:t>
      </w:r>
    </w:p>
    <w:p w14:paraId="6EC9F6E4">
      <w:pPr>
        <w:pStyle w:val="6"/>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合同签订后支付合同价款的30%作为预付款（须成交供应商提交申请并提供预付款保函后支付），通过档案专项验收后支付至合同价款的90%；完成档案移交后（含软件挂接）支付剩余尾款；</w:t>
      </w:r>
    </w:p>
    <w:p w14:paraId="706956D3">
      <w:pPr>
        <w:pStyle w:val="6"/>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本项目无投标保证金、履约保证金。</w:t>
      </w:r>
    </w:p>
    <w:p w14:paraId="4E684415">
      <w:pPr>
        <w:pStyle w:val="6"/>
        <w:keepNext w:val="0"/>
        <w:keepLines w:val="0"/>
        <w:pageBreakBefore w:val="0"/>
        <w:widowControl w:val="0"/>
        <w:kinsoku/>
        <w:wordWrap/>
        <w:overflowPunct/>
        <w:topLinePunct w:val="0"/>
        <w:autoSpaceDE/>
        <w:autoSpaceDN/>
        <w:bidi w:val="0"/>
        <w:adjustRightInd/>
        <w:snapToGrid/>
        <w:spacing w:after="0" w:line="600" w:lineRule="exact"/>
        <w:ind w:firstLine="438" w:firstLineChars="200"/>
        <w:textAlignment w:val="auto"/>
        <w:rPr>
          <w:rFonts w:hint="eastAsia" w:ascii="宋体" w:hAnsi="宋体" w:eastAsia="宋体" w:cs="宋体"/>
          <w:b/>
          <w:bCs/>
          <w:color w:val="auto"/>
          <w:spacing w:val="-11"/>
          <w:sz w:val="24"/>
          <w:highlight w:val="none"/>
          <w:lang w:eastAsia="zh-CN"/>
        </w:rPr>
      </w:pPr>
      <w:r>
        <w:rPr>
          <w:rFonts w:hint="eastAsia" w:ascii="宋体" w:hAnsi="宋体" w:eastAsia="宋体" w:cs="宋体"/>
          <w:b/>
          <w:bCs/>
          <w:color w:val="auto"/>
          <w:spacing w:val="-11"/>
          <w:sz w:val="24"/>
          <w:highlight w:val="none"/>
          <w:lang w:val="en-US" w:eastAsia="zh-CN"/>
        </w:rPr>
        <w:t>四</w:t>
      </w:r>
      <w:r>
        <w:rPr>
          <w:rFonts w:hint="eastAsia" w:ascii="宋体" w:hAnsi="宋体" w:eastAsia="宋体" w:cs="宋体"/>
          <w:b/>
          <w:bCs/>
          <w:color w:val="auto"/>
          <w:spacing w:val="-11"/>
          <w:sz w:val="24"/>
          <w:highlight w:val="none"/>
        </w:rPr>
        <w:t>、</w:t>
      </w:r>
      <w:r>
        <w:rPr>
          <w:rFonts w:hint="eastAsia" w:ascii="宋体" w:hAnsi="宋体" w:eastAsia="宋体" w:cs="宋体"/>
          <w:b/>
          <w:bCs/>
          <w:color w:val="auto"/>
          <w:spacing w:val="-11"/>
          <w:sz w:val="24"/>
          <w:highlight w:val="none"/>
          <w:lang w:val="en-US" w:eastAsia="zh-CN"/>
        </w:rPr>
        <w:t>其他要求</w:t>
      </w:r>
    </w:p>
    <w:bookmarkEnd w:id="78"/>
    <w:p w14:paraId="6627707B">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cs="宋体"/>
          <w:color w:val="auto"/>
          <w:spacing w:val="2"/>
          <w:sz w:val="24"/>
          <w:szCs w:val="24"/>
          <w:highlight w:val="none"/>
          <w:lang w:val="en-US" w:eastAsia="zh-CN"/>
        </w:rPr>
      </w:pPr>
      <w:bookmarkStart w:id="80" w:name="_Toc21831"/>
      <w:bookmarkStart w:id="81" w:name="_Toc19815"/>
      <w:bookmarkStart w:id="82" w:name="_Toc25911"/>
      <w:r>
        <w:rPr>
          <w:rFonts w:hint="eastAsia" w:ascii="宋体" w:hAnsi="宋体" w:cs="宋体"/>
          <w:color w:val="auto"/>
          <w:spacing w:val="2"/>
          <w:sz w:val="24"/>
          <w:szCs w:val="24"/>
          <w:highlight w:val="none"/>
          <w:lang w:val="en-US" w:eastAsia="zh-CN"/>
        </w:rPr>
        <w:t>1、本项目须与杭埠河治理工程档案衔接；</w:t>
      </w:r>
    </w:p>
    <w:p w14:paraId="348AE45B">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2、成交供应商须提供不少于3次现场培训和指导；</w:t>
      </w:r>
    </w:p>
    <w:p w14:paraId="34129171">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3、电子版档案应同时使用移动硬盘作为存储介质移交三份至建管处，纸质档案一式两份；</w:t>
      </w:r>
    </w:p>
    <w:p w14:paraId="19DCC9A2">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4、成交供应商须按照相关法律、法规与采购人签订保密协议。</w:t>
      </w:r>
    </w:p>
    <w:p w14:paraId="49216291">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br w:type="page"/>
      </w:r>
    </w:p>
    <w:p w14:paraId="192680EA">
      <w:pPr>
        <w:pStyle w:val="5"/>
        <w:spacing w:before="0" w:after="156" w:afterLines="50" w:line="580" w:lineRule="exact"/>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四、评分标准</w:t>
      </w:r>
      <w:bookmarkEnd w:id="80"/>
      <w:bookmarkEnd w:id="81"/>
      <w:bookmarkEnd w:id="82"/>
    </w:p>
    <w:p w14:paraId="41268FBA">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2"/>
          <w:sz w:val="24"/>
          <w:szCs w:val="24"/>
          <w:highlight w:val="none"/>
        </w:rPr>
      </w:pPr>
      <w:bookmarkStart w:id="83" w:name="_Toc8088"/>
      <w:bookmarkStart w:id="84" w:name="_Toc5553"/>
      <w:bookmarkStart w:id="85" w:name="_Toc14458"/>
      <w:r>
        <w:rPr>
          <w:rFonts w:hint="eastAsia" w:ascii="宋体" w:hAnsi="宋体" w:eastAsia="宋体" w:cs="宋体"/>
          <w:color w:val="auto"/>
          <w:spacing w:val="2"/>
          <w:sz w:val="24"/>
          <w:szCs w:val="24"/>
          <w:highlight w:val="none"/>
        </w:rPr>
        <w:t>1、本次磋商采用百分制评分法，商务（报价）权重</w:t>
      </w:r>
      <w:r>
        <w:rPr>
          <w:rFonts w:hint="eastAsia" w:ascii="宋体" w:hAnsi="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rPr>
        <w:t>%，经评审满足磋商文件要求且最后报价最低的供应商的价格为磋商基准价，其价格为满分，得</w:t>
      </w:r>
      <w:r>
        <w:rPr>
          <w:rFonts w:hint="eastAsia" w:ascii="宋体" w:hAnsi="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rPr>
        <w:t>分。其他供应商的价格分统一按照下列公式计算：</w:t>
      </w:r>
    </w:p>
    <w:p w14:paraId="3A5194B0">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磋商报价得分=（磋商基准价/最后磋商报价）×</w:t>
      </w:r>
      <w:r>
        <w:rPr>
          <w:rFonts w:hint="eastAsia" w:ascii="宋体" w:hAnsi="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rPr>
        <w:t>0。</w:t>
      </w:r>
    </w:p>
    <w:p w14:paraId="2AF5F799">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注：超过最高限价的最后磋商报价为无效报价，按废标处理。</w:t>
      </w:r>
    </w:p>
    <w:p w14:paraId="16BEE693">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具体评分细则如下：</w:t>
      </w:r>
    </w:p>
    <w:tbl>
      <w:tblPr>
        <w:tblStyle w:val="1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685"/>
        <w:gridCol w:w="2789"/>
        <w:gridCol w:w="716"/>
        <w:gridCol w:w="5089"/>
      </w:tblGrid>
      <w:tr w14:paraId="084D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23F2A9C">
            <w:pPr>
              <w:jc w:val="center"/>
              <w:rPr>
                <w:rFonts w:ascii="宋体" w:hAnsi="宋体" w:cs="宋体"/>
                <w:b/>
                <w:bCs/>
                <w:color w:val="auto"/>
                <w:sz w:val="24"/>
                <w:szCs w:val="24"/>
                <w:highlight w:val="none"/>
              </w:rPr>
            </w:pPr>
            <w:r>
              <w:rPr>
                <w:rFonts w:hint="eastAsia"/>
                <w:b/>
                <w:color w:val="auto"/>
                <w:sz w:val="24"/>
                <w:szCs w:val="24"/>
                <w:highlight w:val="none"/>
              </w:rPr>
              <w:t>序号</w:t>
            </w:r>
          </w:p>
        </w:tc>
        <w:tc>
          <w:tcPr>
            <w:tcW w:w="2789" w:type="dxa"/>
            <w:tcBorders>
              <w:top w:val="single" w:color="auto" w:sz="4" w:space="0"/>
              <w:left w:val="single" w:color="auto" w:sz="4" w:space="0"/>
              <w:bottom w:val="single" w:color="auto" w:sz="4" w:space="0"/>
              <w:right w:val="single" w:color="auto" w:sz="4" w:space="0"/>
            </w:tcBorders>
            <w:vAlign w:val="center"/>
          </w:tcPr>
          <w:p w14:paraId="258A7E79">
            <w:pPr>
              <w:jc w:val="center"/>
              <w:rPr>
                <w:rFonts w:ascii="宋体" w:hAnsi="宋体" w:cs="宋体"/>
                <w:b/>
                <w:bCs/>
                <w:color w:val="auto"/>
                <w:sz w:val="24"/>
                <w:szCs w:val="24"/>
                <w:highlight w:val="none"/>
              </w:rPr>
            </w:pPr>
            <w:r>
              <w:rPr>
                <w:rFonts w:hint="eastAsia"/>
                <w:b/>
                <w:color w:val="auto"/>
                <w:sz w:val="24"/>
                <w:szCs w:val="24"/>
                <w:highlight w:val="none"/>
              </w:rPr>
              <w:t>评分要素</w:t>
            </w:r>
          </w:p>
        </w:tc>
        <w:tc>
          <w:tcPr>
            <w:tcW w:w="716" w:type="dxa"/>
            <w:tcBorders>
              <w:top w:val="single" w:color="auto" w:sz="4" w:space="0"/>
              <w:left w:val="single" w:color="auto" w:sz="4" w:space="0"/>
              <w:bottom w:val="single" w:color="auto" w:sz="4" w:space="0"/>
              <w:right w:val="single" w:color="auto" w:sz="4" w:space="0"/>
            </w:tcBorders>
            <w:vAlign w:val="center"/>
          </w:tcPr>
          <w:p w14:paraId="649176B9">
            <w:pPr>
              <w:jc w:val="center"/>
              <w:rPr>
                <w:rFonts w:ascii="宋体" w:hAnsi="宋体" w:cs="宋体"/>
                <w:b/>
                <w:bCs/>
                <w:color w:val="auto"/>
                <w:sz w:val="24"/>
                <w:szCs w:val="24"/>
                <w:highlight w:val="none"/>
              </w:rPr>
            </w:pPr>
            <w:r>
              <w:rPr>
                <w:rFonts w:hint="eastAsia"/>
                <w:b/>
                <w:color w:val="auto"/>
                <w:sz w:val="24"/>
                <w:szCs w:val="24"/>
                <w:highlight w:val="none"/>
              </w:rPr>
              <w:t>分值</w:t>
            </w:r>
          </w:p>
        </w:tc>
        <w:tc>
          <w:tcPr>
            <w:tcW w:w="5089" w:type="dxa"/>
            <w:tcBorders>
              <w:top w:val="single" w:color="auto" w:sz="4" w:space="0"/>
              <w:left w:val="single" w:color="auto" w:sz="4" w:space="0"/>
              <w:bottom w:val="single" w:color="auto" w:sz="4" w:space="0"/>
              <w:right w:val="single" w:color="auto" w:sz="4" w:space="0"/>
            </w:tcBorders>
            <w:vAlign w:val="center"/>
          </w:tcPr>
          <w:p w14:paraId="336A72AF">
            <w:pPr>
              <w:jc w:val="center"/>
              <w:rPr>
                <w:rFonts w:ascii="宋体" w:hAnsi="宋体" w:cs="宋体"/>
                <w:b/>
                <w:bCs/>
                <w:color w:val="auto"/>
                <w:sz w:val="24"/>
                <w:szCs w:val="24"/>
                <w:highlight w:val="none"/>
              </w:rPr>
            </w:pPr>
            <w:r>
              <w:rPr>
                <w:rFonts w:hint="eastAsia"/>
                <w:b/>
                <w:color w:val="auto"/>
                <w:sz w:val="24"/>
                <w:szCs w:val="24"/>
                <w:highlight w:val="none"/>
              </w:rPr>
              <w:t>评分标准</w:t>
            </w:r>
          </w:p>
        </w:tc>
      </w:tr>
      <w:tr w14:paraId="1913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7462F824">
            <w:pPr>
              <w:jc w:val="center"/>
              <w:rPr>
                <w:rFonts w:hint="eastAsia" w:ascii="宋体" w:hAnsi="宋体" w:cs="宋体"/>
                <w:color w:val="auto"/>
                <w:sz w:val="24"/>
                <w:szCs w:val="24"/>
                <w:highlight w:val="none"/>
              </w:rPr>
            </w:pPr>
            <w:r>
              <w:rPr>
                <w:rFonts w:hint="eastAsia"/>
                <w:b/>
                <w:color w:val="auto"/>
                <w:sz w:val="24"/>
                <w:szCs w:val="24"/>
                <w:highlight w:val="none"/>
              </w:rPr>
              <w:t>1</w:t>
            </w:r>
          </w:p>
        </w:tc>
        <w:tc>
          <w:tcPr>
            <w:tcW w:w="2789" w:type="dxa"/>
            <w:tcBorders>
              <w:top w:val="single" w:color="auto" w:sz="4" w:space="0"/>
              <w:left w:val="single" w:color="auto" w:sz="4" w:space="0"/>
              <w:right w:val="single" w:color="auto" w:sz="4" w:space="0"/>
            </w:tcBorders>
            <w:vAlign w:val="center"/>
          </w:tcPr>
          <w:p w14:paraId="4B7CFE96">
            <w:pPr>
              <w:jc w:val="center"/>
              <w:rPr>
                <w:rFonts w:hint="eastAsia" w:ascii="宋体" w:hAnsi="宋体" w:cs="宋体"/>
                <w:bCs/>
                <w:color w:val="auto"/>
                <w:sz w:val="24"/>
                <w:szCs w:val="24"/>
                <w:highlight w:val="none"/>
              </w:rPr>
            </w:pPr>
            <w:r>
              <w:rPr>
                <w:rFonts w:hint="eastAsia"/>
                <w:b/>
                <w:color w:val="auto"/>
                <w:sz w:val="24"/>
                <w:szCs w:val="24"/>
                <w:highlight w:val="none"/>
              </w:rPr>
              <w:t>投标报价</w:t>
            </w:r>
          </w:p>
        </w:tc>
        <w:tc>
          <w:tcPr>
            <w:tcW w:w="716" w:type="dxa"/>
            <w:tcBorders>
              <w:top w:val="single" w:color="auto" w:sz="4" w:space="0"/>
              <w:left w:val="single" w:color="auto" w:sz="4" w:space="0"/>
              <w:right w:val="single" w:color="auto" w:sz="4" w:space="0"/>
            </w:tcBorders>
            <w:vAlign w:val="center"/>
          </w:tcPr>
          <w:p w14:paraId="42A159A8">
            <w:pPr>
              <w:jc w:val="center"/>
              <w:rPr>
                <w:rFonts w:hint="default" w:ascii="宋体" w:hAnsi="宋体"/>
                <w:color w:val="auto"/>
                <w:sz w:val="24"/>
                <w:szCs w:val="24"/>
                <w:highlight w:val="none"/>
                <w:lang w:val="en-US"/>
              </w:rPr>
            </w:pPr>
            <w:r>
              <w:rPr>
                <w:rFonts w:hint="eastAsia"/>
                <w:b/>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vAlign w:val="center"/>
          </w:tcPr>
          <w:p w14:paraId="7367BAD0">
            <w:pPr>
              <w:pageBreakBefore w:val="0"/>
              <w:widowControl/>
              <w:kinsoku/>
              <w:wordWrap/>
              <w:overflowPunct/>
              <w:topLinePunct w:val="0"/>
              <w:autoSpaceDE/>
              <w:autoSpaceDN/>
              <w:bidi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价格分统一采用低价优先法，即满足磋商文件要求且最终报价最低的价格作为评标基准价，其价格分为满分</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分。其他磋商供应商的价格分统一按照下列公式计算（四舍五入保留至小数点后两位数）：</w:t>
            </w:r>
          </w:p>
          <w:p w14:paraId="4C3B72D2">
            <w:pPr>
              <w:jc w:val="left"/>
              <w:rPr>
                <w:rFonts w:hint="eastAsia" w:ascii="宋体" w:hAnsi="宋体" w:cs="宋体"/>
                <w:b/>
                <w:color w:val="auto"/>
                <w:sz w:val="24"/>
                <w:szCs w:val="24"/>
                <w:highlight w:val="none"/>
              </w:rPr>
            </w:pPr>
            <w:r>
              <w:rPr>
                <w:rFonts w:hint="eastAsia" w:ascii="宋体" w:hAnsi="宋体" w:cs="宋体"/>
                <w:b/>
                <w:bCs/>
                <w:color w:val="auto"/>
                <w:sz w:val="24"/>
                <w:szCs w:val="24"/>
                <w:highlight w:val="none"/>
              </w:rPr>
              <w:t>磋商报价得分＝（评标基准价/磋商报价）×</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rPr>
              <w:t>％×100</w:t>
            </w:r>
          </w:p>
        </w:tc>
      </w:tr>
      <w:tr w14:paraId="7406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4C44C92A">
            <w:pPr>
              <w:jc w:val="center"/>
              <w:rPr>
                <w:rFonts w:hint="eastAsia" w:ascii="宋体" w:hAnsi="宋体" w:cs="宋体"/>
                <w:color w:val="auto"/>
                <w:sz w:val="24"/>
                <w:szCs w:val="24"/>
                <w:highlight w:val="none"/>
              </w:rPr>
            </w:pPr>
            <w:r>
              <w:rPr>
                <w:rFonts w:hint="eastAsia"/>
                <w:b/>
                <w:color w:val="auto"/>
                <w:sz w:val="24"/>
                <w:szCs w:val="24"/>
                <w:highlight w:val="none"/>
              </w:rPr>
              <w:t>2</w:t>
            </w:r>
          </w:p>
        </w:tc>
        <w:tc>
          <w:tcPr>
            <w:tcW w:w="2789" w:type="dxa"/>
            <w:tcBorders>
              <w:top w:val="single" w:color="auto" w:sz="4" w:space="0"/>
              <w:left w:val="single" w:color="auto" w:sz="4" w:space="0"/>
              <w:right w:val="single" w:color="auto" w:sz="4" w:space="0"/>
            </w:tcBorders>
            <w:vAlign w:val="center"/>
          </w:tcPr>
          <w:p w14:paraId="2AB6DDBB">
            <w:pPr>
              <w:jc w:val="center"/>
              <w:rPr>
                <w:rFonts w:hint="eastAsia" w:ascii="宋体" w:hAnsi="宋体" w:cs="宋体"/>
                <w:bCs/>
                <w:color w:val="auto"/>
                <w:sz w:val="24"/>
                <w:szCs w:val="24"/>
                <w:highlight w:val="none"/>
              </w:rPr>
            </w:pPr>
            <w:r>
              <w:rPr>
                <w:rFonts w:hint="eastAsia"/>
                <w:b/>
                <w:color w:val="auto"/>
                <w:sz w:val="24"/>
                <w:szCs w:val="24"/>
                <w:highlight w:val="none"/>
              </w:rPr>
              <w:t>投标单位主要业绩</w:t>
            </w:r>
          </w:p>
        </w:tc>
        <w:tc>
          <w:tcPr>
            <w:tcW w:w="716" w:type="dxa"/>
            <w:tcBorders>
              <w:top w:val="single" w:color="auto" w:sz="4" w:space="0"/>
              <w:left w:val="single" w:color="auto" w:sz="4" w:space="0"/>
              <w:right w:val="single" w:color="auto" w:sz="4" w:space="0"/>
            </w:tcBorders>
            <w:vAlign w:val="center"/>
          </w:tcPr>
          <w:p w14:paraId="5EE3373F">
            <w:pPr>
              <w:jc w:val="center"/>
              <w:rPr>
                <w:rFonts w:hint="eastAsia" w:ascii="宋体" w:hAnsi="宋体"/>
                <w:color w:val="auto"/>
                <w:sz w:val="24"/>
                <w:szCs w:val="24"/>
                <w:highlight w:val="none"/>
              </w:rPr>
            </w:pPr>
            <w:r>
              <w:rPr>
                <w:rFonts w:hint="eastAsia"/>
                <w:b/>
                <w:color w:val="auto"/>
                <w:sz w:val="24"/>
                <w:szCs w:val="24"/>
                <w:highlight w:val="none"/>
              </w:rPr>
              <w:t>20</w:t>
            </w:r>
          </w:p>
        </w:tc>
        <w:tc>
          <w:tcPr>
            <w:tcW w:w="5089" w:type="dxa"/>
            <w:tcBorders>
              <w:top w:val="single" w:color="auto" w:sz="4" w:space="0"/>
              <w:left w:val="single" w:color="auto" w:sz="4" w:space="0"/>
              <w:right w:val="single" w:color="auto" w:sz="4" w:space="0"/>
            </w:tcBorders>
            <w:vAlign w:val="center"/>
          </w:tcPr>
          <w:p w14:paraId="58B6C0F1">
            <w:pPr>
              <w:rPr>
                <w:rFonts w:hint="eastAsia" w:ascii="宋体" w:hAnsi="宋体" w:cs="宋体"/>
                <w:b/>
                <w:color w:val="auto"/>
                <w:sz w:val="24"/>
                <w:szCs w:val="24"/>
                <w:highlight w:val="none"/>
              </w:rPr>
            </w:pPr>
          </w:p>
        </w:tc>
      </w:tr>
      <w:tr w14:paraId="3B45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95" w:hRule="atLeast"/>
          <w:jc w:val="center"/>
        </w:trPr>
        <w:tc>
          <w:tcPr>
            <w:tcW w:w="685" w:type="dxa"/>
            <w:tcBorders>
              <w:top w:val="single" w:color="auto" w:sz="4" w:space="0"/>
              <w:left w:val="single" w:color="auto" w:sz="4" w:space="0"/>
              <w:right w:val="single" w:color="auto" w:sz="4" w:space="0"/>
            </w:tcBorders>
            <w:vAlign w:val="center"/>
          </w:tcPr>
          <w:p w14:paraId="623F4673">
            <w:pPr>
              <w:spacing w:line="300" w:lineRule="exact"/>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23EA4FBF">
            <w:pPr>
              <w:jc w:val="center"/>
              <w:rPr>
                <w:rFonts w:hint="eastAsia" w:ascii="宋体" w:hAnsi="宋体" w:cs="宋体"/>
                <w:bCs/>
                <w:color w:val="auto"/>
                <w:sz w:val="24"/>
                <w:szCs w:val="24"/>
                <w:highlight w:val="none"/>
              </w:rPr>
            </w:pPr>
            <w:r>
              <w:rPr>
                <w:rFonts w:hint="eastAsia"/>
                <w:color w:val="auto"/>
                <w:sz w:val="24"/>
                <w:szCs w:val="24"/>
                <w:highlight w:val="none"/>
              </w:rPr>
              <w:t>201</w:t>
            </w:r>
            <w:r>
              <w:rPr>
                <w:rFonts w:hint="eastAsia"/>
                <w:color w:val="auto"/>
                <w:sz w:val="24"/>
                <w:szCs w:val="24"/>
                <w:highlight w:val="none"/>
                <w:lang w:val="en-US" w:eastAsia="zh-CN"/>
              </w:rPr>
              <w:t>9</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月以来完成类似业绩</w:t>
            </w:r>
          </w:p>
        </w:tc>
        <w:tc>
          <w:tcPr>
            <w:tcW w:w="716" w:type="dxa"/>
            <w:tcBorders>
              <w:top w:val="single" w:color="auto" w:sz="4" w:space="0"/>
              <w:left w:val="single" w:color="auto" w:sz="4" w:space="0"/>
              <w:right w:val="single" w:color="auto" w:sz="4" w:space="0"/>
            </w:tcBorders>
            <w:vAlign w:val="center"/>
          </w:tcPr>
          <w:p w14:paraId="0A74CA7D">
            <w:pPr>
              <w:jc w:val="center"/>
              <w:rPr>
                <w:rFonts w:hint="eastAsia" w:ascii="宋体" w:hAnsi="宋体"/>
                <w:color w:val="auto"/>
                <w:sz w:val="24"/>
                <w:szCs w:val="24"/>
                <w:highlight w:val="none"/>
              </w:rPr>
            </w:pPr>
            <w:r>
              <w:rPr>
                <w:rFonts w:hint="eastAsia"/>
                <w:color w:val="auto"/>
                <w:sz w:val="24"/>
                <w:szCs w:val="24"/>
                <w:highlight w:val="none"/>
                <w:lang w:val="en-US" w:eastAsia="zh-CN"/>
              </w:rPr>
              <w:t>20</w:t>
            </w:r>
          </w:p>
        </w:tc>
        <w:tc>
          <w:tcPr>
            <w:tcW w:w="5089" w:type="dxa"/>
            <w:tcBorders>
              <w:top w:val="single" w:color="auto" w:sz="4" w:space="0"/>
              <w:left w:val="single" w:color="auto" w:sz="4" w:space="0"/>
              <w:right w:val="single" w:color="auto" w:sz="4" w:space="0"/>
            </w:tcBorders>
            <w:vAlign w:val="center"/>
          </w:tcPr>
          <w:p w14:paraId="520B143C">
            <w:pPr>
              <w:rPr>
                <w:rFonts w:hint="eastAsia" w:ascii="宋体" w:hAnsi="宋体" w:eastAsia="宋体" w:cs="宋体"/>
                <w:b/>
                <w:color w:val="auto"/>
                <w:sz w:val="24"/>
                <w:szCs w:val="24"/>
                <w:highlight w:val="none"/>
                <w:lang w:eastAsia="zh-CN"/>
              </w:rPr>
            </w:pPr>
            <w:r>
              <w:rPr>
                <w:rFonts w:hint="eastAsia"/>
                <w:color w:val="auto"/>
                <w:sz w:val="24"/>
                <w:szCs w:val="24"/>
                <w:highlight w:val="none"/>
              </w:rPr>
              <w:t>每有1个</w:t>
            </w:r>
            <w:r>
              <w:rPr>
                <w:rFonts w:hint="eastAsia" w:ascii="宋体" w:hAnsi="宋体"/>
                <w:b/>
                <w:color w:val="auto"/>
                <w:kern w:val="0"/>
                <w:sz w:val="24"/>
                <w:szCs w:val="24"/>
                <w:highlight w:val="none"/>
              </w:rPr>
              <w:t>类似</w:t>
            </w:r>
            <w:r>
              <w:rPr>
                <w:rFonts w:hint="eastAsia"/>
                <w:color w:val="auto"/>
                <w:sz w:val="24"/>
                <w:szCs w:val="24"/>
                <w:highlight w:val="none"/>
              </w:rPr>
              <w:t>业绩得</w:t>
            </w:r>
            <w:r>
              <w:rPr>
                <w:rFonts w:hint="eastAsia"/>
                <w:color w:val="auto"/>
                <w:sz w:val="24"/>
                <w:szCs w:val="24"/>
                <w:highlight w:val="none"/>
                <w:lang w:val="en-US" w:eastAsia="zh-CN"/>
              </w:rPr>
              <w:t>10</w:t>
            </w:r>
            <w:r>
              <w:rPr>
                <w:rFonts w:hint="eastAsia"/>
                <w:color w:val="auto"/>
                <w:sz w:val="24"/>
                <w:szCs w:val="24"/>
                <w:highlight w:val="none"/>
              </w:rPr>
              <w:t>分；最高得</w:t>
            </w:r>
            <w:r>
              <w:rPr>
                <w:rFonts w:hint="eastAsia"/>
                <w:color w:val="auto"/>
                <w:sz w:val="24"/>
                <w:szCs w:val="24"/>
                <w:highlight w:val="none"/>
                <w:lang w:val="en-US" w:eastAsia="zh-CN"/>
              </w:rPr>
              <w:t>20</w:t>
            </w:r>
            <w:r>
              <w:rPr>
                <w:rFonts w:hint="eastAsia"/>
                <w:color w:val="auto"/>
                <w:sz w:val="24"/>
                <w:szCs w:val="24"/>
                <w:highlight w:val="none"/>
              </w:rPr>
              <w:t>分。</w:t>
            </w:r>
            <w:r>
              <w:rPr>
                <w:rFonts w:hint="eastAsia"/>
                <w:color w:val="auto"/>
                <w:sz w:val="24"/>
                <w:szCs w:val="24"/>
                <w:highlight w:val="none"/>
                <w:lang w:eastAsia="zh-CN"/>
              </w:rPr>
              <w:t>（类似业绩指</w:t>
            </w:r>
            <w:r>
              <w:rPr>
                <w:rFonts w:hint="eastAsia"/>
                <w:color w:val="auto"/>
                <w:sz w:val="24"/>
                <w:szCs w:val="24"/>
                <w:highlight w:val="none"/>
                <w:lang w:val="en-US" w:eastAsia="zh-CN"/>
              </w:rPr>
              <w:t>水利工程</w:t>
            </w:r>
            <w:r>
              <w:rPr>
                <w:rFonts w:hint="eastAsia"/>
                <w:color w:val="auto"/>
                <w:sz w:val="24"/>
                <w:szCs w:val="24"/>
                <w:highlight w:val="none"/>
                <w:lang w:eastAsia="zh-CN"/>
              </w:rPr>
              <w:t>档案整编类项目，</w:t>
            </w:r>
            <w:r>
              <w:rPr>
                <w:rFonts w:hint="eastAsia"/>
                <w:color w:val="auto"/>
                <w:sz w:val="24"/>
                <w:szCs w:val="24"/>
                <w:highlight w:val="none"/>
                <w:lang w:val="en-US" w:eastAsia="zh-CN"/>
              </w:rPr>
              <w:t>须提供合同</w:t>
            </w:r>
            <w:r>
              <w:rPr>
                <w:rFonts w:hint="eastAsia"/>
                <w:color w:val="auto"/>
                <w:sz w:val="24"/>
                <w:szCs w:val="24"/>
                <w:highlight w:val="none"/>
                <w:lang w:eastAsia="zh-CN"/>
              </w:rPr>
              <w:t>）</w:t>
            </w:r>
          </w:p>
        </w:tc>
      </w:tr>
      <w:tr w14:paraId="01F8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64020395">
            <w:pPr>
              <w:jc w:val="center"/>
              <w:rPr>
                <w:rFonts w:hint="eastAsia" w:ascii="宋体" w:hAnsi="宋体" w:cs="宋体"/>
                <w:color w:val="auto"/>
                <w:sz w:val="24"/>
                <w:szCs w:val="24"/>
                <w:highlight w:val="none"/>
              </w:rPr>
            </w:pPr>
            <w:r>
              <w:rPr>
                <w:rFonts w:hint="eastAsia"/>
                <w:b/>
                <w:color w:val="auto"/>
                <w:sz w:val="24"/>
                <w:szCs w:val="24"/>
                <w:highlight w:val="none"/>
              </w:rPr>
              <w:t>3</w:t>
            </w:r>
          </w:p>
        </w:tc>
        <w:tc>
          <w:tcPr>
            <w:tcW w:w="2789" w:type="dxa"/>
            <w:tcBorders>
              <w:top w:val="single" w:color="auto" w:sz="4" w:space="0"/>
              <w:left w:val="single" w:color="auto" w:sz="4" w:space="0"/>
              <w:right w:val="single" w:color="auto" w:sz="4" w:space="0"/>
            </w:tcBorders>
            <w:vAlign w:val="center"/>
          </w:tcPr>
          <w:p w14:paraId="3CB6D741">
            <w:pPr>
              <w:jc w:val="center"/>
              <w:rPr>
                <w:rFonts w:hint="eastAsia" w:ascii="宋体" w:hAnsi="宋体" w:cs="宋体"/>
                <w:bCs/>
                <w:color w:val="auto"/>
                <w:sz w:val="24"/>
                <w:szCs w:val="24"/>
                <w:highlight w:val="none"/>
              </w:rPr>
            </w:pPr>
            <w:r>
              <w:rPr>
                <w:rFonts w:hint="eastAsia"/>
                <w:b/>
                <w:color w:val="auto"/>
                <w:sz w:val="24"/>
                <w:szCs w:val="24"/>
                <w:highlight w:val="none"/>
              </w:rPr>
              <w:t>项目负责人的资历、能力和业绩等</w:t>
            </w:r>
          </w:p>
        </w:tc>
        <w:tc>
          <w:tcPr>
            <w:tcW w:w="716" w:type="dxa"/>
            <w:tcBorders>
              <w:top w:val="single" w:color="auto" w:sz="4" w:space="0"/>
              <w:left w:val="single" w:color="auto" w:sz="4" w:space="0"/>
              <w:right w:val="single" w:color="auto" w:sz="4" w:space="0"/>
            </w:tcBorders>
            <w:vAlign w:val="center"/>
          </w:tcPr>
          <w:p w14:paraId="5321C94F">
            <w:pPr>
              <w:jc w:val="center"/>
              <w:rPr>
                <w:rFonts w:hint="eastAsia" w:ascii="宋体" w:hAnsi="宋体"/>
                <w:color w:val="auto"/>
                <w:sz w:val="24"/>
                <w:szCs w:val="24"/>
                <w:highlight w:val="none"/>
              </w:rPr>
            </w:pPr>
            <w:r>
              <w:rPr>
                <w:rFonts w:hint="eastAsia"/>
                <w:b/>
                <w:color w:val="auto"/>
                <w:sz w:val="24"/>
                <w:szCs w:val="24"/>
                <w:highlight w:val="none"/>
                <w:lang w:val="en-US" w:eastAsia="zh-CN"/>
              </w:rPr>
              <w:t>16</w:t>
            </w:r>
          </w:p>
        </w:tc>
        <w:tc>
          <w:tcPr>
            <w:tcW w:w="5089" w:type="dxa"/>
            <w:tcBorders>
              <w:top w:val="single" w:color="auto" w:sz="4" w:space="0"/>
              <w:left w:val="single" w:color="auto" w:sz="4" w:space="0"/>
              <w:right w:val="single" w:color="auto" w:sz="4" w:space="0"/>
            </w:tcBorders>
            <w:vAlign w:val="center"/>
          </w:tcPr>
          <w:p w14:paraId="6240AE60">
            <w:pPr>
              <w:rPr>
                <w:rFonts w:hint="eastAsia" w:ascii="宋体" w:hAnsi="宋体" w:cs="宋体"/>
                <w:b/>
                <w:color w:val="auto"/>
                <w:sz w:val="24"/>
                <w:szCs w:val="24"/>
                <w:highlight w:val="none"/>
              </w:rPr>
            </w:pPr>
          </w:p>
        </w:tc>
      </w:tr>
      <w:tr w14:paraId="76F7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3011A7D5">
            <w:pPr>
              <w:spacing w:line="300" w:lineRule="exact"/>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3D2FD9C3">
            <w:pPr>
              <w:jc w:val="center"/>
              <w:rPr>
                <w:rFonts w:hint="eastAsia" w:ascii="宋体" w:hAnsi="宋体" w:cs="宋体"/>
                <w:bCs/>
                <w:color w:val="auto"/>
                <w:sz w:val="24"/>
                <w:szCs w:val="24"/>
                <w:highlight w:val="none"/>
              </w:rPr>
            </w:pPr>
            <w:r>
              <w:rPr>
                <w:rFonts w:hint="eastAsia"/>
                <w:color w:val="auto"/>
                <w:sz w:val="24"/>
                <w:szCs w:val="24"/>
                <w:highlight w:val="none"/>
              </w:rPr>
              <w:t>从事相关工作年限</w:t>
            </w:r>
          </w:p>
        </w:tc>
        <w:tc>
          <w:tcPr>
            <w:tcW w:w="716" w:type="dxa"/>
            <w:tcBorders>
              <w:top w:val="single" w:color="auto" w:sz="4" w:space="0"/>
              <w:left w:val="single" w:color="auto" w:sz="4" w:space="0"/>
              <w:right w:val="single" w:color="auto" w:sz="4" w:space="0"/>
            </w:tcBorders>
            <w:vAlign w:val="center"/>
          </w:tcPr>
          <w:p w14:paraId="0867165D">
            <w:pPr>
              <w:jc w:val="center"/>
              <w:rPr>
                <w:rFonts w:hint="eastAsia" w:ascii="宋体" w:hAnsi="宋体"/>
                <w:color w:val="auto"/>
                <w:sz w:val="24"/>
                <w:szCs w:val="24"/>
                <w:highlight w:val="none"/>
              </w:rPr>
            </w:pPr>
            <w:r>
              <w:rPr>
                <w:rFonts w:hint="eastAsia"/>
                <w:color w:val="auto"/>
                <w:sz w:val="24"/>
                <w:szCs w:val="24"/>
                <w:highlight w:val="none"/>
                <w:lang w:val="en-US" w:eastAsia="zh-CN"/>
              </w:rPr>
              <w:t>6</w:t>
            </w:r>
          </w:p>
        </w:tc>
        <w:tc>
          <w:tcPr>
            <w:tcW w:w="5089" w:type="dxa"/>
            <w:tcBorders>
              <w:top w:val="single" w:color="auto" w:sz="4" w:space="0"/>
              <w:left w:val="single" w:color="auto" w:sz="4" w:space="0"/>
              <w:right w:val="single" w:color="auto" w:sz="4" w:space="0"/>
            </w:tcBorders>
            <w:vAlign w:val="center"/>
          </w:tcPr>
          <w:p w14:paraId="18C12C97">
            <w:pPr>
              <w:rPr>
                <w:rFonts w:hint="default"/>
                <w:color w:val="auto"/>
                <w:highlight w:val="none"/>
                <w:lang w:val="en-US" w:eastAsia="zh-CN"/>
              </w:rPr>
            </w:pPr>
            <w:r>
              <w:rPr>
                <w:rFonts w:hint="eastAsia"/>
                <w:color w:val="auto"/>
                <w:sz w:val="24"/>
                <w:szCs w:val="24"/>
                <w:highlight w:val="none"/>
              </w:rPr>
              <w:t>5年以上：</w:t>
            </w:r>
            <w:r>
              <w:rPr>
                <w:rFonts w:hint="eastAsia"/>
                <w:color w:val="auto"/>
                <w:sz w:val="24"/>
                <w:szCs w:val="24"/>
                <w:highlight w:val="none"/>
                <w:lang w:val="en-US" w:eastAsia="zh-CN"/>
              </w:rPr>
              <w:t>6</w:t>
            </w:r>
            <w:r>
              <w:rPr>
                <w:rFonts w:hint="eastAsia"/>
                <w:color w:val="auto"/>
                <w:sz w:val="24"/>
                <w:szCs w:val="24"/>
                <w:highlight w:val="none"/>
              </w:rPr>
              <w:t>分；</w:t>
            </w:r>
            <w:r>
              <w:rPr>
                <w:rFonts w:hint="eastAsia"/>
                <w:color w:val="auto"/>
                <w:sz w:val="24"/>
                <w:szCs w:val="24"/>
                <w:highlight w:val="none"/>
                <w:lang w:val="en-US" w:eastAsia="zh-CN"/>
              </w:rPr>
              <w:t>2-5年</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val="en-US" w:eastAsia="zh-CN"/>
              </w:rPr>
              <w:t>2年以下：1分。证明材料：工作年限=2024年-毕业证上的毕业年份</w:t>
            </w:r>
          </w:p>
        </w:tc>
      </w:tr>
      <w:tr w14:paraId="0958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414620B2">
            <w:pPr>
              <w:spacing w:line="300" w:lineRule="exact"/>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78D8BEE2">
            <w:pPr>
              <w:jc w:val="center"/>
              <w:rPr>
                <w:rFonts w:hint="eastAsia" w:ascii="宋体" w:hAnsi="宋体" w:eastAsia="宋体" w:cs="宋体"/>
                <w:bCs/>
                <w:color w:val="auto"/>
                <w:sz w:val="24"/>
                <w:szCs w:val="24"/>
                <w:highlight w:val="none"/>
                <w:lang w:eastAsia="zh-CN"/>
              </w:rPr>
            </w:pPr>
            <w:r>
              <w:rPr>
                <w:rFonts w:hint="eastAsia"/>
                <w:color w:val="auto"/>
                <w:sz w:val="24"/>
                <w:szCs w:val="24"/>
                <w:highlight w:val="none"/>
              </w:rPr>
              <w:t>类似项目业绩</w:t>
            </w:r>
            <w:r>
              <w:rPr>
                <w:rFonts w:hint="eastAsia"/>
                <w:color w:val="auto"/>
                <w:sz w:val="24"/>
                <w:szCs w:val="24"/>
                <w:highlight w:val="none"/>
                <w:lang w:eastAsia="zh-CN"/>
              </w:rPr>
              <w:t>（</w:t>
            </w:r>
            <w:r>
              <w:rPr>
                <w:rFonts w:hint="eastAsia"/>
                <w:color w:val="auto"/>
                <w:sz w:val="24"/>
                <w:szCs w:val="24"/>
                <w:highlight w:val="none"/>
                <w:lang w:val="en-US" w:eastAsia="zh-CN"/>
              </w:rPr>
              <w:t>无年限要求</w:t>
            </w:r>
            <w:r>
              <w:rPr>
                <w:rFonts w:hint="eastAsia"/>
                <w:color w:val="auto"/>
                <w:sz w:val="24"/>
                <w:szCs w:val="24"/>
                <w:highlight w:val="none"/>
                <w:lang w:eastAsia="zh-CN"/>
              </w:rPr>
              <w:t>）</w:t>
            </w:r>
          </w:p>
        </w:tc>
        <w:tc>
          <w:tcPr>
            <w:tcW w:w="716" w:type="dxa"/>
            <w:tcBorders>
              <w:top w:val="single" w:color="auto" w:sz="4" w:space="0"/>
              <w:left w:val="single" w:color="auto" w:sz="4" w:space="0"/>
              <w:right w:val="single" w:color="auto" w:sz="4" w:space="0"/>
            </w:tcBorders>
            <w:vAlign w:val="center"/>
          </w:tcPr>
          <w:p w14:paraId="4A270C85">
            <w:pPr>
              <w:jc w:val="center"/>
              <w:rPr>
                <w:rFonts w:hint="default" w:ascii="宋体" w:hAnsi="宋体"/>
                <w:color w:val="auto"/>
                <w:sz w:val="24"/>
                <w:szCs w:val="24"/>
                <w:highlight w:val="none"/>
                <w:lang w:val="en-US"/>
              </w:rPr>
            </w:pPr>
            <w:r>
              <w:rPr>
                <w:rFonts w:hint="eastAsia"/>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vAlign w:val="center"/>
          </w:tcPr>
          <w:p w14:paraId="0F55504A">
            <w:pPr>
              <w:rPr>
                <w:rFonts w:hint="eastAsia" w:ascii="宋体" w:hAnsi="宋体" w:cs="宋体"/>
                <w:b/>
                <w:color w:val="auto"/>
                <w:sz w:val="24"/>
                <w:szCs w:val="24"/>
                <w:highlight w:val="none"/>
              </w:rPr>
            </w:pPr>
            <w:r>
              <w:rPr>
                <w:rFonts w:hint="eastAsia"/>
                <w:color w:val="auto"/>
                <w:sz w:val="24"/>
                <w:szCs w:val="24"/>
                <w:highlight w:val="none"/>
              </w:rPr>
              <w:t>有</w:t>
            </w:r>
            <w:r>
              <w:rPr>
                <w:rFonts w:hint="eastAsia" w:ascii="宋体" w:hAnsi="宋体"/>
                <w:b/>
                <w:color w:val="auto"/>
                <w:kern w:val="0"/>
                <w:sz w:val="24"/>
                <w:szCs w:val="24"/>
                <w:highlight w:val="none"/>
              </w:rPr>
              <w:t>类似</w:t>
            </w:r>
            <w:r>
              <w:rPr>
                <w:rFonts w:hint="eastAsia"/>
                <w:color w:val="auto"/>
                <w:sz w:val="24"/>
                <w:szCs w:val="24"/>
                <w:highlight w:val="none"/>
              </w:rPr>
              <w:t>业绩得</w:t>
            </w:r>
            <w:r>
              <w:rPr>
                <w:rFonts w:hint="eastAsia"/>
                <w:color w:val="auto"/>
                <w:sz w:val="24"/>
                <w:szCs w:val="24"/>
                <w:highlight w:val="none"/>
                <w:lang w:val="en-US" w:eastAsia="zh-CN"/>
              </w:rPr>
              <w:t>10</w:t>
            </w:r>
            <w:r>
              <w:rPr>
                <w:rFonts w:hint="eastAsia"/>
                <w:color w:val="auto"/>
                <w:sz w:val="24"/>
                <w:szCs w:val="24"/>
                <w:highlight w:val="none"/>
              </w:rPr>
              <w:t>分。</w:t>
            </w:r>
            <w:r>
              <w:rPr>
                <w:rFonts w:hint="eastAsia"/>
                <w:color w:val="auto"/>
                <w:sz w:val="24"/>
                <w:szCs w:val="24"/>
                <w:highlight w:val="none"/>
                <w:lang w:eastAsia="zh-CN"/>
              </w:rPr>
              <w:t>（类似业绩指</w:t>
            </w:r>
            <w:r>
              <w:rPr>
                <w:rFonts w:hint="eastAsia"/>
                <w:color w:val="auto"/>
                <w:sz w:val="24"/>
                <w:szCs w:val="24"/>
                <w:highlight w:val="none"/>
                <w:lang w:val="en-US" w:eastAsia="zh-CN"/>
              </w:rPr>
              <w:t>水利工程</w:t>
            </w:r>
            <w:r>
              <w:rPr>
                <w:rFonts w:hint="eastAsia"/>
                <w:color w:val="auto"/>
                <w:sz w:val="24"/>
                <w:szCs w:val="24"/>
                <w:highlight w:val="none"/>
                <w:lang w:eastAsia="zh-CN"/>
              </w:rPr>
              <w:t>档案整编类项目，</w:t>
            </w:r>
            <w:r>
              <w:rPr>
                <w:rFonts w:hint="eastAsia"/>
                <w:color w:val="auto"/>
                <w:sz w:val="24"/>
                <w:szCs w:val="24"/>
                <w:highlight w:val="none"/>
                <w:lang w:val="en-US" w:eastAsia="zh-CN"/>
              </w:rPr>
              <w:t>须提供合同或项目业主证明材料</w:t>
            </w:r>
            <w:r>
              <w:rPr>
                <w:rFonts w:hint="eastAsia"/>
                <w:color w:val="auto"/>
                <w:sz w:val="24"/>
                <w:szCs w:val="24"/>
                <w:highlight w:val="none"/>
                <w:lang w:eastAsia="zh-CN"/>
              </w:rPr>
              <w:t>）</w:t>
            </w:r>
          </w:p>
        </w:tc>
      </w:tr>
      <w:tr w14:paraId="4291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0F448FE7">
            <w:pPr>
              <w:jc w:val="center"/>
              <w:rPr>
                <w:rFonts w:hint="eastAsia" w:ascii="宋体" w:hAnsi="宋体" w:cs="宋体"/>
                <w:color w:val="auto"/>
                <w:sz w:val="24"/>
                <w:szCs w:val="24"/>
                <w:highlight w:val="none"/>
              </w:rPr>
            </w:pPr>
            <w:r>
              <w:rPr>
                <w:rFonts w:hint="eastAsia"/>
                <w:b/>
                <w:color w:val="auto"/>
                <w:sz w:val="24"/>
                <w:szCs w:val="24"/>
                <w:highlight w:val="none"/>
              </w:rPr>
              <w:t>4</w:t>
            </w:r>
          </w:p>
        </w:tc>
        <w:tc>
          <w:tcPr>
            <w:tcW w:w="2789" w:type="dxa"/>
            <w:tcBorders>
              <w:top w:val="single" w:color="auto" w:sz="4" w:space="0"/>
              <w:left w:val="single" w:color="auto" w:sz="4" w:space="0"/>
              <w:right w:val="single" w:color="auto" w:sz="4" w:space="0"/>
            </w:tcBorders>
            <w:vAlign w:val="center"/>
          </w:tcPr>
          <w:p w14:paraId="72493B47">
            <w:pPr>
              <w:jc w:val="center"/>
              <w:rPr>
                <w:rFonts w:hint="eastAsia" w:ascii="宋体" w:hAnsi="宋体" w:cs="宋体"/>
                <w:bCs/>
                <w:color w:val="auto"/>
                <w:sz w:val="24"/>
                <w:szCs w:val="24"/>
                <w:highlight w:val="none"/>
              </w:rPr>
            </w:pPr>
            <w:r>
              <w:rPr>
                <w:rFonts w:hint="eastAsia"/>
                <w:b/>
                <w:color w:val="auto"/>
                <w:sz w:val="24"/>
                <w:szCs w:val="24"/>
                <w:highlight w:val="none"/>
              </w:rPr>
              <w:t>人员配备</w:t>
            </w:r>
          </w:p>
        </w:tc>
        <w:tc>
          <w:tcPr>
            <w:tcW w:w="716" w:type="dxa"/>
            <w:tcBorders>
              <w:top w:val="single" w:color="auto" w:sz="4" w:space="0"/>
              <w:left w:val="single" w:color="auto" w:sz="4" w:space="0"/>
              <w:right w:val="single" w:color="auto" w:sz="4" w:space="0"/>
            </w:tcBorders>
            <w:vAlign w:val="center"/>
          </w:tcPr>
          <w:p w14:paraId="47EEF88A">
            <w:pPr>
              <w:jc w:val="center"/>
              <w:rPr>
                <w:rFonts w:hint="default" w:ascii="宋体" w:hAnsi="宋体"/>
                <w:color w:val="auto"/>
                <w:sz w:val="24"/>
                <w:szCs w:val="24"/>
                <w:highlight w:val="none"/>
                <w:lang w:val="en-US"/>
              </w:rPr>
            </w:pPr>
            <w:r>
              <w:rPr>
                <w:rFonts w:hint="eastAsia"/>
                <w:b/>
                <w:color w:val="auto"/>
                <w:sz w:val="24"/>
                <w:szCs w:val="24"/>
                <w:highlight w:val="none"/>
                <w:lang w:val="en-US" w:eastAsia="zh-CN"/>
              </w:rPr>
              <w:t>20</w:t>
            </w:r>
          </w:p>
        </w:tc>
        <w:tc>
          <w:tcPr>
            <w:tcW w:w="5089" w:type="dxa"/>
            <w:tcBorders>
              <w:top w:val="single" w:color="auto" w:sz="4" w:space="0"/>
              <w:left w:val="single" w:color="auto" w:sz="4" w:space="0"/>
              <w:right w:val="single" w:color="auto" w:sz="4" w:space="0"/>
            </w:tcBorders>
            <w:vAlign w:val="center"/>
          </w:tcPr>
          <w:p w14:paraId="068B84DC">
            <w:pPr>
              <w:rPr>
                <w:rFonts w:hint="eastAsia" w:ascii="宋体" w:hAnsi="宋体" w:cs="宋体"/>
                <w:b/>
                <w:color w:val="auto"/>
                <w:sz w:val="24"/>
                <w:szCs w:val="24"/>
                <w:highlight w:val="none"/>
              </w:rPr>
            </w:pPr>
          </w:p>
        </w:tc>
      </w:tr>
      <w:tr w14:paraId="1854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5F5C0975">
            <w:pPr>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2E82C9C8">
            <w:pPr>
              <w:jc w:val="center"/>
              <w:rPr>
                <w:rFonts w:hint="eastAsia" w:ascii="宋体" w:hAnsi="宋体" w:cs="宋体"/>
                <w:bCs/>
                <w:color w:val="auto"/>
                <w:sz w:val="24"/>
                <w:szCs w:val="24"/>
                <w:highlight w:val="none"/>
              </w:rPr>
            </w:pPr>
            <w:r>
              <w:rPr>
                <w:rFonts w:hint="eastAsia"/>
                <w:color w:val="auto"/>
                <w:sz w:val="24"/>
                <w:szCs w:val="24"/>
                <w:highlight w:val="none"/>
              </w:rPr>
              <w:t>专业负责人技术水平及工程经验</w:t>
            </w:r>
          </w:p>
        </w:tc>
        <w:tc>
          <w:tcPr>
            <w:tcW w:w="716" w:type="dxa"/>
            <w:tcBorders>
              <w:top w:val="single" w:color="auto" w:sz="4" w:space="0"/>
              <w:left w:val="single" w:color="auto" w:sz="4" w:space="0"/>
              <w:right w:val="single" w:color="auto" w:sz="4" w:space="0"/>
            </w:tcBorders>
            <w:vAlign w:val="center"/>
          </w:tcPr>
          <w:p w14:paraId="1D0435C5">
            <w:pPr>
              <w:jc w:val="center"/>
              <w:rPr>
                <w:rFonts w:hint="default" w:ascii="宋体" w:hAnsi="宋体"/>
                <w:color w:val="auto"/>
                <w:sz w:val="24"/>
                <w:szCs w:val="24"/>
                <w:highlight w:val="none"/>
                <w:lang w:val="en-US"/>
              </w:rPr>
            </w:pPr>
            <w:r>
              <w:rPr>
                <w:rFonts w:hint="eastAsia"/>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vAlign w:val="center"/>
          </w:tcPr>
          <w:p w14:paraId="53A78063">
            <w:pPr>
              <w:rPr>
                <w:rFonts w:hint="eastAsia" w:ascii="宋体" w:hAnsi="宋体" w:cs="宋体"/>
                <w:b/>
                <w:color w:val="auto"/>
                <w:sz w:val="24"/>
                <w:szCs w:val="24"/>
                <w:highlight w:val="none"/>
              </w:rPr>
            </w:pPr>
            <w:r>
              <w:rPr>
                <w:rFonts w:hint="eastAsia"/>
                <w:color w:val="auto"/>
                <w:sz w:val="24"/>
                <w:szCs w:val="24"/>
                <w:highlight w:val="none"/>
              </w:rPr>
              <w:t>技术水平高、经验丰富得</w:t>
            </w:r>
            <w:r>
              <w:rPr>
                <w:rFonts w:hint="eastAsia"/>
                <w:color w:val="auto"/>
                <w:sz w:val="24"/>
                <w:szCs w:val="24"/>
                <w:highlight w:val="none"/>
                <w:lang w:val="en-US" w:eastAsia="zh-CN"/>
              </w:rPr>
              <w:t>10</w:t>
            </w:r>
            <w:r>
              <w:rPr>
                <w:rFonts w:hint="eastAsia"/>
                <w:color w:val="auto"/>
                <w:sz w:val="24"/>
                <w:szCs w:val="24"/>
                <w:highlight w:val="none"/>
              </w:rPr>
              <w:t>分；其余酌情赋分。</w:t>
            </w:r>
          </w:p>
        </w:tc>
      </w:tr>
      <w:tr w14:paraId="2A47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2CDEDA32">
            <w:pPr>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1DB57AF2">
            <w:pPr>
              <w:jc w:val="center"/>
              <w:rPr>
                <w:rFonts w:hint="eastAsia" w:ascii="宋体" w:hAnsi="宋体" w:cs="宋体"/>
                <w:bCs/>
                <w:color w:val="auto"/>
                <w:sz w:val="24"/>
                <w:szCs w:val="24"/>
                <w:highlight w:val="none"/>
              </w:rPr>
            </w:pPr>
            <w:r>
              <w:rPr>
                <w:rFonts w:hint="eastAsia"/>
                <w:color w:val="auto"/>
                <w:sz w:val="24"/>
                <w:szCs w:val="24"/>
                <w:highlight w:val="none"/>
              </w:rPr>
              <w:t>随时可调用的后备资源</w:t>
            </w:r>
          </w:p>
        </w:tc>
        <w:tc>
          <w:tcPr>
            <w:tcW w:w="716" w:type="dxa"/>
            <w:tcBorders>
              <w:top w:val="single" w:color="auto" w:sz="4" w:space="0"/>
              <w:left w:val="single" w:color="auto" w:sz="4" w:space="0"/>
              <w:right w:val="single" w:color="auto" w:sz="4" w:space="0"/>
            </w:tcBorders>
            <w:vAlign w:val="center"/>
          </w:tcPr>
          <w:p w14:paraId="7040EFA2">
            <w:pPr>
              <w:jc w:val="center"/>
              <w:rPr>
                <w:rFonts w:hint="default" w:ascii="宋体" w:hAnsi="宋体"/>
                <w:color w:val="auto"/>
                <w:sz w:val="24"/>
                <w:szCs w:val="24"/>
                <w:highlight w:val="none"/>
                <w:lang w:val="en-US"/>
              </w:rPr>
            </w:pPr>
            <w:r>
              <w:rPr>
                <w:rFonts w:hint="eastAsia"/>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vAlign w:val="center"/>
          </w:tcPr>
          <w:p w14:paraId="79FFA6DB">
            <w:pPr>
              <w:rPr>
                <w:rFonts w:hint="eastAsia" w:ascii="宋体" w:hAnsi="宋体" w:cs="宋体"/>
                <w:b/>
                <w:color w:val="auto"/>
                <w:sz w:val="24"/>
                <w:szCs w:val="24"/>
                <w:highlight w:val="none"/>
              </w:rPr>
            </w:pPr>
            <w:r>
              <w:rPr>
                <w:rFonts w:hint="eastAsia"/>
                <w:color w:val="auto"/>
                <w:sz w:val="24"/>
                <w:szCs w:val="24"/>
                <w:highlight w:val="none"/>
              </w:rPr>
              <w:t>资源充足得</w:t>
            </w:r>
            <w:r>
              <w:rPr>
                <w:rFonts w:hint="eastAsia"/>
                <w:color w:val="auto"/>
                <w:sz w:val="24"/>
                <w:szCs w:val="24"/>
                <w:highlight w:val="none"/>
                <w:lang w:val="en-US" w:eastAsia="zh-CN"/>
              </w:rPr>
              <w:t>10</w:t>
            </w:r>
            <w:r>
              <w:rPr>
                <w:rFonts w:hint="eastAsia"/>
                <w:color w:val="auto"/>
                <w:sz w:val="24"/>
                <w:szCs w:val="24"/>
                <w:highlight w:val="none"/>
              </w:rPr>
              <w:t>分；其余酌情赋分。</w:t>
            </w:r>
          </w:p>
        </w:tc>
      </w:tr>
      <w:tr w14:paraId="7877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5FBD194E">
            <w:pPr>
              <w:jc w:val="center"/>
              <w:rPr>
                <w:rFonts w:hint="eastAsia" w:ascii="宋体" w:hAnsi="宋体" w:cs="宋体"/>
                <w:color w:val="auto"/>
                <w:sz w:val="24"/>
                <w:szCs w:val="24"/>
                <w:highlight w:val="none"/>
              </w:rPr>
            </w:pPr>
            <w:r>
              <w:rPr>
                <w:rFonts w:hint="eastAsia"/>
                <w:b/>
                <w:color w:val="auto"/>
                <w:sz w:val="24"/>
                <w:szCs w:val="24"/>
                <w:highlight w:val="none"/>
              </w:rPr>
              <w:t>5</w:t>
            </w:r>
          </w:p>
        </w:tc>
        <w:tc>
          <w:tcPr>
            <w:tcW w:w="2789" w:type="dxa"/>
            <w:tcBorders>
              <w:top w:val="single" w:color="auto" w:sz="4" w:space="0"/>
              <w:left w:val="single" w:color="auto" w:sz="4" w:space="0"/>
              <w:right w:val="single" w:color="auto" w:sz="4" w:space="0"/>
            </w:tcBorders>
            <w:vAlign w:val="center"/>
          </w:tcPr>
          <w:p w14:paraId="694DC20E">
            <w:pPr>
              <w:jc w:val="center"/>
              <w:rPr>
                <w:rFonts w:hint="eastAsia" w:ascii="宋体" w:hAnsi="宋体" w:cs="宋体"/>
                <w:bCs/>
                <w:color w:val="auto"/>
                <w:sz w:val="24"/>
                <w:szCs w:val="24"/>
                <w:highlight w:val="none"/>
              </w:rPr>
            </w:pPr>
            <w:r>
              <w:rPr>
                <w:rFonts w:hint="eastAsia"/>
                <w:b/>
                <w:color w:val="auto"/>
                <w:sz w:val="24"/>
                <w:szCs w:val="24"/>
                <w:highlight w:val="none"/>
                <w:lang w:val="en-US" w:eastAsia="zh-CN"/>
              </w:rPr>
              <w:t>方案</w:t>
            </w:r>
            <w:r>
              <w:rPr>
                <w:rFonts w:hint="eastAsia"/>
                <w:b/>
                <w:color w:val="auto"/>
                <w:sz w:val="24"/>
                <w:szCs w:val="24"/>
                <w:highlight w:val="none"/>
              </w:rPr>
              <w:t>的合理性</w:t>
            </w:r>
          </w:p>
        </w:tc>
        <w:tc>
          <w:tcPr>
            <w:tcW w:w="716" w:type="dxa"/>
            <w:tcBorders>
              <w:top w:val="single" w:color="auto" w:sz="4" w:space="0"/>
              <w:left w:val="single" w:color="auto" w:sz="4" w:space="0"/>
              <w:right w:val="single" w:color="auto" w:sz="4" w:space="0"/>
            </w:tcBorders>
            <w:vAlign w:val="center"/>
          </w:tcPr>
          <w:p w14:paraId="0AA21849">
            <w:pPr>
              <w:jc w:val="center"/>
              <w:rPr>
                <w:rFonts w:hint="default" w:ascii="宋体" w:hAnsi="宋体"/>
                <w:color w:val="auto"/>
                <w:sz w:val="24"/>
                <w:szCs w:val="24"/>
                <w:highlight w:val="none"/>
                <w:lang w:val="en-US"/>
              </w:rPr>
            </w:pPr>
            <w:r>
              <w:rPr>
                <w:rFonts w:hint="eastAsia"/>
                <w:b/>
                <w:color w:val="auto"/>
                <w:sz w:val="24"/>
                <w:szCs w:val="24"/>
                <w:highlight w:val="none"/>
                <w:lang w:val="en-US" w:eastAsia="zh-CN"/>
              </w:rPr>
              <w:t>14</w:t>
            </w:r>
          </w:p>
        </w:tc>
        <w:tc>
          <w:tcPr>
            <w:tcW w:w="5089" w:type="dxa"/>
            <w:tcBorders>
              <w:top w:val="single" w:color="auto" w:sz="4" w:space="0"/>
              <w:left w:val="single" w:color="auto" w:sz="4" w:space="0"/>
              <w:right w:val="single" w:color="auto" w:sz="4" w:space="0"/>
            </w:tcBorders>
            <w:vAlign w:val="center"/>
          </w:tcPr>
          <w:p w14:paraId="2673F45B">
            <w:pPr>
              <w:rPr>
                <w:rFonts w:hint="eastAsia" w:ascii="宋体" w:hAnsi="宋体" w:cs="宋体"/>
                <w:b/>
                <w:color w:val="auto"/>
                <w:sz w:val="24"/>
                <w:szCs w:val="24"/>
                <w:highlight w:val="none"/>
              </w:rPr>
            </w:pPr>
          </w:p>
        </w:tc>
      </w:tr>
      <w:tr w14:paraId="1CD4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2546FB60">
            <w:pPr>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4066DB7A">
            <w:pPr>
              <w:jc w:val="center"/>
              <w:rPr>
                <w:rFonts w:hint="eastAsia" w:ascii="宋体" w:hAnsi="宋体" w:cs="宋体"/>
                <w:bCs/>
                <w:color w:val="auto"/>
                <w:sz w:val="24"/>
                <w:szCs w:val="24"/>
                <w:highlight w:val="none"/>
              </w:rPr>
            </w:pPr>
            <w:r>
              <w:rPr>
                <w:rFonts w:hint="default"/>
                <w:color w:val="auto"/>
                <w:sz w:val="24"/>
                <w:szCs w:val="24"/>
                <w:highlight w:val="none"/>
                <w:lang w:val="en-US" w:eastAsia="zh-CN"/>
              </w:rPr>
              <w:t>方案制定有实施计划，工期节点安排详细，能保证项目如期完成</w:t>
            </w:r>
          </w:p>
        </w:tc>
        <w:tc>
          <w:tcPr>
            <w:tcW w:w="716" w:type="dxa"/>
            <w:tcBorders>
              <w:top w:val="single" w:color="auto" w:sz="4" w:space="0"/>
              <w:left w:val="single" w:color="auto" w:sz="4" w:space="0"/>
              <w:right w:val="single" w:color="auto" w:sz="4" w:space="0"/>
            </w:tcBorders>
            <w:vAlign w:val="center"/>
          </w:tcPr>
          <w:p w14:paraId="3DD4D1A3">
            <w:pPr>
              <w:jc w:val="center"/>
              <w:rPr>
                <w:rFonts w:hint="eastAsia" w:ascii="宋体" w:hAnsi="宋体"/>
                <w:color w:val="auto"/>
                <w:sz w:val="24"/>
                <w:szCs w:val="24"/>
                <w:highlight w:val="none"/>
              </w:rPr>
            </w:pPr>
            <w:r>
              <w:rPr>
                <w:rFonts w:hint="eastAsia"/>
                <w:color w:val="auto"/>
                <w:sz w:val="24"/>
                <w:szCs w:val="24"/>
                <w:highlight w:val="none"/>
                <w:lang w:val="en-US" w:eastAsia="zh-CN"/>
              </w:rPr>
              <w:t>7</w:t>
            </w:r>
          </w:p>
        </w:tc>
        <w:tc>
          <w:tcPr>
            <w:tcW w:w="5089" w:type="dxa"/>
            <w:tcBorders>
              <w:top w:val="single" w:color="auto" w:sz="4" w:space="0"/>
              <w:left w:val="single" w:color="auto" w:sz="4" w:space="0"/>
              <w:right w:val="single" w:color="auto" w:sz="4" w:space="0"/>
            </w:tcBorders>
            <w:vAlign w:val="center"/>
          </w:tcPr>
          <w:p w14:paraId="535BD29E">
            <w:pPr>
              <w:rPr>
                <w:rFonts w:hint="eastAsia" w:ascii="宋体" w:hAnsi="宋体" w:eastAsia="宋体" w:cs="宋体"/>
                <w:b/>
                <w:color w:val="auto"/>
                <w:sz w:val="24"/>
                <w:szCs w:val="24"/>
                <w:highlight w:val="none"/>
                <w:lang w:eastAsia="zh-CN"/>
              </w:rPr>
            </w:pPr>
            <w:r>
              <w:rPr>
                <w:rFonts w:hint="eastAsia"/>
                <w:color w:val="auto"/>
                <w:sz w:val="24"/>
                <w:szCs w:val="24"/>
                <w:highlight w:val="none"/>
              </w:rPr>
              <w:t>一般得</w:t>
            </w:r>
            <w:r>
              <w:rPr>
                <w:rFonts w:hint="eastAsia"/>
                <w:color w:val="auto"/>
                <w:sz w:val="24"/>
                <w:szCs w:val="24"/>
                <w:highlight w:val="none"/>
                <w:lang w:val="en-US" w:eastAsia="zh-CN"/>
              </w:rPr>
              <w:t>3</w:t>
            </w:r>
            <w:r>
              <w:rPr>
                <w:rFonts w:hint="eastAsia"/>
                <w:color w:val="auto"/>
                <w:sz w:val="24"/>
                <w:szCs w:val="24"/>
                <w:highlight w:val="none"/>
              </w:rPr>
              <w:t>分；良好得</w:t>
            </w:r>
            <w:r>
              <w:rPr>
                <w:rFonts w:hint="eastAsia"/>
                <w:color w:val="auto"/>
                <w:sz w:val="24"/>
                <w:szCs w:val="24"/>
                <w:highlight w:val="none"/>
                <w:lang w:val="en-US" w:eastAsia="zh-CN"/>
              </w:rPr>
              <w:t>3-5</w:t>
            </w:r>
            <w:r>
              <w:rPr>
                <w:rFonts w:hint="eastAsia"/>
                <w:color w:val="auto"/>
                <w:sz w:val="24"/>
                <w:szCs w:val="24"/>
                <w:highlight w:val="none"/>
              </w:rPr>
              <w:t>分；优秀得5</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p>
        </w:tc>
      </w:tr>
      <w:tr w14:paraId="7A6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666401E">
            <w:pPr>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bottom w:val="single" w:color="auto" w:sz="4" w:space="0"/>
              <w:right w:val="single" w:color="auto" w:sz="4" w:space="0"/>
            </w:tcBorders>
            <w:vAlign w:val="center"/>
          </w:tcPr>
          <w:p w14:paraId="47B1BA45">
            <w:pPr>
              <w:jc w:val="center"/>
              <w:rPr>
                <w:rFonts w:hint="eastAsia" w:ascii="宋体" w:hAnsi="宋体" w:cs="宋体"/>
                <w:bCs/>
                <w:color w:val="auto"/>
                <w:sz w:val="24"/>
                <w:szCs w:val="24"/>
                <w:highlight w:val="none"/>
              </w:rPr>
            </w:pPr>
            <w:r>
              <w:rPr>
                <w:rFonts w:hint="default"/>
                <w:color w:val="auto"/>
                <w:sz w:val="24"/>
                <w:szCs w:val="24"/>
                <w:highlight w:val="none"/>
                <w:lang w:val="en-US" w:eastAsia="zh-CN"/>
              </w:rPr>
              <w:t>方案制定有档案整理归档流程，操作性强，便于日常监督管理</w:t>
            </w:r>
          </w:p>
        </w:tc>
        <w:tc>
          <w:tcPr>
            <w:tcW w:w="716" w:type="dxa"/>
            <w:tcBorders>
              <w:top w:val="single" w:color="auto" w:sz="4" w:space="0"/>
              <w:left w:val="single" w:color="auto" w:sz="4" w:space="0"/>
              <w:bottom w:val="single" w:color="auto" w:sz="4" w:space="0"/>
              <w:right w:val="single" w:color="auto" w:sz="4" w:space="0"/>
            </w:tcBorders>
            <w:vAlign w:val="center"/>
          </w:tcPr>
          <w:p w14:paraId="236F69D3">
            <w:pPr>
              <w:jc w:val="center"/>
              <w:rPr>
                <w:rFonts w:hint="eastAsia" w:ascii="宋体" w:hAnsi="宋体"/>
                <w:color w:val="auto"/>
                <w:sz w:val="24"/>
                <w:szCs w:val="24"/>
                <w:highlight w:val="none"/>
              </w:rPr>
            </w:pPr>
            <w:r>
              <w:rPr>
                <w:rFonts w:hint="eastAsia"/>
                <w:color w:val="auto"/>
                <w:sz w:val="24"/>
                <w:szCs w:val="24"/>
                <w:highlight w:val="none"/>
                <w:lang w:val="en-US" w:eastAsia="zh-CN"/>
              </w:rPr>
              <w:t>7</w:t>
            </w:r>
          </w:p>
        </w:tc>
        <w:tc>
          <w:tcPr>
            <w:tcW w:w="5089" w:type="dxa"/>
            <w:tcBorders>
              <w:top w:val="single" w:color="auto" w:sz="4" w:space="0"/>
              <w:left w:val="single" w:color="auto" w:sz="4" w:space="0"/>
              <w:bottom w:val="single" w:color="auto" w:sz="4" w:space="0"/>
              <w:right w:val="single" w:color="auto" w:sz="4" w:space="0"/>
            </w:tcBorders>
            <w:vAlign w:val="center"/>
          </w:tcPr>
          <w:p w14:paraId="767E4202">
            <w:pPr>
              <w:rPr>
                <w:rFonts w:hint="eastAsia" w:ascii="宋体" w:hAnsi="宋体" w:cs="宋体"/>
                <w:b/>
                <w:color w:val="auto"/>
                <w:sz w:val="24"/>
                <w:szCs w:val="24"/>
                <w:highlight w:val="none"/>
              </w:rPr>
            </w:pPr>
            <w:r>
              <w:rPr>
                <w:rFonts w:hint="eastAsia"/>
                <w:color w:val="auto"/>
                <w:sz w:val="24"/>
                <w:szCs w:val="24"/>
                <w:highlight w:val="none"/>
              </w:rPr>
              <w:t>一般得</w:t>
            </w:r>
            <w:r>
              <w:rPr>
                <w:rFonts w:hint="eastAsia"/>
                <w:color w:val="auto"/>
                <w:sz w:val="24"/>
                <w:szCs w:val="24"/>
                <w:highlight w:val="none"/>
                <w:lang w:val="en-US" w:eastAsia="zh-CN"/>
              </w:rPr>
              <w:t>3</w:t>
            </w:r>
            <w:r>
              <w:rPr>
                <w:rFonts w:hint="eastAsia"/>
                <w:color w:val="auto"/>
                <w:sz w:val="24"/>
                <w:szCs w:val="24"/>
                <w:highlight w:val="none"/>
              </w:rPr>
              <w:t>分；良好得</w:t>
            </w:r>
            <w:r>
              <w:rPr>
                <w:rFonts w:hint="eastAsia"/>
                <w:color w:val="auto"/>
                <w:sz w:val="24"/>
                <w:szCs w:val="24"/>
                <w:highlight w:val="none"/>
                <w:lang w:val="en-US" w:eastAsia="zh-CN"/>
              </w:rPr>
              <w:t>3-5</w:t>
            </w:r>
            <w:r>
              <w:rPr>
                <w:rFonts w:hint="eastAsia"/>
                <w:color w:val="auto"/>
                <w:sz w:val="24"/>
                <w:szCs w:val="24"/>
                <w:highlight w:val="none"/>
              </w:rPr>
              <w:t>分；优秀得5</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p>
        </w:tc>
      </w:tr>
      <w:tr w14:paraId="02AE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187F647E">
            <w:pPr>
              <w:jc w:val="center"/>
              <w:rPr>
                <w:rFonts w:hint="eastAsia" w:asciiTheme="minorHAnsi" w:hAnsiTheme="minorHAnsi" w:eastAsiaTheme="minorEastAsia" w:cstheme="minorBidi"/>
                <w:b/>
                <w:color w:val="auto"/>
                <w:kern w:val="2"/>
                <w:sz w:val="24"/>
                <w:szCs w:val="24"/>
                <w:highlight w:val="none"/>
                <w:lang w:val="en-US" w:eastAsia="zh-CN" w:bidi="ar-SA"/>
              </w:rPr>
            </w:pPr>
            <w:r>
              <w:rPr>
                <w:rFonts w:hint="eastAsia"/>
                <w:b/>
                <w:color w:val="auto"/>
                <w:sz w:val="24"/>
                <w:szCs w:val="24"/>
                <w:highlight w:val="none"/>
              </w:rPr>
              <w:t>6</w:t>
            </w:r>
          </w:p>
        </w:tc>
        <w:tc>
          <w:tcPr>
            <w:tcW w:w="2789" w:type="dxa"/>
            <w:tcBorders>
              <w:top w:val="single" w:color="auto" w:sz="4" w:space="0"/>
              <w:left w:val="single" w:color="auto" w:sz="4" w:space="0"/>
              <w:right w:val="single" w:color="auto" w:sz="4" w:space="0"/>
            </w:tcBorders>
            <w:vAlign w:val="center"/>
          </w:tcPr>
          <w:p w14:paraId="57C559B3">
            <w:pPr>
              <w:jc w:val="center"/>
              <w:rPr>
                <w:rFonts w:hint="eastAsia" w:eastAsia="宋体" w:asciiTheme="minorHAnsi" w:hAnsiTheme="minorHAnsi" w:cstheme="minorBidi"/>
                <w:b/>
                <w:color w:val="auto"/>
                <w:kern w:val="2"/>
                <w:sz w:val="24"/>
                <w:szCs w:val="24"/>
                <w:highlight w:val="none"/>
                <w:lang w:val="en-US" w:eastAsia="zh-CN" w:bidi="ar-SA"/>
              </w:rPr>
            </w:pPr>
            <w:r>
              <w:rPr>
                <w:rFonts w:hint="eastAsia"/>
                <w:b/>
                <w:color w:val="auto"/>
                <w:sz w:val="24"/>
                <w:szCs w:val="24"/>
                <w:highlight w:val="none"/>
              </w:rPr>
              <w:t>质量</w:t>
            </w:r>
            <w:r>
              <w:rPr>
                <w:rFonts w:hint="eastAsia"/>
                <w:b/>
                <w:color w:val="auto"/>
                <w:sz w:val="24"/>
                <w:szCs w:val="24"/>
                <w:highlight w:val="none"/>
                <w:lang w:val="en-US" w:eastAsia="zh-CN"/>
              </w:rPr>
              <w:t>控制、安全保密措施</w:t>
            </w:r>
          </w:p>
        </w:tc>
        <w:tc>
          <w:tcPr>
            <w:tcW w:w="716" w:type="dxa"/>
            <w:tcBorders>
              <w:top w:val="single" w:color="auto" w:sz="4" w:space="0"/>
              <w:left w:val="single" w:color="auto" w:sz="4" w:space="0"/>
              <w:right w:val="single" w:color="auto" w:sz="4" w:space="0"/>
            </w:tcBorders>
            <w:vAlign w:val="center"/>
          </w:tcPr>
          <w:p w14:paraId="1C2FE245">
            <w:pPr>
              <w:jc w:val="center"/>
              <w:rPr>
                <w:rFonts w:hint="eastAsia" w:eastAsia="宋体" w:asciiTheme="minorHAnsi" w:hAnsiTheme="minorHAnsi" w:cstheme="minorBidi"/>
                <w:b/>
                <w:color w:val="auto"/>
                <w:kern w:val="2"/>
                <w:sz w:val="24"/>
                <w:szCs w:val="24"/>
                <w:highlight w:val="none"/>
                <w:lang w:val="en-US" w:eastAsia="zh-CN" w:bidi="ar-SA"/>
              </w:rPr>
            </w:pPr>
            <w:r>
              <w:rPr>
                <w:rFonts w:hint="eastAsia"/>
                <w:b/>
                <w:color w:val="auto"/>
                <w:sz w:val="24"/>
                <w:szCs w:val="24"/>
                <w:highlight w:val="none"/>
                <w:lang w:val="en-US" w:eastAsia="zh-CN"/>
              </w:rPr>
              <w:t>17</w:t>
            </w:r>
          </w:p>
        </w:tc>
        <w:tc>
          <w:tcPr>
            <w:tcW w:w="5089" w:type="dxa"/>
            <w:tcBorders>
              <w:top w:val="single" w:color="auto" w:sz="4" w:space="0"/>
              <w:left w:val="single" w:color="auto" w:sz="4" w:space="0"/>
              <w:right w:val="single" w:color="auto" w:sz="4" w:space="0"/>
            </w:tcBorders>
            <w:vAlign w:val="center"/>
          </w:tcPr>
          <w:p w14:paraId="164882E0">
            <w:pPr>
              <w:rPr>
                <w:rFonts w:hint="eastAsia" w:asciiTheme="minorHAnsi" w:hAnsiTheme="minorHAnsi" w:eastAsiaTheme="minorEastAsia" w:cstheme="minorBidi"/>
                <w:color w:val="auto"/>
                <w:kern w:val="2"/>
                <w:sz w:val="24"/>
                <w:szCs w:val="24"/>
                <w:highlight w:val="none"/>
                <w:lang w:val="en-US" w:eastAsia="zh-CN" w:bidi="ar-SA"/>
              </w:rPr>
            </w:pPr>
          </w:p>
        </w:tc>
      </w:tr>
      <w:tr w14:paraId="0EFA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0589415C">
            <w:pPr>
              <w:jc w:val="center"/>
              <w:rPr>
                <w:rFonts w:hint="eastAsia" w:asciiTheme="minorHAnsi" w:hAnsiTheme="minorHAnsi" w:eastAsiaTheme="minorEastAsia" w:cstheme="minorBidi"/>
                <w:color w:val="auto"/>
                <w:kern w:val="2"/>
                <w:sz w:val="24"/>
                <w:szCs w:val="24"/>
                <w:highlight w:val="none"/>
                <w:lang w:val="en-US" w:eastAsia="zh-CN" w:bidi="ar-SA"/>
              </w:rPr>
            </w:pPr>
          </w:p>
        </w:tc>
        <w:tc>
          <w:tcPr>
            <w:tcW w:w="2789" w:type="dxa"/>
            <w:tcBorders>
              <w:top w:val="single" w:color="auto" w:sz="4" w:space="0"/>
              <w:left w:val="single" w:color="auto" w:sz="4" w:space="0"/>
              <w:right w:val="single" w:color="auto" w:sz="4" w:space="0"/>
            </w:tcBorders>
            <w:vAlign w:val="center"/>
          </w:tcPr>
          <w:p w14:paraId="76B943DD">
            <w:pPr>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有保证服务质量的措施，对现场加工人员有具体工作要求，归档流程中包含有检查工序。</w:t>
            </w:r>
          </w:p>
        </w:tc>
        <w:tc>
          <w:tcPr>
            <w:tcW w:w="716" w:type="dxa"/>
            <w:tcBorders>
              <w:top w:val="single" w:color="auto" w:sz="4" w:space="0"/>
              <w:left w:val="single" w:color="auto" w:sz="4" w:space="0"/>
              <w:right w:val="single" w:color="auto" w:sz="4" w:space="0"/>
            </w:tcBorders>
            <w:vAlign w:val="center"/>
          </w:tcPr>
          <w:p w14:paraId="3C2A4E46">
            <w:pPr>
              <w:jc w:val="center"/>
              <w:rPr>
                <w:rFonts w:hint="eastAsia" w:eastAsia="宋体" w:asciiTheme="minorHAnsi" w:hAnsiTheme="minorHAnsi" w:cstheme="minorBidi"/>
                <w:color w:val="auto"/>
                <w:kern w:val="2"/>
                <w:sz w:val="24"/>
                <w:szCs w:val="24"/>
                <w:highlight w:val="none"/>
                <w:lang w:val="en-US" w:eastAsia="zh-CN" w:bidi="ar-SA"/>
              </w:rPr>
            </w:pPr>
            <w:r>
              <w:rPr>
                <w:rFonts w:hint="eastAsia"/>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vAlign w:val="center"/>
          </w:tcPr>
          <w:p w14:paraId="373970D0">
            <w:pP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一般得</w:t>
            </w:r>
            <w:r>
              <w:rPr>
                <w:rFonts w:hint="eastAsia"/>
                <w:color w:val="auto"/>
                <w:sz w:val="24"/>
                <w:szCs w:val="24"/>
                <w:highlight w:val="none"/>
                <w:lang w:val="en-US" w:eastAsia="zh-CN"/>
              </w:rPr>
              <w:t>6</w:t>
            </w:r>
            <w:r>
              <w:rPr>
                <w:rFonts w:hint="eastAsia"/>
                <w:color w:val="auto"/>
                <w:sz w:val="24"/>
                <w:szCs w:val="24"/>
                <w:highlight w:val="none"/>
              </w:rPr>
              <w:t>分；良好得</w:t>
            </w:r>
            <w:r>
              <w:rPr>
                <w:rFonts w:hint="eastAsia"/>
                <w:color w:val="auto"/>
                <w:sz w:val="24"/>
                <w:szCs w:val="24"/>
                <w:highlight w:val="none"/>
                <w:lang w:val="en-US" w:eastAsia="zh-CN"/>
              </w:rPr>
              <w:t>6-8</w:t>
            </w:r>
            <w:r>
              <w:rPr>
                <w:rFonts w:hint="eastAsia"/>
                <w:color w:val="auto"/>
                <w:sz w:val="24"/>
                <w:szCs w:val="24"/>
                <w:highlight w:val="none"/>
              </w:rPr>
              <w:t>分；优秀得</w:t>
            </w:r>
            <w:r>
              <w:rPr>
                <w:rFonts w:hint="eastAsia"/>
                <w:color w:val="auto"/>
                <w:sz w:val="24"/>
                <w:szCs w:val="24"/>
                <w:highlight w:val="none"/>
                <w:lang w:val="en-US" w:eastAsia="zh-CN"/>
              </w:rPr>
              <w:t>8-10</w:t>
            </w:r>
            <w:r>
              <w:rPr>
                <w:rFonts w:hint="eastAsia"/>
                <w:color w:val="auto"/>
                <w:sz w:val="24"/>
                <w:szCs w:val="24"/>
                <w:highlight w:val="none"/>
              </w:rPr>
              <w:t>分</w:t>
            </w:r>
            <w:r>
              <w:rPr>
                <w:rFonts w:hint="eastAsia"/>
                <w:color w:val="auto"/>
                <w:sz w:val="24"/>
                <w:szCs w:val="24"/>
                <w:highlight w:val="none"/>
                <w:lang w:eastAsia="zh-CN"/>
              </w:rPr>
              <w:t>。</w:t>
            </w:r>
          </w:p>
        </w:tc>
      </w:tr>
      <w:tr w14:paraId="6663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64624070">
            <w:pPr>
              <w:jc w:val="center"/>
              <w:rPr>
                <w:rFonts w:hint="eastAsia" w:asciiTheme="minorHAnsi" w:hAnsiTheme="minorHAnsi" w:eastAsiaTheme="minorEastAsia" w:cstheme="minorBidi"/>
                <w:color w:val="auto"/>
                <w:kern w:val="2"/>
                <w:sz w:val="24"/>
                <w:szCs w:val="24"/>
                <w:highlight w:val="none"/>
                <w:lang w:val="en-US" w:eastAsia="zh-CN" w:bidi="ar-SA"/>
              </w:rPr>
            </w:pPr>
          </w:p>
        </w:tc>
        <w:tc>
          <w:tcPr>
            <w:tcW w:w="2789" w:type="dxa"/>
            <w:tcBorders>
              <w:top w:val="single" w:color="auto" w:sz="4" w:space="0"/>
              <w:left w:val="single" w:color="auto" w:sz="4" w:space="0"/>
              <w:right w:val="single" w:color="auto" w:sz="4" w:space="0"/>
            </w:tcBorders>
            <w:vAlign w:val="center"/>
          </w:tcPr>
          <w:p w14:paraId="4DB2915A">
            <w:pPr>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有保证档案安全的措施和现场加工人员保密规定</w:t>
            </w:r>
          </w:p>
        </w:tc>
        <w:tc>
          <w:tcPr>
            <w:tcW w:w="716" w:type="dxa"/>
            <w:tcBorders>
              <w:top w:val="single" w:color="auto" w:sz="4" w:space="0"/>
              <w:left w:val="single" w:color="auto" w:sz="4" w:space="0"/>
              <w:right w:val="single" w:color="auto" w:sz="4" w:space="0"/>
            </w:tcBorders>
            <w:vAlign w:val="center"/>
          </w:tcPr>
          <w:p w14:paraId="20B42D85">
            <w:pPr>
              <w:jc w:val="center"/>
              <w:rPr>
                <w:rFonts w:hint="eastAsia" w:eastAsia="宋体" w:asciiTheme="minorHAnsi" w:hAnsiTheme="minorHAnsi" w:cstheme="minorBidi"/>
                <w:color w:val="auto"/>
                <w:kern w:val="2"/>
                <w:sz w:val="24"/>
                <w:szCs w:val="24"/>
                <w:highlight w:val="none"/>
                <w:lang w:val="en-US" w:eastAsia="zh-CN" w:bidi="ar-SA"/>
              </w:rPr>
            </w:pPr>
            <w:r>
              <w:rPr>
                <w:rFonts w:hint="eastAsia"/>
                <w:color w:val="auto"/>
                <w:sz w:val="24"/>
                <w:szCs w:val="24"/>
                <w:highlight w:val="none"/>
                <w:lang w:val="en-US" w:eastAsia="zh-CN"/>
              </w:rPr>
              <w:t>7</w:t>
            </w:r>
          </w:p>
        </w:tc>
        <w:tc>
          <w:tcPr>
            <w:tcW w:w="5089" w:type="dxa"/>
            <w:tcBorders>
              <w:top w:val="single" w:color="auto" w:sz="4" w:space="0"/>
              <w:left w:val="single" w:color="auto" w:sz="4" w:space="0"/>
              <w:right w:val="single" w:color="auto" w:sz="4" w:space="0"/>
            </w:tcBorders>
            <w:vAlign w:val="center"/>
          </w:tcPr>
          <w:p w14:paraId="0DB80E01">
            <w:pP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一般得</w:t>
            </w:r>
            <w:r>
              <w:rPr>
                <w:rFonts w:hint="eastAsia"/>
                <w:color w:val="auto"/>
                <w:sz w:val="24"/>
                <w:szCs w:val="24"/>
                <w:highlight w:val="none"/>
                <w:lang w:val="en-US" w:eastAsia="zh-CN"/>
              </w:rPr>
              <w:t>3</w:t>
            </w:r>
            <w:r>
              <w:rPr>
                <w:rFonts w:hint="eastAsia"/>
                <w:color w:val="auto"/>
                <w:sz w:val="24"/>
                <w:szCs w:val="24"/>
                <w:highlight w:val="none"/>
              </w:rPr>
              <w:t>分；良好得</w:t>
            </w:r>
            <w:r>
              <w:rPr>
                <w:rFonts w:hint="eastAsia"/>
                <w:color w:val="auto"/>
                <w:sz w:val="24"/>
                <w:szCs w:val="24"/>
                <w:highlight w:val="none"/>
                <w:lang w:val="en-US" w:eastAsia="zh-CN"/>
              </w:rPr>
              <w:t>3-5</w:t>
            </w:r>
            <w:r>
              <w:rPr>
                <w:rFonts w:hint="eastAsia"/>
                <w:color w:val="auto"/>
                <w:sz w:val="24"/>
                <w:szCs w:val="24"/>
                <w:highlight w:val="none"/>
              </w:rPr>
              <w:t>分；优秀得5</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p>
        </w:tc>
      </w:tr>
      <w:tr w14:paraId="151C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2A48168E">
            <w:pPr>
              <w:jc w:val="center"/>
              <w:rPr>
                <w:rFonts w:hint="eastAsia" w:asciiTheme="minorHAnsi" w:hAnsiTheme="minorHAnsi" w:eastAsiaTheme="minorEastAsia" w:cstheme="minorBidi"/>
                <w:b/>
                <w:color w:val="auto"/>
                <w:kern w:val="2"/>
                <w:sz w:val="24"/>
                <w:szCs w:val="24"/>
                <w:highlight w:val="none"/>
                <w:lang w:val="en-US" w:eastAsia="zh-CN" w:bidi="ar-SA"/>
              </w:rPr>
            </w:pPr>
            <w:r>
              <w:rPr>
                <w:rFonts w:hint="eastAsia"/>
                <w:b/>
                <w:color w:val="auto"/>
                <w:sz w:val="24"/>
                <w:szCs w:val="24"/>
                <w:highlight w:val="none"/>
              </w:rPr>
              <w:t>7</w:t>
            </w:r>
          </w:p>
        </w:tc>
        <w:tc>
          <w:tcPr>
            <w:tcW w:w="2789" w:type="dxa"/>
            <w:tcBorders>
              <w:top w:val="single" w:color="auto" w:sz="4" w:space="0"/>
              <w:left w:val="single" w:color="auto" w:sz="4" w:space="0"/>
              <w:right w:val="single" w:color="auto" w:sz="4" w:space="0"/>
            </w:tcBorders>
            <w:vAlign w:val="center"/>
          </w:tcPr>
          <w:p w14:paraId="7A435B6D">
            <w:pPr>
              <w:jc w:val="center"/>
              <w:rPr>
                <w:rFonts w:hint="eastAsia" w:asciiTheme="minorHAnsi" w:hAnsiTheme="minorHAnsi" w:eastAsiaTheme="minorEastAsia" w:cstheme="minorBidi"/>
                <w:b/>
                <w:color w:val="auto"/>
                <w:kern w:val="2"/>
                <w:sz w:val="24"/>
                <w:szCs w:val="24"/>
                <w:highlight w:val="none"/>
                <w:lang w:val="en-US" w:eastAsia="zh-CN" w:bidi="ar-SA"/>
              </w:rPr>
            </w:pPr>
            <w:r>
              <w:rPr>
                <w:rFonts w:hint="eastAsia"/>
                <w:b/>
                <w:color w:val="auto"/>
                <w:sz w:val="24"/>
                <w:szCs w:val="24"/>
                <w:highlight w:val="none"/>
              </w:rPr>
              <w:t>服务承诺</w:t>
            </w:r>
          </w:p>
        </w:tc>
        <w:tc>
          <w:tcPr>
            <w:tcW w:w="716" w:type="dxa"/>
            <w:tcBorders>
              <w:top w:val="single" w:color="auto" w:sz="4" w:space="0"/>
              <w:left w:val="single" w:color="auto" w:sz="4" w:space="0"/>
              <w:right w:val="single" w:color="auto" w:sz="4" w:space="0"/>
            </w:tcBorders>
            <w:vAlign w:val="center"/>
          </w:tcPr>
          <w:p w14:paraId="522AEBF8">
            <w:pPr>
              <w:jc w:val="center"/>
              <w:rPr>
                <w:rFonts w:hint="eastAsia" w:eastAsia="宋体" w:asciiTheme="minorHAnsi" w:hAnsiTheme="minorHAnsi" w:cstheme="minorBidi"/>
                <w:b/>
                <w:color w:val="auto"/>
                <w:kern w:val="2"/>
                <w:sz w:val="24"/>
                <w:szCs w:val="24"/>
                <w:highlight w:val="none"/>
                <w:lang w:val="en-US" w:eastAsia="zh-CN" w:bidi="ar-SA"/>
              </w:rPr>
            </w:pPr>
            <w:r>
              <w:rPr>
                <w:rFonts w:hint="eastAsia"/>
                <w:b/>
                <w:color w:val="auto"/>
                <w:sz w:val="24"/>
                <w:szCs w:val="24"/>
                <w:highlight w:val="none"/>
                <w:lang w:val="en-US" w:eastAsia="zh-CN"/>
              </w:rPr>
              <w:t>3</w:t>
            </w:r>
          </w:p>
        </w:tc>
        <w:tc>
          <w:tcPr>
            <w:tcW w:w="5089" w:type="dxa"/>
            <w:tcBorders>
              <w:top w:val="single" w:color="auto" w:sz="4" w:space="0"/>
              <w:left w:val="single" w:color="auto" w:sz="4" w:space="0"/>
              <w:right w:val="single" w:color="auto" w:sz="4" w:space="0"/>
            </w:tcBorders>
            <w:vAlign w:val="center"/>
          </w:tcPr>
          <w:p w14:paraId="40B12F10">
            <w:pP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主要为本项目质量保障措施，技术支持、确保时限及其他有利于招标人的服务等做出承诺,科学、合理得</w:t>
            </w:r>
            <w:r>
              <w:rPr>
                <w:rFonts w:hint="eastAsia"/>
                <w:color w:val="auto"/>
                <w:sz w:val="24"/>
                <w:szCs w:val="24"/>
                <w:highlight w:val="none"/>
                <w:lang w:val="en-US" w:eastAsia="zh-CN"/>
              </w:rPr>
              <w:t>3</w:t>
            </w:r>
            <w:r>
              <w:rPr>
                <w:rFonts w:hint="eastAsia"/>
                <w:color w:val="auto"/>
                <w:sz w:val="24"/>
                <w:szCs w:val="24"/>
                <w:highlight w:val="none"/>
              </w:rPr>
              <w:t>分，其余酌情赋分。</w:t>
            </w:r>
          </w:p>
        </w:tc>
      </w:tr>
      <w:tr w14:paraId="1C1E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7A5E8743">
            <w:pPr>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08603BA5">
            <w:pPr>
              <w:jc w:val="center"/>
              <w:rPr>
                <w:rFonts w:hint="default"/>
                <w:color w:val="auto"/>
                <w:sz w:val="24"/>
                <w:szCs w:val="24"/>
                <w:highlight w:val="none"/>
                <w:lang w:val="en-US" w:eastAsia="zh-CN"/>
              </w:rPr>
            </w:pPr>
            <w:r>
              <w:rPr>
                <w:rFonts w:hint="eastAsia"/>
                <w:b/>
                <w:color w:val="auto"/>
                <w:sz w:val="24"/>
                <w:szCs w:val="24"/>
                <w:highlight w:val="none"/>
              </w:rPr>
              <w:t>合  计</w:t>
            </w:r>
          </w:p>
        </w:tc>
        <w:tc>
          <w:tcPr>
            <w:tcW w:w="716" w:type="dxa"/>
            <w:tcBorders>
              <w:top w:val="single" w:color="auto" w:sz="4" w:space="0"/>
              <w:left w:val="single" w:color="auto" w:sz="4" w:space="0"/>
              <w:right w:val="single" w:color="auto" w:sz="4" w:space="0"/>
            </w:tcBorders>
            <w:vAlign w:val="center"/>
          </w:tcPr>
          <w:p w14:paraId="5E31889F">
            <w:pPr>
              <w:jc w:val="center"/>
              <w:rPr>
                <w:rFonts w:hint="eastAsia"/>
                <w:color w:val="auto"/>
                <w:sz w:val="24"/>
                <w:szCs w:val="24"/>
                <w:highlight w:val="none"/>
                <w:lang w:val="en-US" w:eastAsia="zh-CN"/>
              </w:rPr>
            </w:pPr>
            <w:r>
              <w:rPr>
                <w:rFonts w:hint="eastAsia"/>
                <w:b/>
                <w:color w:val="auto"/>
                <w:sz w:val="24"/>
                <w:szCs w:val="24"/>
                <w:highlight w:val="none"/>
              </w:rPr>
              <w:t>100</w:t>
            </w:r>
          </w:p>
        </w:tc>
        <w:tc>
          <w:tcPr>
            <w:tcW w:w="5089" w:type="dxa"/>
            <w:tcBorders>
              <w:top w:val="single" w:color="auto" w:sz="4" w:space="0"/>
              <w:left w:val="single" w:color="auto" w:sz="4" w:space="0"/>
              <w:right w:val="single" w:color="auto" w:sz="4" w:space="0"/>
            </w:tcBorders>
            <w:vAlign w:val="center"/>
          </w:tcPr>
          <w:p w14:paraId="41954D7B">
            <w:pPr>
              <w:jc w:val="center"/>
              <w:rPr>
                <w:rFonts w:hint="eastAsia"/>
                <w:color w:val="auto"/>
                <w:sz w:val="24"/>
                <w:szCs w:val="24"/>
                <w:highlight w:val="none"/>
              </w:rPr>
            </w:pPr>
          </w:p>
        </w:tc>
      </w:tr>
    </w:tbl>
    <w:p w14:paraId="58880406">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2、技术标分汇总方法：对某一供应商的技术标的每一个指标项得分，取各</w:t>
      </w:r>
      <w:r>
        <w:rPr>
          <w:rFonts w:hint="eastAsia" w:ascii="宋体" w:hAnsi="宋体" w:eastAsia="宋体" w:cs="宋体"/>
          <w:color w:val="auto"/>
          <w:spacing w:val="1"/>
          <w:sz w:val="24"/>
          <w:szCs w:val="24"/>
          <w:highlight w:val="none"/>
        </w:rPr>
        <w:t>位评</w:t>
      </w:r>
      <w:r>
        <w:rPr>
          <w:rFonts w:hint="eastAsia" w:ascii="宋体" w:hAnsi="宋体" w:eastAsia="宋体" w:cs="宋体"/>
          <w:color w:val="auto"/>
          <w:spacing w:val="-1"/>
          <w:sz w:val="24"/>
          <w:szCs w:val="24"/>
          <w:highlight w:val="none"/>
        </w:rPr>
        <w:t>委评分之平均值，四舍五入保留至小数点后两位数，得到该供应商</w:t>
      </w:r>
      <w:r>
        <w:rPr>
          <w:rFonts w:hint="eastAsia" w:ascii="宋体" w:hAnsi="宋体" w:eastAsia="宋体" w:cs="宋体"/>
          <w:color w:val="auto"/>
          <w:spacing w:val="-2"/>
          <w:sz w:val="24"/>
          <w:szCs w:val="24"/>
          <w:highlight w:val="none"/>
        </w:rPr>
        <w:t>该指标项的得分。</w:t>
      </w:r>
      <w:r>
        <w:rPr>
          <w:rFonts w:hint="eastAsia" w:ascii="宋体" w:hAnsi="宋体" w:eastAsia="宋体" w:cs="宋体"/>
          <w:color w:val="auto"/>
          <w:spacing w:val="-1"/>
          <w:sz w:val="24"/>
          <w:szCs w:val="24"/>
          <w:highlight w:val="none"/>
        </w:rPr>
        <w:t>再将供应商每个技术标的指标项得分进行汇总，得到该</w:t>
      </w:r>
      <w:r>
        <w:rPr>
          <w:rFonts w:hint="eastAsia" w:ascii="宋体" w:hAnsi="宋体" w:eastAsia="宋体" w:cs="宋体"/>
          <w:color w:val="auto"/>
          <w:spacing w:val="-2"/>
          <w:sz w:val="24"/>
          <w:szCs w:val="24"/>
          <w:highlight w:val="none"/>
        </w:rPr>
        <w:t>供应商的技术标分之和。</w:t>
      </w:r>
    </w:p>
    <w:p w14:paraId="0A7885D0">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3、得分汇总</w:t>
      </w:r>
    </w:p>
    <w:p w14:paraId="53B9187F">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（1）将每个有效磋商供应商的技术标分之和加上根据上述标准计算出的价格分，即为该磋商供应商的综合总得分。</w:t>
      </w:r>
    </w:p>
    <w:p w14:paraId="14E8D56A">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（2）按照有效磋商供应商综合总得分由高到低依次排出成交供应商及成交候选供应商。</w:t>
      </w:r>
    </w:p>
    <w:p w14:paraId="67FEE716">
      <w:pPr>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br w:type="page"/>
      </w:r>
    </w:p>
    <w:p w14:paraId="4639A998">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8" w:firstLineChars="200"/>
        <w:jc w:val="center"/>
        <w:textAlignment w:val="baseline"/>
        <w:rPr>
          <w:rFonts w:hint="eastAsia" w:ascii="宋体" w:hAnsi="宋体" w:eastAsia="宋体" w:cs="宋体"/>
          <w:color w:val="auto"/>
          <w:spacing w:val="2"/>
          <w:highlight w:val="none"/>
        </w:rPr>
      </w:pPr>
    </w:p>
    <w:p w14:paraId="11D0EA9B">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2" w:firstLineChars="200"/>
        <w:jc w:val="center"/>
        <w:textAlignment w:val="baseline"/>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五、响应文件格式</w:t>
      </w:r>
      <w:bookmarkEnd w:id="83"/>
      <w:bookmarkEnd w:id="84"/>
      <w:bookmarkEnd w:id="85"/>
    </w:p>
    <w:p w14:paraId="76952855">
      <w:pPr>
        <w:spacing w:line="500" w:lineRule="exact"/>
        <w:jc w:val="center"/>
        <w:rPr>
          <w:rFonts w:hint="eastAsia" w:ascii="宋体" w:hAnsi="宋体" w:eastAsia="宋体" w:cs="宋体"/>
          <w:b/>
          <w:color w:val="auto"/>
          <w:sz w:val="32"/>
          <w:highlight w:val="none"/>
        </w:rPr>
      </w:pPr>
    </w:p>
    <w:p w14:paraId="1BBA2947">
      <w:pPr>
        <w:spacing w:line="500" w:lineRule="exact"/>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86" w:name="_Toc22685"/>
      <w:bookmarkStart w:id="87" w:name="_Toc4448"/>
      <w:r>
        <w:rPr>
          <w:rFonts w:hint="eastAsia" w:ascii="宋体" w:hAnsi="宋体" w:eastAsia="宋体" w:cs="宋体"/>
          <w:b/>
          <w:color w:val="auto"/>
          <w:sz w:val="32"/>
          <w:highlight w:val="none"/>
        </w:rPr>
        <w:t>项目</w:t>
      </w:r>
      <w:bookmarkEnd w:id="86"/>
      <w:bookmarkEnd w:id="87"/>
    </w:p>
    <w:p w14:paraId="05275FBC">
      <w:pPr>
        <w:spacing w:line="900" w:lineRule="exact"/>
        <w:rPr>
          <w:rFonts w:hint="eastAsia" w:ascii="宋体" w:hAnsi="宋体" w:eastAsia="宋体" w:cs="宋体"/>
          <w:b/>
          <w:color w:val="auto"/>
          <w:sz w:val="72"/>
          <w:highlight w:val="none"/>
        </w:rPr>
      </w:pPr>
    </w:p>
    <w:p w14:paraId="35D57B33">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响</w:t>
      </w:r>
    </w:p>
    <w:p w14:paraId="2E35D98A">
      <w:pPr>
        <w:spacing w:line="900" w:lineRule="exact"/>
        <w:jc w:val="center"/>
        <w:rPr>
          <w:rFonts w:hint="eastAsia" w:ascii="宋体" w:hAnsi="宋体" w:eastAsia="宋体" w:cs="宋体"/>
          <w:b/>
          <w:color w:val="auto"/>
          <w:sz w:val="72"/>
          <w:highlight w:val="none"/>
        </w:rPr>
      </w:pPr>
    </w:p>
    <w:p w14:paraId="2B0671C3">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应</w:t>
      </w:r>
    </w:p>
    <w:p w14:paraId="7F973428">
      <w:pPr>
        <w:spacing w:line="900" w:lineRule="exact"/>
        <w:jc w:val="center"/>
        <w:rPr>
          <w:rFonts w:hint="eastAsia" w:ascii="宋体" w:hAnsi="宋体" w:eastAsia="宋体" w:cs="宋体"/>
          <w:b/>
          <w:color w:val="auto"/>
          <w:sz w:val="72"/>
          <w:highlight w:val="none"/>
        </w:rPr>
      </w:pPr>
    </w:p>
    <w:p w14:paraId="6E213BCE">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3C9DA0BD">
      <w:pPr>
        <w:spacing w:line="900" w:lineRule="exact"/>
        <w:jc w:val="center"/>
        <w:rPr>
          <w:rFonts w:hint="eastAsia" w:ascii="宋体" w:hAnsi="宋体" w:eastAsia="宋体" w:cs="宋体"/>
          <w:b/>
          <w:color w:val="auto"/>
          <w:sz w:val="72"/>
          <w:highlight w:val="none"/>
        </w:rPr>
      </w:pPr>
    </w:p>
    <w:p w14:paraId="6D8B3719">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2BB70EDA">
      <w:pPr>
        <w:spacing w:after="156" w:afterLines="50"/>
        <w:jc w:val="center"/>
        <w:rPr>
          <w:rFonts w:hint="eastAsia" w:ascii="宋体" w:hAnsi="宋体" w:eastAsia="宋体" w:cs="宋体"/>
          <w:b/>
          <w:color w:val="auto"/>
          <w:sz w:val="72"/>
          <w:highlight w:val="none"/>
        </w:rPr>
      </w:pPr>
    </w:p>
    <w:p w14:paraId="7E3EBBFE">
      <w:pPr>
        <w:spacing w:after="156" w:afterLines="50" w:line="500" w:lineRule="exact"/>
        <w:jc w:val="center"/>
        <w:rPr>
          <w:rFonts w:hint="eastAsia" w:ascii="宋体" w:hAnsi="宋体" w:eastAsia="宋体" w:cs="宋体"/>
          <w:b/>
          <w:color w:val="auto"/>
          <w:sz w:val="72"/>
          <w:highlight w:val="none"/>
        </w:rPr>
      </w:pPr>
    </w:p>
    <w:p w14:paraId="7547188E">
      <w:pPr>
        <w:spacing w:after="156" w:afterLines="50" w:line="500" w:lineRule="exact"/>
        <w:ind w:firstLine="2088" w:firstLineChars="650"/>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供应商：</w:t>
      </w:r>
    </w:p>
    <w:p w14:paraId="5B546B2D">
      <w:pPr>
        <w:spacing w:after="156" w:afterLines="50" w:line="500" w:lineRule="exact"/>
        <w:ind w:firstLine="2088" w:firstLineChars="650"/>
        <w:outlineLvl w:val="0"/>
        <w:rPr>
          <w:rFonts w:hint="eastAsia" w:ascii="宋体" w:hAnsi="宋体" w:eastAsia="宋体" w:cs="宋体"/>
          <w:color w:val="auto"/>
          <w:sz w:val="24"/>
          <w:szCs w:val="28"/>
          <w:highlight w:val="none"/>
        </w:rPr>
      </w:pPr>
      <w:bookmarkStart w:id="88" w:name="_Toc5792"/>
      <w:bookmarkStart w:id="89" w:name="_Toc4670"/>
      <w:r>
        <w:rPr>
          <w:rFonts w:hint="eastAsia" w:ascii="宋体" w:hAnsi="宋体" w:eastAsia="宋体" w:cs="宋体"/>
          <w:b/>
          <w:color w:val="auto"/>
          <w:sz w:val="32"/>
          <w:highlight w:val="none"/>
        </w:rPr>
        <w:t>年  月  日</w:t>
      </w:r>
      <w:bookmarkEnd w:id="88"/>
      <w:bookmarkEnd w:id="89"/>
    </w:p>
    <w:p w14:paraId="5F1BBD98">
      <w:pPr>
        <w:pStyle w:val="5"/>
        <w:spacing w:before="156" w:beforeLines="50" w:after="156" w:afterLines="50" w:line="560" w:lineRule="exact"/>
        <w:jc w:val="center"/>
        <w:rPr>
          <w:rFonts w:hint="eastAsia" w:ascii="宋体" w:hAnsi="宋体" w:eastAsia="宋体" w:cs="宋体"/>
          <w:color w:val="auto"/>
          <w:sz w:val="24"/>
          <w:szCs w:val="24"/>
          <w:highlight w:val="none"/>
        </w:rPr>
      </w:pPr>
      <w:bookmarkStart w:id="90" w:name="_Toc20663"/>
      <w:r>
        <w:rPr>
          <w:rFonts w:hint="eastAsia" w:ascii="宋体" w:hAnsi="宋体" w:eastAsia="宋体" w:cs="宋体"/>
          <w:color w:val="auto"/>
          <w:sz w:val="24"/>
          <w:szCs w:val="24"/>
          <w:highlight w:val="none"/>
        </w:rPr>
        <w:br w:type="page"/>
      </w:r>
      <w:bookmarkStart w:id="91" w:name="_Toc2602"/>
      <w:r>
        <w:rPr>
          <w:rFonts w:hint="eastAsia" w:ascii="宋体" w:hAnsi="宋体" w:eastAsia="宋体" w:cs="宋体"/>
          <w:color w:val="auto"/>
          <w:sz w:val="24"/>
          <w:szCs w:val="24"/>
          <w:highlight w:val="none"/>
        </w:rPr>
        <w:t>响应文件资料清单</w:t>
      </w:r>
      <w:bookmarkEnd w:id="90"/>
      <w:bookmarkEnd w:id="9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4E37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424E954">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038" w:type="dxa"/>
            <w:vAlign w:val="center"/>
          </w:tcPr>
          <w:p w14:paraId="31812435">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资料名称</w:t>
            </w:r>
          </w:p>
        </w:tc>
        <w:tc>
          <w:tcPr>
            <w:tcW w:w="1417" w:type="dxa"/>
            <w:vAlign w:val="center"/>
          </w:tcPr>
          <w:p w14:paraId="6D0ADF5D">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488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29B313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6038" w:type="dxa"/>
            <w:vAlign w:val="center"/>
          </w:tcPr>
          <w:p w14:paraId="3BC0479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报价单</w:t>
            </w:r>
          </w:p>
        </w:tc>
        <w:tc>
          <w:tcPr>
            <w:tcW w:w="1417" w:type="dxa"/>
            <w:vAlign w:val="center"/>
          </w:tcPr>
          <w:p w14:paraId="7FBAD94C">
            <w:pPr>
              <w:spacing w:line="440" w:lineRule="exact"/>
              <w:jc w:val="center"/>
              <w:rPr>
                <w:rFonts w:hint="eastAsia" w:ascii="宋体" w:hAnsi="宋体" w:eastAsia="宋体" w:cs="宋体"/>
                <w:b/>
                <w:color w:val="auto"/>
                <w:sz w:val="24"/>
                <w:highlight w:val="none"/>
              </w:rPr>
            </w:pPr>
          </w:p>
        </w:tc>
      </w:tr>
      <w:tr w14:paraId="0302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01F863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6038" w:type="dxa"/>
            <w:vAlign w:val="center"/>
          </w:tcPr>
          <w:p w14:paraId="7C47797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供应商基本信息</w:t>
            </w:r>
          </w:p>
        </w:tc>
        <w:tc>
          <w:tcPr>
            <w:tcW w:w="1417" w:type="dxa"/>
            <w:vAlign w:val="center"/>
          </w:tcPr>
          <w:p w14:paraId="1C1044C8">
            <w:pPr>
              <w:spacing w:line="440" w:lineRule="exact"/>
              <w:jc w:val="center"/>
              <w:rPr>
                <w:rFonts w:hint="eastAsia" w:ascii="宋体" w:hAnsi="宋体" w:eastAsia="宋体" w:cs="宋体"/>
                <w:b/>
                <w:color w:val="auto"/>
                <w:sz w:val="24"/>
                <w:highlight w:val="none"/>
              </w:rPr>
            </w:pPr>
          </w:p>
        </w:tc>
      </w:tr>
      <w:tr w14:paraId="0283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7F058F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6038" w:type="dxa"/>
            <w:vAlign w:val="center"/>
          </w:tcPr>
          <w:p w14:paraId="0EF95ACC">
            <w:pPr>
              <w:pStyle w:val="32"/>
              <w:spacing w:line="44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磋商授权书</w:t>
            </w:r>
          </w:p>
        </w:tc>
        <w:tc>
          <w:tcPr>
            <w:tcW w:w="1417" w:type="dxa"/>
            <w:vAlign w:val="center"/>
          </w:tcPr>
          <w:p w14:paraId="204FBD74">
            <w:pPr>
              <w:spacing w:line="440" w:lineRule="exact"/>
              <w:jc w:val="center"/>
              <w:rPr>
                <w:rFonts w:hint="eastAsia" w:ascii="宋体" w:hAnsi="宋体" w:eastAsia="宋体" w:cs="宋体"/>
                <w:b/>
                <w:color w:val="auto"/>
                <w:sz w:val="24"/>
                <w:highlight w:val="none"/>
              </w:rPr>
            </w:pPr>
          </w:p>
        </w:tc>
      </w:tr>
      <w:tr w14:paraId="68FC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EB3764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p>
        </w:tc>
        <w:tc>
          <w:tcPr>
            <w:tcW w:w="6038" w:type="dxa"/>
            <w:vAlign w:val="center"/>
          </w:tcPr>
          <w:p w14:paraId="17733BA0">
            <w:pPr>
              <w:pStyle w:val="32"/>
              <w:spacing w:line="44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磋商响应函</w:t>
            </w:r>
          </w:p>
        </w:tc>
        <w:tc>
          <w:tcPr>
            <w:tcW w:w="1417" w:type="dxa"/>
            <w:vAlign w:val="center"/>
          </w:tcPr>
          <w:p w14:paraId="6287875C">
            <w:pPr>
              <w:spacing w:line="440" w:lineRule="exact"/>
              <w:jc w:val="center"/>
              <w:rPr>
                <w:rFonts w:hint="eastAsia" w:ascii="宋体" w:hAnsi="宋体" w:eastAsia="宋体" w:cs="宋体"/>
                <w:b/>
                <w:color w:val="auto"/>
                <w:sz w:val="24"/>
                <w:highlight w:val="none"/>
              </w:rPr>
            </w:pPr>
          </w:p>
        </w:tc>
      </w:tr>
      <w:tr w14:paraId="5C1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3A43664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p>
        </w:tc>
        <w:tc>
          <w:tcPr>
            <w:tcW w:w="6038" w:type="dxa"/>
            <w:vAlign w:val="center"/>
          </w:tcPr>
          <w:p w14:paraId="13F6256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无重大违法记录声明函、无不良信用记录承诺函</w:t>
            </w:r>
          </w:p>
        </w:tc>
        <w:tc>
          <w:tcPr>
            <w:tcW w:w="1417" w:type="dxa"/>
            <w:vAlign w:val="center"/>
          </w:tcPr>
          <w:p w14:paraId="50D2C09B">
            <w:pPr>
              <w:spacing w:line="440" w:lineRule="exact"/>
              <w:jc w:val="center"/>
              <w:rPr>
                <w:rFonts w:hint="eastAsia" w:ascii="宋体" w:hAnsi="宋体" w:eastAsia="宋体" w:cs="宋体"/>
                <w:b/>
                <w:color w:val="auto"/>
                <w:sz w:val="24"/>
                <w:highlight w:val="none"/>
              </w:rPr>
            </w:pPr>
          </w:p>
        </w:tc>
      </w:tr>
      <w:tr w14:paraId="4C84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28AD702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p>
        </w:tc>
        <w:tc>
          <w:tcPr>
            <w:tcW w:w="6038" w:type="dxa"/>
            <w:vAlign w:val="center"/>
          </w:tcPr>
          <w:p w14:paraId="0FC6CD3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响应情况表</w:t>
            </w:r>
          </w:p>
        </w:tc>
        <w:tc>
          <w:tcPr>
            <w:tcW w:w="1417" w:type="dxa"/>
            <w:vAlign w:val="center"/>
          </w:tcPr>
          <w:p w14:paraId="1D57239C">
            <w:pPr>
              <w:spacing w:line="440" w:lineRule="exact"/>
              <w:rPr>
                <w:rFonts w:hint="eastAsia" w:ascii="宋体" w:hAnsi="宋体" w:eastAsia="宋体" w:cs="宋体"/>
                <w:b/>
                <w:color w:val="auto"/>
                <w:sz w:val="24"/>
                <w:highlight w:val="none"/>
              </w:rPr>
            </w:pPr>
          </w:p>
        </w:tc>
      </w:tr>
      <w:tr w14:paraId="1BC5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433E595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p>
        </w:tc>
        <w:tc>
          <w:tcPr>
            <w:tcW w:w="6038" w:type="dxa"/>
            <w:vAlign w:val="center"/>
          </w:tcPr>
          <w:p w14:paraId="1D7FFFE0">
            <w:pPr>
              <w:spacing w:line="44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中小企业声明函</w:t>
            </w:r>
          </w:p>
        </w:tc>
        <w:tc>
          <w:tcPr>
            <w:tcW w:w="1417" w:type="dxa"/>
            <w:vAlign w:val="center"/>
          </w:tcPr>
          <w:p w14:paraId="69BD7679">
            <w:pPr>
              <w:spacing w:line="440" w:lineRule="exact"/>
              <w:rPr>
                <w:rFonts w:hint="eastAsia" w:ascii="宋体" w:hAnsi="宋体" w:eastAsia="宋体" w:cs="宋体"/>
                <w:b/>
                <w:color w:val="auto"/>
                <w:sz w:val="24"/>
                <w:highlight w:val="none"/>
              </w:rPr>
            </w:pPr>
          </w:p>
        </w:tc>
      </w:tr>
      <w:tr w14:paraId="7545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4C03B217">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w:t>
            </w:r>
          </w:p>
        </w:tc>
        <w:tc>
          <w:tcPr>
            <w:tcW w:w="6038" w:type="dxa"/>
            <w:vAlign w:val="center"/>
          </w:tcPr>
          <w:p w14:paraId="04C4F31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磋商文件要求和供应商认为需要提供的其它说明和资料</w:t>
            </w:r>
          </w:p>
        </w:tc>
        <w:tc>
          <w:tcPr>
            <w:tcW w:w="1417" w:type="dxa"/>
            <w:vAlign w:val="center"/>
          </w:tcPr>
          <w:p w14:paraId="1BEA04CE">
            <w:pPr>
              <w:spacing w:line="440" w:lineRule="exact"/>
              <w:rPr>
                <w:rFonts w:hint="eastAsia" w:ascii="宋体" w:hAnsi="宋体" w:eastAsia="宋体" w:cs="宋体"/>
                <w:b/>
                <w:color w:val="auto"/>
                <w:sz w:val="24"/>
                <w:highlight w:val="none"/>
              </w:rPr>
            </w:pPr>
          </w:p>
        </w:tc>
      </w:tr>
      <w:tr w14:paraId="4DFC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56386A9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038" w:type="dxa"/>
            <w:vAlign w:val="center"/>
          </w:tcPr>
          <w:p w14:paraId="6EEF3120">
            <w:pPr>
              <w:spacing w:line="440" w:lineRule="exact"/>
              <w:rPr>
                <w:rFonts w:hint="eastAsia" w:ascii="宋体" w:hAnsi="宋体" w:eastAsia="宋体" w:cs="宋体"/>
                <w:color w:val="auto"/>
                <w:sz w:val="24"/>
                <w:highlight w:val="none"/>
              </w:rPr>
            </w:pPr>
          </w:p>
        </w:tc>
        <w:tc>
          <w:tcPr>
            <w:tcW w:w="1417" w:type="dxa"/>
            <w:vAlign w:val="center"/>
          </w:tcPr>
          <w:p w14:paraId="39E2E9B0">
            <w:pPr>
              <w:spacing w:line="440" w:lineRule="exact"/>
              <w:rPr>
                <w:rFonts w:hint="eastAsia" w:ascii="宋体" w:hAnsi="宋体" w:eastAsia="宋体" w:cs="宋体"/>
                <w:b/>
                <w:color w:val="auto"/>
                <w:sz w:val="24"/>
                <w:highlight w:val="none"/>
              </w:rPr>
            </w:pPr>
          </w:p>
        </w:tc>
      </w:tr>
      <w:tr w14:paraId="6BF8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2F2B3C7E">
            <w:pPr>
              <w:spacing w:line="440" w:lineRule="exact"/>
              <w:jc w:val="center"/>
              <w:rPr>
                <w:rFonts w:hint="eastAsia" w:ascii="宋体" w:hAnsi="宋体" w:eastAsia="宋体" w:cs="宋体"/>
                <w:color w:val="auto"/>
                <w:sz w:val="24"/>
                <w:highlight w:val="none"/>
              </w:rPr>
            </w:pPr>
          </w:p>
        </w:tc>
        <w:tc>
          <w:tcPr>
            <w:tcW w:w="6038" w:type="dxa"/>
            <w:vAlign w:val="center"/>
          </w:tcPr>
          <w:p w14:paraId="1EAC4DD6">
            <w:pPr>
              <w:spacing w:line="440" w:lineRule="exact"/>
              <w:rPr>
                <w:rFonts w:hint="eastAsia" w:ascii="宋体" w:hAnsi="宋体" w:eastAsia="宋体" w:cs="宋体"/>
                <w:color w:val="auto"/>
                <w:sz w:val="24"/>
                <w:highlight w:val="none"/>
              </w:rPr>
            </w:pPr>
          </w:p>
        </w:tc>
        <w:tc>
          <w:tcPr>
            <w:tcW w:w="1417" w:type="dxa"/>
            <w:vAlign w:val="center"/>
          </w:tcPr>
          <w:p w14:paraId="20DBEB6B">
            <w:pPr>
              <w:spacing w:line="440" w:lineRule="exact"/>
              <w:rPr>
                <w:rFonts w:hint="eastAsia" w:ascii="宋体" w:hAnsi="宋体" w:eastAsia="宋体" w:cs="宋体"/>
                <w:b/>
                <w:color w:val="auto"/>
                <w:sz w:val="24"/>
                <w:highlight w:val="none"/>
              </w:rPr>
            </w:pPr>
          </w:p>
        </w:tc>
      </w:tr>
      <w:tr w14:paraId="463F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0B1DDCA4">
            <w:pPr>
              <w:spacing w:line="440" w:lineRule="exact"/>
              <w:jc w:val="center"/>
              <w:rPr>
                <w:rFonts w:hint="eastAsia" w:ascii="宋体" w:hAnsi="宋体" w:eastAsia="宋体" w:cs="宋体"/>
                <w:color w:val="auto"/>
                <w:sz w:val="24"/>
                <w:highlight w:val="none"/>
              </w:rPr>
            </w:pPr>
          </w:p>
        </w:tc>
        <w:tc>
          <w:tcPr>
            <w:tcW w:w="6038" w:type="dxa"/>
            <w:vAlign w:val="center"/>
          </w:tcPr>
          <w:p w14:paraId="1A524175">
            <w:pPr>
              <w:spacing w:line="440" w:lineRule="exact"/>
              <w:rPr>
                <w:rFonts w:hint="eastAsia" w:ascii="宋体" w:hAnsi="宋体" w:eastAsia="宋体" w:cs="宋体"/>
                <w:color w:val="auto"/>
                <w:sz w:val="24"/>
                <w:highlight w:val="none"/>
              </w:rPr>
            </w:pPr>
          </w:p>
        </w:tc>
        <w:tc>
          <w:tcPr>
            <w:tcW w:w="1417" w:type="dxa"/>
            <w:vAlign w:val="center"/>
          </w:tcPr>
          <w:p w14:paraId="2F15C1F2">
            <w:pPr>
              <w:spacing w:line="440" w:lineRule="exact"/>
              <w:rPr>
                <w:rFonts w:hint="eastAsia" w:ascii="宋体" w:hAnsi="宋体" w:eastAsia="宋体" w:cs="宋体"/>
                <w:b/>
                <w:color w:val="auto"/>
                <w:sz w:val="24"/>
                <w:highlight w:val="none"/>
              </w:rPr>
            </w:pPr>
          </w:p>
        </w:tc>
      </w:tr>
      <w:tr w14:paraId="3804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4F42CF6">
            <w:pPr>
              <w:spacing w:line="440" w:lineRule="exact"/>
              <w:jc w:val="center"/>
              <w:rPr>
                <w:rFonts w:hint="eastAsia" w:ascii="宋体" w:hAnsi="宋体" w:eastAsia="宋体" w:cs="宋体"/>
                <w:color w:val="auto"/>
                <w:sz w:val="24"/>
                <w:highlight w:val="none"/>
              </w:rPr>
            </w:pPr>
          </w:p>
        </w:tc>
        <w:tc>
          <w:tcPr>
            <w:tcW w:w="6038" w:type="dxa"/>
            <w:vAlign w:val="center"/>
          </w:tcPr>
          <w:p w14:paraId="74516A14">
            <w:pPr>
              <w:spacing w:line="440" w:lineRule="exact"/>
              <w:rPr>
                <w:rFonts w:hint="eastAsia" w:ascii="宋体" w:hAnsi="宋体" w:eastAsia="宋体" w:cs="宋体"/>
                <w:color w:val="auto"/>
                <w:sz w:val="24"/>
                <w:highlight w:val="none"/>
              </w:rPr>
            </w:pPr>
          </w:p>
        </w:tc>
        <w:tc>
          <w:tcPr>
            <w:tcW w:w="1417" w:type="dxa"/>
            <w:vAlign w:val="center"/>
          </w:tcPr>
          <w:p w14:paraId="1823A6DE">
            <w:pPr>
              <w:spacing w:line="440" w:lineRule="exact"/>
              <w:rPr>
                <w:rFonts w:hint="eastAsia" w:ascii="宋体" w:hAnsi="宋体" w:eastAsia="宋体" w:cs="宋体"/>
                <w:b/>
                <w:color w:val="auto"/>
                <w:sz w:val="24"/>
                <w:highlight w:val="none"/>
              </w:rPr>
            </w:pPr>
          </w:p>
        </w:tc>
      </w:tr>
      <w:tr w14:paraId="1573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16C509DC">
            <w:pPr>
              <w:spacing w:line="440" w:lineRule="exact"/>
              <w:jc w:val="center"/>
              <w:rPr>
                <w:rFonts w:hint="eastAsia" w:ascii="宋体" w:hAnsi="宋体" w:eastAsia="宋体" w:cs="宋体"/>
                <w:color w:val="auto"/>
                <w:sz w:val="24"/>
                <w:highlight w:val="none"/>
              </w:rPr>
            </w:pPr>
          </w:p>
        </w:tc>
        <w:tc>
          <w:tcPr>
            <w:tcW w:w="6038" w:type="dxa"/>
            <w:vAlign w:val="center"/>
          </w:tcPr>
          <w:p w14:paraId="4E03774C">
            <w:pPr>
              <w:spacing w:line="440" w:lineRule="exact"/>
              <w:rPr>
                <w:rFonts w:hint="eastAsia" w:ascii="宋体" w:hAnsi="宋体" w:eastAsia="宋体" w:cs="宋体"/>
                <w:color w:val="auto"/>
                <w:sz w:val="24"/>
                <w:highlight w:val="none"/>
              </w:rPr>
            </w:pPr>
          </w:p>
        </w:tc>
        <w:tc>
          <w:tcPr>
            <w:tcW w:w="1417" w:type="dxa"/>
            <w:vAlign w:val="center"/>
          </w:tcPr>
          <w:p w14:paraId="49E76A74">
            <w:pPr>
              <w:spacing w:line="440" w:lineRule="exact"/>
              <w:rPr>
                <w:rFonts w:hint="eastAsia" w:ascii="宋体" w:hAnsi="宋体" w:eastAsia="宋体" w:cs="宋体"/>
                <w:b/>
                <w:color w:val="auto"/>
                <w:sz w:val="24"/>
                <w:highlight w:val="none"/>
              </w:rPr>
            </w:pPr>
          </w:p>
        </w:tc>
      </w:tr>
    </w:tbl>
    <w:p w14:paraId="77EFAC13">
      <w:pPr>
        <w:spacing w:line="360" w:lineRule="auto"/>
        <w:jc w:val="center"/>
        <w:rPr>
          <w:rFonts w:hint="eastAsia" w:ascii="宋体" w:hAnsi="宋体" w:eastAsia="宋体" w:cs="宋体"/>
          <w:b/>
          <w:color w:val="auto"/>
          <w:sz w:val="24"/>
          <w:highlight w:val="none"/>
        </w:rPr>
      </w:pPr>
    </w:p>
    <w:p w14:paraId="3BC2ABB2">
      <w:pPr>
        <w:spacing w:line="360" w:lineRule="auto"/>
        <w:jc w:val="center"/>
        <w:rPr>
          <w:rFonts w:hint="eastAsia" w:ascii="宋体" w:hAnsi="宋体" w:eastAsia="宋体" w:cs="宋体"/>
          <w:b/>
          <w:color w:val="auto"/>
          <w:sz w:val="24"/>
          <w:highlight w:val="none"/>
        </w:rPr>
      </w:pPr>
    </w:p>
    <w:p w14:paraId="130DA059">
      <w:pPr>
        <w:spacing w:line="360" w:lineRule="auto"/>
        <w:jc w:val="center"/>
        <w:rPr>
          <w:rFonts w:hint="eastAsia" w:ascii="宋体" w:hAnsi="宋体" w:eastAsia="宋体" w:cs="宋体"/>
          <w:b/>
          <w:color w:val="auto"/>
          <w:sz w:val="24"/>
          <w:highlight w:val="none"/>
        </w:rPr>
      </w:pPr>
    </w:p>
    <w:p w14:paraId="32C33EB0">
      <w:pPr>
        <w:pStyle w:val="5"/>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92" w:name="_Toc8158"/>
      <w:bookmarkStart w:id="93" w:name="_Toc21309"/>
      <w:bookmarkStart w:id="94" w:name="_Toc10603"/>
      <w:r>
        <w:rPr>
          <w:rFonts w:hint="eastAsia" w:ascii="宋体" w:hAnsi="宋体" w:eastAsia="宋体" w:cs="宋体"/>
          <w:color w:val="auto"/>
          <w:sz w:val="24"/>
          <w:szCs w:val="24"/>
          <w:highlight w:val="none"/>
        </w:rPr>
        <w:t>附件一</w:t>
      </w:r>
      <w:bookmarkEnd w:id="92"/>
      <w:bookmarkEnd w:id="93"/>
      <w:bookmarkEnd w:id="94"/>
    </w:p>
    <w:p w14:paraId="688A029B">
      <w:pPr>
        <w:pStyle w:val="5"/>
        <w:spacing w:before="0" w:after="0" w:line="560" w:lineRule="exact"/>
        <w:jc w:val="center"/>
        <w:rPr>
          <w:rFonts w:hint="eastAsia" w:ascii="宋体" w:hAnsi="宋体" w:eastAsia="宋体" w:cs="宋体"/>
          <w:color w:val="auto"/>
          <w:sz w:val="24"/>
          <w:szCs w:val="24"/>
          <w:highlight w:val="none"/>
        </w:rPr>
      </w:pPr>
      <w:bookmarkStart w:id="95" w:name="_Toc10816"/>
      <w:bookmarkStart w:id="96" w:name="_Toc9181"/>
      <w:bookmarkStart w:id="97" w:name="_Toc5601"/>
      <w:r>
        <w:rPr>
          <w:rFonts w:hint="eastAsia" w:ascii="宋体" w:hAnsi="宋体" w:eastAsia="宋体" w:cs="宋体"/>
          <w:color w:val="auto"/>
          <w:sz w:val="24"/>
          <w:szCs w:val="24"/>
          <w:highlight w:val="none"/>
        </w:rPr>
        <w:t>报价单</w:t>
      </w:r>
      <w:bookmarkEnd w:id="95"/>
      <w:bookmarkEnd w:id="96"/>
      <w:bookmarkEnd w:id="97"/>
    </w:p>
    <w:p w14:paraId="2933235C">
      <w:pPr>
        <w:rPr>
          <w:rFonts w:hint="eastAsia" w:ascii="宋体" w:hAnsi="宋体" w:eastAsia="宋体" w:cs="宋体"/>
          <w:color w:val="auto"/>
          <w:highlight w:val="none"/>
        </w:rPr>
      </w:pPr>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01BF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14:paraId="7243D334">
            <w:pPr>
              <w:jc w:val="center"/>
              <w:rPr>
                <w:rFonts w:hint="eastAsia" w:ascii="宋体" w:hAnsi="宋体"/>
                <w:b/>
                <w:color w:val="auto"/>
                <w:sz w:val="24"/>
                <w:szCs w:val="24"/>
                <w:highlight w:val="none"/>
              </w:rPr>
            </w:pPr>
            <w:bookmarkStart w:id="98" w:name="_Toc16998"/>
            <w:bookmarkStart w:id="99" w:name="_Toc2007"/>
            <w:r>
              <w:rPr>
                <w:rFonts w:hint="eastAsia" w:ascii="宋体" w:hAnsi="宋体"/>
                <w:b/>
                <w:color w:val="auto"/>
                <w:sz w:val="24"/>
                <w:szCs w:val="24"/>
                <w:highlight w:val="none"/>
              </w:rPr>
              <w:t>序号</w:t>
            </w:r>
          </w:p>
        </w:tc>
        <w:tc>
          <w:tcPr>
            <w:tcW w:w="4078" w:type="dxa"/>
            <w:noWrap w:val="0"/>
            <w:vAlign w:val="center"/>
          </w:tcPr>
          <w:p w14:paraId="1F8AADAA">
            <w:pPr>
              <w:jc w:val="center"/>
              <w:rPr>
                <w:rFonts w:hint="eastAsia"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noWrap w:val="0"/>
            <w:vAlign w:val="center"/>
          </w:tcPr>
          <w:p w14:paraId="34E2B2A1">
            <w:pPr>
              <w:jc w:val="center"/>
              <w:rPr>
                <w:rFonts w:hint="eastAsia" w:ascii="宋体" w:hAnsi="宋体"/>
                <w:b/>
                <w:color w:val="auto"/>
                <w:sz w:val="24"/>
                <w:szCs w:val="24"/>
                <w:highlight w:val="none"/>
              </w:rPr>
            </w:pPr>
            <w:r>
              <w:rPr>
                <w:rFonts w:hint="eastAsia" w:ascii="宋体" w:hAnsi="宋体"/>
                <w:b/>
                <w:color w:val="auto"/>
                <w:sz w:val="24"/>
                <w:szCs w:val="24"/>
                <w:highlight w:val="none"/>
              </w:rPr>
              <w:t>项</w:t>
            </w:r>
          </w:p>
        </w:tc>
        <w:tc>
          <w:tcPr>
            <w:tcW w:w="1091" w:type="dxa"/>
            <w:noWrap w:val="0"/>
            <w:vAlign w:val="center"/>
          </w:tcPr>
          <w:p w14:paraId="3EABFDA6">
            <w:pPr>
              <w:jc w:val="center"/>
              <w:rPr>
                <w:rFonts w:hint="eastAsia" w:ascii="宋体" w:hAnsi="宋体"/>
                <w:b/>
                <w:color w:val="auto"/>
                <w:sz w:val="24"/>
                <w:szCs w:val="24"/>
                <w:highlight w:val="none"/>
              </w:rPr>
            </w:pPr>
            <w:r>
              <w:rPr>
                <w:rFonts w:hint="eastAsia" w:ascii="宋体" w:hAnsi="宋体"/>
                <w:b/>
                <w:color w:val="auto"/>
                <w:sz w:val="24"/>
                <w:szCs w:val="24"/>
                <w:highlight w:val="none"/>
              </w:rPr>
              <w:t>单价</w:t>
            </w:r>
          </w:p>
        </w:tc>
        <w:tc>
          <w:tcPr>
            <w:tcW w:w="1821" w:type="dxa"/>
            <w:noWrap w:val="0"/>
            <w:vAlign w:val="center"/>
          </w:tcPr>
          <w:p w14:paraId="30AB3539">
            <w:pPr>
              <w:jc w:val="center"/>
              <w:rPr>
                <w:rFonts w:hint="eastAsia" w:ascii="宋体" w:hAnsi="宋体"/>
                <w:b/>
                <w:color w:val="auto"/>
                <w:sz w:val="24"/>
                <w:szCs w:val="24"/>
                <w:highlight w:val="none"/>
              </w:rPr>
            </w:pPr>
            <w:r>
              <w:rPr>
                <w:rFonts w:hint="eastAsia" w:ascii="宋体" w:hAnsi="宋体"/>
                <w:b/>
                <w:color w:val="auto"/>
                <w:sz w:val="24"/>
                <w:szCs w:val="24"/>
                <w:highlight w:val="none"/>
              </w:rPr>
              <w:t>小计金额（元）</w:t>
            </w:r>
          </w:p>
        </w:tc>
      </w:tr>
      <w:tr w14:paraId="0FD5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2FE86C0B">
            <w:pPr>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4078" w:type="dxa"/>
            <w:noWrap w:val="0"/>
            <w:vAlign w:val="center"/>
          </w:tcPr>
          <w:p w14:paraId="0507C003">
            <w:pPr>
              <w:jc w:val="center"/>
              <w:rPr>
                <w:rFonts w:hint="eastAsia" w:ascii="宋体" w:hAnsi="宋体"/>
                <w:bCs/>
                <w:color w:val="auto"/>
                <w:sz w:val="24"/>
                <w:szCs w:val="24"/>
                <w:highlight w:val="none"/>
              </w:rPr>
            </w:pPr>
          </w:p>
        </w:tc>
        <w:tc>
          <w:tcPr>
            <w:tcW w:w="1214" w:type="dxa"/>
            <w:noWrap w:val="0"/>
            <w:vAlign w:val="center"/>
          </w:tcPr>
          <w:p w14:paraId="014B17F2">
            <w:pPr>
              <w:jc w:val="center"/>
              <w:rPr>
                <w:rFonts w:hint="eastAsia" w:ascii="宋体" w:hAnsi="宋体"/>
                <w:bCs/>
                <w:color w:val="auto"/>
                <w:sz w:val="24"/>
                <w:szCs w:val="24"/>
                <w:highlight w:val="none"/>
              </w:rPr>
            </w:pPr>
          </w:p>
        </w:tc>
        <w:tc>
          <w:tcPr>
            <w:tcW w:w="1091" w:type="dxa"/>
            <w:noWrap w:val="0"/>
            <w:vAlign w:val="center"/>
          </w:tcPr>
          <w:p w14:paraId="1EAE862E">
            <w:pPr>
              <w:jc w:val="center"/>
              <w:rPr>
                <w:rFonts w:hint="eastAsia" w:ascii="宋体" w:hAnsi="宋体"/>
                <w:bCs/>
                <w:color w:val="auto"/>
                <w:sz w:val="24"/>
                <w:szCs w:val="24"/>
                <w:highlight w:val="none"/>
              </w:rPr>
            </w:pPr>
          </w:p>
        </w:tc>
        <w:tc>
          <w:tcPr>
            <w:tcW w:w="1821" w:type="dxa"/>
            <w:noWrap w:val="0"/>
            <w:vAlign w:val="center"/>
          </w:tcPr>
          <w:p w14:paraId="61FBF09D">
            <w:pPr>
              <w:jc w:val="center"/>
              <w:rPr>
                <w:rFonts w:hint="eastAsia" w:ascii="宋体" w:hAnsi="宋体"/>
                <w:bCs/>
                <w:color w:val="auto"/>
                <w:sz w:val="24"/>
                <w:szCs w:val="24"/>
                <w:highlight w:val="none"/>
              </w:rPr>
            </w:pPr>
          </w:p>
        </w:tc>
      </w:tr>
      <w:tr w14:paraId="7DCB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573A2DE2">
            <w:pPr>
              <w:jc w:val="center"/>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4078" w:type="dxa"/>
            <w:noWrap w:val="0"/>
            <w:vAlign w:val="center"/>
          </w:tcPr>
          <w:p w14:paraId="71E623E8">
            <w:pPr>
              <w:jc w:val="center"/>
              <w:rPr>
                <w:rFonts w:hint="eastAsia" w:ascii="宋体" w:hAnsi="宋体"/>
                <w:bCs/>
                <w:color w:val="auto"/>
                <w:sz w:val="24"/>
                <w:szCs w:val="24"/>
                <w:highlight w:val="none"/>
              </w:rPr>
            </w:pPr>
          </w:p>
        </w:tc>
        <w:tc>
          <w:tcPr>
            <w:tcW w:w="1214" w:type="dxa"/>
            <w:noWrap w:val="0"/>
            <w:vAlign w:val="center"/>
          </w:tcPr>
          <w:p w14:paraId="11BF91AF">
            <w:pPr>
              <w:jc w:val="center"/>
              <w:rPr>
                <w:rFonts w:hint="eastAsia" w:ascii="宋体" w:hAnsi="宋体"/>
                <w:bCs/>
                <w:color w:val="auto"/>
                <w:sz w:val="24"/>
                <w:szCs w:val="24"/>
                <w:highlight w:val="none"/>
              </w:rPr>
            </w:pPr>
          </w:p>
        </w:tc>
        <w:tc>
          <w:tcPr>
            <w:tcW w:w="1091" w:type="dxa"/>
            <w:noWrap w:val="0"/>
            <w:vAlign w:val="center"/>
          </w:tcPr>
          <w:p w14:paraId="54A4F725">
            <w:pPr>
              <w:jc w:val="center"/>
              <w:rPr>
                <w:rFonts w:hint="eastAsia" w:ascii="宋体" w:hAnsi="宋体"/>
                <w:bCs/>
                <w:color w:val="auto"/>
                <w:sz w:val="24"/>
                <w:szCs w:val="24"/>
                <w:highlight w:val="none"/>
              </w:rPr>
            </w:pPr>
          </w:p>
        </w:tc>
        <w:tc>
          <w:tcPr>
            <w:tcW w:w="1821" w:type="dxa"/>
            <w:noWrap w:val="0"/>
            <w:vAlign w:val="center"/>
          </w:tcPr>
          <w:p w14:paraId="6DCD1E9C">
            <w:pPr>
              <w:jc w:val="center"/>
              <w:rPr>
                <w:rFonts w:hint="eastAsia" w:ascii="宋体" w:hAnsi="宋体"/>
                <w:bCs/>
                <w:color w:val="auto"/>
                <w:sz w:val="24"/>
                <w:szCs w:val="24"/>
                <w:highlight w:val="none"/>
              </w:rPr>
            </w:pPr>
          </w:p>
        </w:tc>
      </w:tr>
      <w:tr w14:paraId="4DED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54F44FDE">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4078" w:type="dxa"/>
            <w:noWrap w:val="0"/>
            <w:vAlign w:val="center"/>
          </w:tcPr>
          <w:p w14:paraId="0828D776">
            <w:pPr>
              <w:jc w:val="center"/>
              <w:rPr>
                <w:rFonts w:hint="eastAsia" w:ascii="宋体" w:hAnsi="宋体"/>
                <w:bCs/>
                <w:color w:val="auto"/>
                <w:sz w:val="24"/>
                <w:szCs w:val="24"/>
                <w:highlight w:val="none"/>
              </w:rPr>
            </w:pPr>
          </w:p>
        </w:tc>
        <w:tc>
          <w:tcPr>
            <w:tcW w:w="1214" w:type="dxa"/>
            <w:noWrap w:val="0"/>
            <w:vAlign w:val="center"/>
          </w:tcPr>
          <w:p w14:paraId="2D879C4B">
            <w:pPr>
              <w:jc w:val="center"/>
              <w:rPr>
                <w:rFonts w:hint="eastAsia" w:ascii="宋体" w:hAnsi="宋体"/>
                <w:bCs/>
                <w:color w:val="auto"/>
                <w:sz w:val="24"/>
                <w:szCs w:val="24"/>
                <w:highlight w:val="none"/>
              </w:rPr>
            </w:pPr>
          </w:p>
        </w:tc>
        <w:tc>
          <w:tcPr>
            <w:tcW w:w="1091" w:type="dxa"/>
            <w:noWrap w:val="0"/>
            <w:vAlign w:val="center"/>
          </w:tcPr>
          <w:p w14:paraId="1E73BD9A">
            <w:pPr>
              <w:jc w:val="center"/>
              <w:rPr>
                <w:rFonts w:hint="eastAsia" w:ascii="宋体" w:hAnsi="宋体"/>
                <w:bCs/>
                <w:color w:val="auto"/>
                <w:sz w:val="24"/>
                <w:szCs w:val="24"/>
                <w:highlight w:val="none"/>
              </w:rPr>
            </w:pPr>
          </w:p>
        </w:tc>
        <w:tc>
          <w:tcPr>
            <w:tcW w:w="1821" w:type="dxa"/>
            <w:noWrap w:val="0"/>
            <w:vAlign w:val="center"/>
          </w:tcPr>
          <w:p w14:paraId="44F8A386">
            <w:pPr>
              <w:jc w:val="center"/>
              <w:rPr>
                <w:rFonts w:hint="eastAsia" w:ascii="宋体" w:hAnsi="宋体"/>
                <w:bCs/>
                <w:color w:val="auto"/>
                <w:sz w:val="24"/>
                <w:szCs w:val="24"/>
                <w:highlight w:val="none"/>
              </w:rPr>
            </w:pPr>
          </w:p>
        </w:tc>
      </w:tr>
      <w:tr w14:paraId="3F84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2A2354A">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4078" w:type="dxa"/>
            <w:noWrap w:val="0"/>
            <w:vAlign w:val="center"/>
          </w:tcPr>
          <w:p w14:paraId="7109D3D8">
            <w:pPr>
              <w:jc w:val="center"/>
              <w:rPr>
                <w:rFonts w:hint="eastAsia" w:ascii="宋体" w:hAnsi="宋体"/>
                <w:bCs/>
                <w:color w:val="auto"/>
                <w:sz w:val="24"/>
                <w:szCs w:val="24"/>
                <w:highlight w:val="none"/>
              </w:rPr>
            </w:pPr>
          </w:p>
        </w:tc>
        <w:tc>
          <w:tcPr>
            <w:tcW w:w="1214" w:type="dxa"/>
            <w:noWrap w:val="0"/>
            <w:vAlign w:val="center"/>
          </w:tcPr>
          <w:p w14:paraId="674323B2">
            <w:pPr>
              <w:jc w:val="center"/>
              <w:rPr>
                <w:rFonts w:hint="eastAsia" w:ascii="宋体" w:hAnsi="宋体"/>
                <w:bCs/>
                <w:color w:val="auto"/>
                <w:sz w:val="24"/>
                <w:szCs w:val="24"/>
                <w:highlight w:val="none"/>
              </w:rPr>
            </w:pPr>
          </w:p>
        </w:tc>
        <w:tc>
          <w:tcPr>
            <w:tcW w:w="1091" w:type="dxa"/>
            <w:noWrap w:val="0"/>
            <w:vAlign w:val="center"/>
          </w:tcPr>
          <w:p w14:paraId="19E7AC83">
            <w:pPr>
              <w:jc w:val="center"/>
              <w:rPr>
                <w:rFonts w:hint="eastAsia" w:ascii="宋体" w:hAnsi="宋体"/>
                <w:bCs/>
                <w:color w:val="auto"/>
                <w:sz w:val="24"/>
                <w:szCs w:val="24"/>
                <w:highlight w:val="none"/>
              </w:rPr>
            </w:pPr>
          </w:p>
        </w:tc>
        <w:tc>
          <w:tcPr>
            <w:tcW w:w="1821" w:type="dxa"/>
            <w:noWrap w:val="0"/>
            <w:vAlign w:val="center"/>
          </w:tcPr>
          <w:p w14:paraId="05B9EA4A">
            <w:pPr>
              <w:jc w:val="center"/>
              <w:rPr>
                <w:rFonts w:hint="eastAsia" w:ascii="宋体" w:hAnsi="宋体"/>
                <w:bCs/>
                <w:color w:val="auto"/>
                <w:sz w:val="24"/>
                <w:szCs w:val="24"/>
                <w:highlight w:val="none"/>
              </w:rPr>
            </w:pPr>
          </w:p>
        </w:tc>
      </w:tr>
      <w:tr w14:paraId="503C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56D00683">
            <w:pPr>
              <w:jc w:val="center"/>
              <w:rPr>
                <w:rFonts w:hint="eastAsia" w:ascii="宋体" w:hAnsi="宋体"/>
                <w:bCs/>
                <w:color w:val="auto"/>
                <w:sz w:val="24"/>
                <w:szCs w:val="24"/>
                <w:highlight w:val="none"/>
              </w:rPr>
            </w:pPr>
          </w:p>
        </w:tc>
        <w:tc>
          <w:tcPr>
            <w:tcW w:w="4078" w:type="dxa"/>
            <w:noWrap w:val="0"/>
            <w:vAlign w:val="center"/>
          </w:tcPr>
          <w:p w14:paraId="3059A94C">
            <w:pPr>
              <w:pStyle w:val="32"/>
              <w:ind w:left="-108"/>
              <w:jc w:val="center"/>
              <w:rPr>
                <w:rFonts w:hint="eastAsia" w:ascii="宋体" w:hAnsi="宋体"/>
                <w:bCs/>
                <w:color w:val="auto"/>
                <w:szCs w:val="24"/>
                <w:highlight w:val="none"/>
              </w:rPr>
            </w:pPr>
            <w:r>
              <w:rPr>
                <w:rFonts w:hint="eastAsia" w:ascii="宋体" w:hAnsi="宋体"/>
                <w:bCs/>
                <w:color w:val="auto"/>
                <w:szCs w:val="24"/>
                <w:highlight w:val="none"/>
              </w:rPr>
              <w:t>其他费用</w:t>
            </w:r>
          </w:p>
        </w:tc>
        <w:tc>
          <w:tcPr>
            <w:tcW w:w="1214" w:type="dxa"/>
            <w:noWrap w:val="0"/>
            <w:vAlign w:val="center"/>
          </w:tcPr>
          <w:p w14:paraId="484D0EBC">
            <w:pPr>
              <w:jc w:val="center"/>
              <w:rPr>
                <w:rFonts w:hint="eastAsia" w:ascii="宋体" w:hAnsi="宋体"/>
                <w:bCs/>
                <w:color w:val="auto"/>
                <w:sz w:val="24"/>
                <w:szCs w:val="24"/>
                <w:highlight w:val="none"/>
              </w:rPr>
            </w:pPr>
          </w:p>
        </w:tc>
        <w:tc>
          <w:tcPr>
            <w:tcW w:w="1091" w:type="dxa"/>
            <w:noWrap w:val="0"/>
            <w:vAlign w:val="center"/>
          </w:tcPr>
          <w:p w14:paraId="5349E19B">
            <w:pPr>
              <w:jc w:val="center"/>
              <w:rPr>
                <w:rFonts w:hint="eastAsia" w:ascii="宋体" w:hAnsi="宋体"/>
                <w:bCs/>
                <w:color w:val="auto"/>
                <w:sz w:val="24"/>
                <w:szCs w:val="24"/>
                <w:highlight w:val="none"/>
              </w:rPr>
            </w:pPr>
          </w:p>
        </w:tc>
        <w:tc>
          <w:tcPr>
            <w:tcW w:w="1821" w:type="dxa"/>
            <w:noWrap w:val="0"/>
            <w:vAlign w:val="center"/>
          </w:tcPr>
          <w:p w14:paraId="22FD296E">
            <w:pPr>
              <w:jc w:val="center"/>
              <w:rPr>
                <w:rFonts w:hint="eastAsia" w:ascii="宋体" w:hAnsi="宋体"/>
                <w:bCs/>
                <w:color w:val="auto"/>
                <w:sz w:val="24"/>
                <w:szCs w:val="24"/>
                <w:highlight w:val="none"/>
              </w:rPr>
            </w:pPr>
          </w:p>
        </w:tc>
      </w:tr>
      <w:tr w14:paraId="6619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7374A247">
            <w:pPr>
              <w:jc w:val="center"/>
              <w:rPr>
                <w:rFonts w:hint="eastAsia" w:ascii="宋体" w:hAnsi="宋体"/>
                <w:bCs/>
                <w:color w:val="auto"/>
                <w:sz w:val="24"/>
                <w:szCs w:val="24"/>
                <w:highlight w:val="none"/>
              </w:rPr>
            </w:pPr>
          </w:p>
        </w:tc>
        <w:tc>
          <w:tcPr>
            <w:tcW w:w="4078" w:type="dxa"/>
            <w:noWrap w:val="0"/>
            <w:vAlign w:val="center"/>
          </w:tcPr>
          <w:p w14:paraId="2ABD6D78">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1214" w:type="dxa"/>
            <w:noWrap w:val="0"/>
            <w:vAlign w:val="center"/>
          </w:tcPr>
          <w:p w14:paraId="2E3C14FA">
            <w:pPr>
              <w:jc w:val="center"/>
              <w:rPr>
                <w:rFonts w:hint="eastAsia" w:ascii="宋体" w:hAnsi="宋体"/>
                <w:bCs/>
                <w:color w:val="auto"/>
                <w:sz w:val="24"/>
                <w:szCs w:val="24"/>
                <w:highlight w:val="none"/>
              </w:rPr>
            </w:pPr>
          </w:p>
        </w:tc>
        <w:tc>
          <w:tcPr>
            <w:tcW w:w="1091" w:type="dxa"/>
            <w:noWrap w:val="0"/>
            <w:vAlign w:val="center"/>
          </w:tcPr>
          <w:p w14:paraId="3B027F04">
            <w:pPr>
              <w:jc w:val="center"/>
              <w:rPr>
                <w:rFonts w:hint="eastAsia" w:ascii="宋体" w:hAnsi="宋体"/>
                <w:bCs/>
                <w:color w:val="auto"/>
                <w:sz w:val="24"/>
                <w:szCs w:val="24"/>
                <w:highlight w:val="none"/>
              </w:rPr>
            </w:pPr>
          </w:p>
        </w:tc>
        <w:tc>
          <w:tcPr>
            <w:tcW w:w="1821" w:type="dxa"/>
            <w:noWrap w:val="0"/>
            <w:vAlign w:val="center"/>
          </w:tcPr>
          <w:p w14:paraId="001F2CA7">
            <w:pPr>
              <w:jc w:val="center"/>
              <w:rPr>
                <w:rFonts w:hint="eastAsia" w:ascii="宋体" w:hAnsi="宋体"/>
                <w:bCs/>
                <w:color w:val="auto"/>
                <w:sz w:val="24"/>
                <w:szCs w:val="24"/>
                <w:highlight w:val="none"/>
              </w:rPr>
            </w:pPr>
          </w:p>
        </w:tc>
      </w:tr>
      <w:tr w14:paraId="1431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14:paraId="5B37D359">
            <w:pPr>
              <w:jc w:val="center"/>
              <w:rPr>
                <w:rFonts w:hint="eastAsia" w:ascii="宋体" w:hAnsi="宋体"/>
                <w:bCs/>
                <w:color w:val="auto"/>
                <w:sz w:val="24"/>
                <w:szCs w:val="24"/>
                <w:highlight w:val="none"/>
              </w:rPr>
            </w:pPr>
            <w:r>
              <w:rPr>
                <w:rFonts w:hint="eastAsia" w:ascii="宋体" w:hAnsi="宋体"/>
                <w:b/>
                <w:bCs w:val="0"/>
                <w:color w:val="auto"/>
                <w:sz w:val="24"/>
                <w:szCs w:val="24"/>
                <w:highlight w:val="none"/>
              </w:rPr>
              <w:t>合计金额（元）</w:t>
            </w:r>
          </w:p>
        </w:tc>
        <w:tc>
          <w:tcPr>
            <w:tcW w:w="1821" w:type="dxa"/>
            <w:noWrap w:val="0"/>
            <w:vAlign w:val="center"/>
          </w:tcPr>
          <w:p w14:paraId="245BC1BF">
            <w:pPr>
              <w:jc w:val="center"/>
              <w:rPr>
                <w:rFonts w:hint="eastAsia" w:ascii="宋体" w:hAnsi="宋体"/>
                <w:bCs/>
                <w:color w:val="auto"/>
                <w:sz w:val="24"/>
                <w:szCs w:val="24"/>
                <w:highlight w:val="none"/>
              </w:rPr>
            </w:pPr>
          </w:p>
        </w:tc>
      </w:tr>
    </w:tbl>
    <w:p w14:paraId="4CA72021">
      <w:pPr>
        <w:pStyle w:val="7"/>
        <w:spacing w:line="360" w:lineRule="auto"/>
        <w:rPr>
          <w:rFonts w:ascii="宋体" w:hAnsi="宋体" w:eastAsia="宋体" w:cs="宋体"/>
          <w:b/>
          <w:bCs/>
          <w:color w:val="auto"/>
          <w:sz w:val="24"/>
          <w:highlight w:val="none"/>
        </w:rPr>
      </w:pPr>
    </w:p>
    <w:p w14:paraId="107E0E68">
      <w:pPr>
        <w:pStyle w:val="7"/>
        <w:spacing w:line="560" w:lineRule="exact"/>
        <w:rPr>
          <w:rFonts w:ascii="宋体" w:hAnsi="宋体" w:eastAsia="宋体" w:cs="宋体"/>
          <w:b/>
          <w:bCs/>
          <w:color w:val="auto"/>
          <w:sz w:val="24"/>
          <w:szCs w:val="28"/>
          <w:highlight w:val="none"/>
        </w:rPr>
      </w:pPr>
      <w:r>
        <w:rPr>
          <w:rFonts w:hint="eastAsia" w:ascii="宋体" w:hAnsi="宋体" w:eastAsia="宋体" w:cs="宋体"/>
          <w:b/>
          <w:bCs/>
          <w:color w:val="auto"/>
          <w:sz w:val="24"/>
          <w:highlight w:val="none"/>
        </w:rPr>
        <w:t>供应商盖章：</w:t>
      </w:r>
    </w:p>
    <w:p w14:paraId="4F9F135A">
      <w:pPr>
        <w:adjustRightInd w:val="0"/>
        <w:snapToGrid w:val="0"/>
        <w:spacing w:line="560" w:lineRule="exact"/>
        <w:rPr>
          <w:rFonts w:ascii="宋体" w:hAnsi="宋体"/>
          <w:b/>
          <w:bCs/>
          <w:color w:val="auto"/>
          <w:sz w:val="24"/>
          <w:szCs w:val="28"/>
          <w:highlight w:val="none"/>
        </w:rPr>
      </w:pPr>
      <w:r>
        <w:rPr>
          <w:rFonts w:hint="eastAsia" w:ascii="宋体" w:hAnsi="宋体"/>
          <w:b/>
          <w:bCs/>
          <w:color w:val="auto"/>
          <w:sz w:val="24"/>
          <w:szCs w:val="28"/>
          <w:highlight w:val="none"/>
        </w:rPr>
        <w:t>日  期：   年   月   日</w:t>
      </w:r>
    </w:p>
    <w:p w14:paraId="1885C67E">
      <w:pPr>
        <w:adjustRightInd w:val="0"/>
        <w:snapToGrid w:val="0"/>
        <w:spacing w:line="360" w:lineRule="auto"/>
        <w:rPr>
          <w:rFonts w:ascii="宋体" w:hAnsi="宋体"/>
          <w:b/>
          <w:bCs/>
          <w:color w:val="auto"/>
          <w:sz w:val="24"/>
          <w:szCs w:val="28"/>
          <w:highlight w:val="none"/>
        </w:rPr>
      </w:pPr>
    </w:p>
    <w:p w14:paraId="025DFFBB">
      <w:pPr>
        <w:adjustRightInd w:val="0"/>
        <w:snapToGrid w:val="0"/>
        <w:spacing w:line="360" w:lineRule="auto"/>
        <w:rPr>
          <w:rFonts w:ascii="宋体" w:hAnsi="宋体"/>
          <w:b/>
          <w:color w:val="auto"/>
          <w:sz w:val="24"/>
          <w:szCs w:val="24"/>
          <w:highlight w:val="none"/>
        </w:rPr>
      </w:pPr>
    </w:p>
    <w:p w14:paraId="78696955">
      <w:pPr>
        <w:pStyle w:val="5"/>
        <w:wordWrap w:val="0"/>
        <w:adjustRightInd w:val="0"/>
        <w:spacing w:line="52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注：表中所列服务为对应本项目需求的全部服务内容。如有漏项或缺项，供应商承担全部责任。</w:t>
      </w:r>
    </w:p>
    <w:p w14:paraId="245329D8">
      <w:pPr>
        <w:pStyle w:val="5"/>
        <w:wordWrap w:val="0"/>
        <w:spacing w:before="0" w:after="0" w:line="520" w:lineRule="exact"/>
        <w:ind w:firstLine="482" w:firstLineChars="200"/>
        <w:rPr>
          <w:rFonts w:hint="eastAsia" w:ascii="宋体" w:hAnsi="宋体" w:eastAsia="宋体" w:cs="宋体"/>
          <w:color w:val="auto"/>
          <w:sz w:val="24"/>
          <w:szCs w:val="24"/>
          <w:highlight w:val="none"/>
          <w:lang w:val="en-US" w:eastAsia="zh-CN"/>
        </w:rPr>
      </w:pPr>
    </w:p>
    <w:p w14:paraId="4BB68552">
      <w:pPr>
        <w:pStyle w:val="5"/>
        <w:wordWrap w:val="0"/>
        <w:spacing w:before="0" w:after="0" w:line="520" w:lineRule="exact"/>
        <w:rPr>
          <w:rFonts w:hint="eastAsia" w:ascii="宋体" w:hAnsi="宋体" w:eastAsia="宋体" w:cs="宋体"/>
          <w:color w:val="auto"/>
          <w:sz w:val="24"/>
          <w:szCs w:val="24"/>
          <w:highlight w:val="none"/>
        </w:rPr>
      </w:pPr>
    </w:p>
    <w:p w14:paraId="7EDF3D5F">
      <w:pPr>
        <w:pStyle w:val="5"/>
        <w:wordWrap w:val="0"/>
        <w:spacing w:before="0" w:after="0" w:line="520" w:lineRule="exact"/>
        <w:rPr>
          <w:rFonts w:hint="eastAsia" w:ascii="宋体" w:hAnsi="宋体" w:eastAsia="宋体" w:cs="宋体"/>
          <w:color w:val="auto"/>
          <w:sz w:val="24"/>
          <w:szCs w:val="24"/>
          <w:highlight w:val="none"/>
        </w:rPr>
      </w:pPr>
    </w:p>
    <w:p w14:paraId="129A7061">
      <w:pPr>
        <w:pStyle w:val="5"/>
        <w:wordWrap w:val="0"/>
        <w:spacing w:before="0" w:after="0" w:line="520" w:lineRule="exact"/>
        <w:rPr>
          <w:rFonts w:hint="eastAsia" w:ascii="宋体" w:hAnsi="宋体" w:eastAsia="宋体" w:cs="宋体"/>
          <w:color w:val="auto"/>
          <w:sz w:val="24"/>
          <w:szCs w:val="24"/>
          <w:highlight w:val="none"/>
        </w:rPr>
      </w:pPr>
    </w:p>
    <w:p w14:paraId="7B1A6E63">
      <w:pPr>
        <w:pStyle w:val="5"/>
        <w:wordWrap w:val="0"/>
        <w:spacing w:before="0" w:after="0"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00" w:name="_Toc22855"/>
      <w:r>
        <w:rPr>
          <w:rFonts w:hint="eastAsia" w:ascii="宋体" w:hAnsi="宋体" w:eastAsia="宋体" w:cs="宋体"/>
          <w:color w:val="auto"/>
          <w:sz w:val="24"/>
          <w:szCs w:val="24"/>
          <w:highlight w:val="none"/>
        </w:rPr>
        <w:t>附件二</w:t>
      </w:r>
      <w:bookmarkEnd w:id="98"/>
      <w:bookmarkEnd w:id="99"/>
      <w:bookmarkEnd w:id="100"/>
    </w:p>
    <w:p w14:paraId="6FBDC402">
      <w:pPr>
        <w:pStyle w:val="5"/>
        <w:spacing w:before="0" w:after="0" w:line="520" w:lineRule="exact"/>
        <w:jc w:val="center"/>
        <w:rPr>
          <w:rFonts w:hint="eastAsia" w:ascii="宋体" w:hAnsi="宋体" w:eastAsia="宋体" w:cs="宋体"/>
          <w:color w:val="auto"/>
          <w:sz w:val="24"/>
          <w:szCs w:val="24"/>
          <w:highlight w:val="none"/>
        </w:rPr>
      </w:pPr>
      <w:bookmarkStart w:id="101" w:name="_Toc17280"/>
      <w:bookmarkStart w:id="102" w:name="_Toc29464"/>
      <w:bookmarkStart w:id="103" w:name="_Toc3262"/>
      <w:r>
        <w:rPr>
          <w:rFonts w:hint="eastAsia" w:ascii="宋体" w:hAnsi="宋体" w:eastAsia="宋体" w:cs="宋体"/>
          <w:color w:val="auto"/>
          <w:sz w:val="24"/>
          <w:szCs w:val="24"/>
          <w:highlight w:val="none"/>
        </w:rPr>
        <w:t>供应商基本信息</w:t>
      </w:r>
      <w:bookmarkEnd w:id="101"/>
      <w:bookmarkEnd w:id="102"/>
      <w:bookmarkEnd w:id="103"/>
    </w:p>
    <w:p w14:paraId="550BE530">
      <w:pPr>
        <w:pStyle w:val="12"/>
        <w:spacing w:after="0" w:line="52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（供应商自拟）</w:t>
      </w:r>
    </w:p>
    <w:p w14:paraId="00C4AD96">
      <w:pPr>
        <w:pStyle w:val="5"/>
        <w:wordWrap w:val="0"/>
        <w:spacing w:before="0" w:after="0" w:line="520" w:lineRule="exact"/>
        <w:rPr>
          <w:rFonts w:hint="eastAsia" w:ascii="宋体" w:hAnsi="宋体" w:eastAsia="宋体" w:cs="宋体"/>
          <w:color w:val="auto"/>
          <w:sz w:val="24"/>
          <w:szCs w:val="24"/>
          <w:highlight w:val="none"/>
        </w:rPr>
      </w:pPr>
      <w:bookmarkStart w:id="104" w:name="_Toc11062"/>
      <w:bookmarkStart w:id="105" w:name="_Toc18369"/>
      <w:bookmarkStart w:id="106" w:name="_Toc10154"/>
      <w:r>
        <w:rPr>
          <w:rFonts w:hint="eastAsia" w:ascii="宋体" w:hAnsi="宋体" w:eastAsia="宋体" w:cs="宋体"/>
          <w:color w:val="auto"/>
          <w:sz w:val="24"/>
          <w:szCs w:val="24"/>
          <w:highlight w:val="none"/>
        </w:rPr>
        <w:t>附件三</w:t>
      </w:r>
      <w:bookmarkEnd w:id="104"/>
      <w:bookmarkEnd w:id="105"/>
      <w:bookmarkEnd w:id="106"/>
    </w:p>
    <w:p w14:paraId="1681204F">
      <w:pPr>
        <w:pStyle w:val="5"/>
        <w:spacing w:before="0" w:after="0" w:line="520" w:lineRule="exact"/>
        <w:jc w:val="center"/>
        <w:rPr>
          <w:rFonts w:hint="eastAsia" w:ascii="宋体" w:hAnsi="宋体" w:eastAsia="宋体" w:cs="宋体"/>
          <w:color w:val="auto"/>
          <w:sz w:val="24"/>
          <w:szCs w:val="24"/>
          <w:highlight w:val="none"/>
        </w:rPr>
      </w:pPr>
      <w:bookmarkStart w:id="107" w:name="_Toc10696"/>
      <w:bookmarkStart w:id="108" w:name="_Toc13141"/>
      <w:bookmarkStart w:id="109" w:name="_Toc30135"/>
      <w:r>
        <w:rPr>
          <w:rFonts w:hint="eastAsia" w:ascii="宋体" w:hAnsi="宋体" w:eastAsia="宋体" w:cs="宋体"/>
          <w:color w:val="auto"/>
          <w:sz w:val="24"/>
          <w:szCs w:val="24"/>
          <w:highlight w:val="none"/>
        </w:rPr>
        <w:t>磋商授权书</w:t>
      </w:r>
      <w:bookmarkEnd w:id="107"/>
      <w:bookmarkEnd w:id="108"/>
      <w:bookmarkEnd w:id="109"/>
    </w:p>
    <w:p w14:paraId="13217639">
      <w:pPr>
        <w:spacing w:line="520" w:lineRule="exact"/>
        <w:rPr>
          <w:rFonts w:hint="eastAsia" w:ascii="宋体" w:hAnsi="宋体" w:eastAsia="宋体" w:cs="宋体"/>
          <w:color w:val="auto"/>
          <w:sz w:val="24"/>
          <w:szCs w:val="24"/>
          <w:highlight w:val="none"/>
        </w:rPr>
      </w:pPr>
    </w:p>
    <w:p w14:paraId="0A2E28AE">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致：_________________（采购人）</w:t>
      </w:r>
    </w:p>
    <w:p w14:paraId="647366EA">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（被授权人的姓名）为我方就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）项目磋商活动的合法代理人，以我方名义全权处理与该项目磋商、签订合同以及合同执行有关的一切事务。</w:t>
      </w:r>
    </w:p>
    <w:p w14:paraId="3CF0F489">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43FC342">
      <w:pPr>
        <w:spacing w:line="520" w:lineRule="exact"/>
        <w:jc w:val="left"/>
        <w:rPr>
          <w:rFonts w:hint="eastAsia" w:ascii="宋体" w:hAnsi="宋体" w:eastAsia="宋体" w:cs="宋体"/>
          <w:color w:val="auto"/>
          <w:sz w:val="24"/>
          <w:szCs w:val="24"/>
          <w:highlight w:val="none"/>
        </w:rPr>
      </w:pPr>
    </w:p>
    <w:p w14:paraId="2B58E07D">
      <w:pPr>
        <w:spacing w:line="520" w:lineRule="exact"/>
        <w:ind w:firstLine="1084" w:firstLineChars="45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3548E1E1">
      <w:pPr>
        <w:spacing w:line="52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614761E5">
      <w:pPr>
        <w:spacing w:line="52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联系手机：</w:t>
      </w:r>
      <w:r>
        <w:rPr>
          <w:rFonts w:hint="eastAsia" w:ascii="宋体" w:hAnsi="宋体" w:eastAsia="宋体" w:cs="宋体"/>
          <w:color w:val="auto"/>
          <w:sz w:val="24"/>
          <w:szCs w:val="24"/>
          <w:highlight w:val="none"/>
          <w:u w:val="single"/>
        </w:rPr>
        <w:t xml:space="preserve">                        </w:t>
      </w:r>
    </w:p>
    <w:p w14:paraId="6A203C0A">
      <w:pPr>
        <w:spacing w:line="520" w:lineRule="exact"/>
        <w:ind w:firstLine="1200" w:firstLine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p>
    <w:p w14:paraId="1254E5C4">
      <w:pPr>
        <w:spacing w:line="520" w:lineRule="exact"/>
        <w:ind w:firstLine="1084" w:firstLineChars="450"/>
        <w:jc w:val="left"/>
        <w:rPr>
          <w:rFonts w:hint="eastAsia" w:ascii="宋体" w:hAnsi="宋体" w:eastAsia="宋体" w:cs="宋体"/>
          <w:b/>
          <w:bCs/>
          <w:color w:val="auto"/>
          <w:sz w:val="24"/>
          <w:szCs w:val="24"/>
          <w:highlight w:val="none"/>
        </w:rPr>
      </w:pPr>
    </w:p>
    <w:p w14:paraId="4C7B1B43">
      <w:pPr>
        <w:spacing w:line="520" w:lineRule="exact"/>
        <w:ind w:firstLine="1084" w:firstLineChars="45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代理人（被授权人）：</w:t>
      </w:r>
      <w:r>
        <w:rPr>
          <w:rFonts w:hint="eastAsia" w:ascii="宋体" w:hAnsi="宋体" w:eastAsia="宋体" w:cs="宋体"/>
          <w:color w:val="auto"/>
          <w:sz w:val="24"/>
          <w:szCs w:val="24"/>
          <w:highlight w:val="none"/>
          <w:u w:val="single"/>
        </w:rPr>
        <w:t xml:space="preserve">                     </w:t>
      </w:r>
    </w:p>
    <w:p w14:paraId="64E4DE36">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6F6903C5">
      <w:pPr>
        <w:spacing w:line="52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联系手机：</w:t>
      </w:r>
      <w:r>
        <w:rPr>
          <w:rFonts w:hint="eastAsia" w:ascii="宋体" w:hAnsi="宋体" w:eastAsia="宋体" w:cs="宋体"/>
          <w:color w:val="auto"/>
          <w:sz w:val="24"/>
          <w:szCs w:val="24"/>
          <w:highlight w:val="none"/>
          <w:u w:val="single"/>
        </w:rPr>
        <w:t xml:space="preserve">                          </w:t>
      </w:r>
    </w:p>
    <w:p w14:paraId="15BA8339">
      <w:pPr>
        <w:spacing w:line="520" w:lineRule="exact"/>
        <w:ind w:firstLine="1200" w:firstLineChars="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p>
    <w:p w14:paraId="41D40BC2">
      <w:pPr>
        <w:spacing w:line="520" w:lineRule="exact"/>
        <w:jc w:val="left"/>
        <w:rPr>
          <w:rFonts w:hint="eastAsia" w:ascii="宋体" w:hAnsi="宋体" w:eastAsia="宋体" w:cs="宋体"/>
          <w:color w:val="auto"/>
          <w:sz w:val="24"/>
          <w:szCs w:val="24"/>
          <w:highlight w:val="none"/>
        </w:rPr>
      </w:pPr>
    </w:p>
    <w:p w14:paraId="0FCCE95D">
      <w:pPr>
        <w:wordWrap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07787B">
      <w:pPr>
        <w:spacing w:line="520" w:lineRule="exact"/>
        <w:ind w:firstLine="4245" w:firstLineChars="176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供应商公章：</w:t>
      </w:r>
    </w:p>
    <w:p w14:paraId="06A8017F">
      <w:pPr>
        <w:tabs>
          <w:tab w:val="left" w:pos="630"/>
        </w:tabs>
        <w:spacing w:line="520" w:lineRule="exact"/>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p>
    <w:p w14:paraId="2C6E3A1D">
      <w:pPr>
        <w:pStyle w:val="5"/>
        <w:spacing w:before="0" w:after="0" w:line="560" w:lineRule="exact"/>
        <w:rPr>
          <w:rFonts w:hint="eastAsia" w:ascii="宋体" w:hAnsi="宋体" w:eastAsia="宋体" w:cs="宋体"/>
          <w:color w:val="auto"/>
          <w:sz w:val="24"/>
          <w:szCs w:val="24"/>
          <w:highlight w:val="none"/>
        </w:rPr>
      </w:pPr>
      <w:bookmarkStart w:id="110" w:name="_Toc23589"/>
      <w:bookmarkStart w:id="111" w:name="_Toc17226"/>
      <w:r>
        <w:rPr>
          <w:rFonts w:hint="eastAsia" w:ascii="宋体" w:hAnsi="宋体" w:eastAsia="宋体" w:cs="宋体"/>
          <w:color w:val="auto"/>
          <w:sz w:val="24"/>
          <w:szCs w:val="24"/>
          <w:highlight w:val="none"/>
        </w:rPr>
        <w:br w:type="page"/>
      </w:r>
      <w:bookmarkStart w:id="112" w:name="_Toc17888"/>
      <w:r>
        <w:rPr>
          <w:rFonts w:hint="eastAsia" w:ascii="宋体" w:hAnsi="宋体" w:eastAsia="宋体" w:cs="宋体"/>
          <w:color w:val="auto"/>
          <w:sz w:val="24"/>
          <w:szCs w:val="24"/>
          <w:highlight w:val="none"/>
        </w:rPr>
        <w:t>附件四</w:t>
      </w:r>
      <w:bookmarkEnd w:id="110"/>
      <w:bookmarkEnd w:id="111"/>
      <w:bookmarkEnd w:id="112"/>
    </w:p>
    <w:p w14:paraId="5275FE0E">
      <w:pPr>
        <w:pStyle w:val="5"/>
        <w:spacing w:before="0" w:after="156" w:afterLines="50" w:line="560" w:lineRule="exact"/>
        <w:jc w:val="center"/>
        <w:rPr>
          <w:rFonts w:hint="eastAsia" w:ascii="宋体" w:hAnsi="宋体" w:eastAsia="宋体" w:cs="宋体"/>
          <w:color w:val="auto"/>
          <w:sz w:val="24"/>
          <w:szCs w:val="24"/>
          <w:highlight w:val="none"/>
        </w:rPr>
      </w:pPr>
      <w:bookmarkStart w:id="113" w:name="_Toc29263"/>
      <w:bookmarkStart w:id="114" w:name="_Toc28665"/>
      <w:bookmarkStart w:id="115" w:name="_Toc6278"/>
      <w:bookmarkStart w:id="116" w:name="_Toc417045478"/>
      <w:r>
        <w:rPr>
          <w:rFonts w:hint="eastAsia" w:ascii="宋体" w:hAnsi="宋体" w:eastAsia="宋体" w:cs="宋体"/>
          <w:color w:val="auto"/>
          <w:sz w:val="24"/>
          <w:szCs w:val="24"/>
          <w:highlight w:val="none"/>
        </w:rPr>
        <w:t>磋商响应函</w:t>
      </w:r>
      <w:bookmarkEnd w:id="113"/>
      <w:bookmarkEnd w:id="114"/>
      <w:bookmarkEnd w:id="115"/>
    </w:p>
    <w:p w14:paraId="0E0BB2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21957A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号磋商公告的内容，我方决定参加贵方组织的“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”项目的竞争性磋商采购。我方授权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(姓名)代表我方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（磋商单位的名称）全权处理本项目磋商的有关事宜。</w:t>
      </w:r>
    </w:p>
    <w:p w14:paraId="1D67DB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2、我方愿意按照磋商文件规定的各项要求，向采购人提供所需的服务。</w:t>
      </w:r>
    </w:p>
    <w:p w14:paraId="43C357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3、一旦我方成交，我方将严格履行合同规定的责任和义务，保证于采购人要求的日期内完成项目的全部内容，并通过采购人验收。</w:t>
      </w:r>
    </w:p>
    <w:p w14:paraId="2D9825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4、如我公司成交，我公司承诺愿意按磋商文件规定缴纳履约保证金。</w:t>
      </w:r>
    </w:p>
    <w:p w14:paraId="146123D1">
      <w:pPr>
        <w:tabs>
          <w:tab w:val="left" w:pos="84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5、我方愿意提供贵方可能另外要求的、与磋商有关的文件资料，并保证我方已提供和将要提供的文件是真实的、准确的。</w:t>
      </w:r>
    </w:p>
    <w:p w14:paraId="7E554E79">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6、我方承诺满足《中华人民共和国政府采购法》第二十二条规定。</w:t>
      </w:r>
    </w:p>
    <w:p w14:paraId="744ACB9F">
      <w:pPr>
        <w:tabs>
          <w:tab w:val="left" w:pos="0"/>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、我方完全理解贵方不一定将合同授予最高报价的供应商。</w:t>
      </w:r>
    </w:p>
    <w:p w14:paraId="7AF5193F">
      <w:pPr>
        <w:tabs>
          <w:tab w:val="left" w:pos="0"/>
          <w:tab w:val="left" w:pos="840"/>
        </w:tabs>
        <w:spacing w:line="360" w:lineRule="auto"/>
        <w:jc w:val="left"/>
        <w:rPr>
          <w:rFonts w:hint="eastAsia" w:ascii="宋体" w:hAnsi="宋体" w:eastAsia="宋体" w:cs="宋体"/>
          <w:color w:val="auto"/>
          <w:sz w:val="24"/>
          <w:szCs w:val="24"/>
          <w:highlight w:val="none"/>
        </w:rPr>
      </w:pPr>
    </w:p>
    <w:p w14:paraId="2AEC9D54">
      <w:pPr>
        <w:tabs>
          <w:tab w:val="left" w:pos="0"/>
          <w:tab w:val="left" w:pos="840"/>
        </w:tabs>
        <w:rPr>
          <w:rFonts w:hint="eastAsia" w:ascii="宋体" w:hAnsi="宋体" w:eastAsia="宋体" w:cs="宋体"/>
          <w:color w:val="auto"/>
          <w:sz w:val="24"/>
          <w:szCs w:val="24"/>
          <w:highlight w:val="none"/>
        </w:rPr>
      </w:pPr>
    </w:p>
    <w:p w14:paraId="731E82DD">
      <w:pPr>
        <w:tabs>
          <w:tab w:val="left" w:pos="0"/>
          <w:tab w:val="left" w:pos="840"/>
        </w:tabs>
        <w:rPr>
          <w:rFonts w:hint="eastAsia" w:ascii="宋体" w:hAnsi="宋体" w:eastAsia="宋体" w:cs="宋体"/>
          <w:color w:val="auto"/>
          <w:sz w:val="24"/>
          <w:szCs w:val="24"/>
          <w:highlight w:val="none"/>
        </w:rPr>
      </w:pPr>
    </w:p>
    <w:p w14:paraId="1DBE4909">
      <w:pPr>
        <w:tabs>
          <w:tab w:val="left" w:pos="0"/>
          <w:tab w:val="left" w:pos="840"/>
        </w:tabs>
        <w:rPr>
          <w:rFonts w:hint="eastAsia" w:ascii="宋体" w:hAnsi="宋体" w:eastAsia="宋体" w:cs="宋体"/>
          <w:color w:val="auto"/>
          <w:sz w:val="24"/>
          <w:szCs w:val="24"/>
          <w:highlight w:val="none"/>
        </w:rPr>
      </w:pPr>
    </w:p>
    <w:p w14:paraId="7D444658">
      <w:pPr>
        <w:tabs>
          <w:tab w:val="left" w:pos="0"/>
          <w:tab w:val="left" w:pos="840"/>
        </w:tabs>
        <w:rPr>
          <w:rFonts w:hint="eastAsia" w:ascii="宋体" w:hAnsi="宋体" w:eastAsia="宋体" w:cs="宋体"/>
          <w:color w:val="auto"/>
          <w:sz w:val="24"/>
          <w:szCs w:val="24"/>
          <w:highlight w:val="none"/>
        </w:rPr>
      </w:pPr>
    </w:p>
    <w:p w14:paraId="2AFC55D7">
      <w:pPr>
        <w:spacing w:line="360" w:lineRule="auto"/>
        <w:ind w:firstLine="4245" w:firstLineChars="176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供应商公章：</w:t>
      </w:r>
    </w:p>
    <w:p w14:paraId="13DE567D">
      <w:pPr>
        <w:tabs>
          <w:tab w:val="left" w:pos="630"/>
        </w:tabs>
        <w:spacing w:line="360" w:lineRule="auto"/>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p>
    <w:p w14:paraId="4F09E39E">
      <w:pPr>
        <w:pStyle w:val="5"/>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17" w:name="_Toc16627"/>
      <w:bookmarkStart w:id="118" w:name="_Toc30354"/>
      <w:bookmarkStart w:id="119" w:name="_Toc21593"/>
      <w:r>
        <w:rPr>
          <w:rFonts w:hint="eastAsia" w:ascii="宋体" w:hAnsi="宋体" w:eastAsia="宋体" w:cs="宋体"/>
          <w:color w:val="auto"/>
          <w:sz w:val="24"/>
          <w:szCs w:val="24"/>
          <w:highlight w:val="none"/>
        </w:rPr>
        <w:t>附件</w:t>
      </w:r>
      <w:bookmarkEnd w:id="116"/>
      <w:r>
        <w:rPr>
          <w:rFonts w:hint="eastAsia" w:ascii="宋体" w:hAnsi="宋体" w:eastAsia="宋体" w:cs="宋体"/>
          <w:color w:val="auto"/>
          <w:sz w:val="24"/>
          <w:szCs w:val="24"/>
          <w:highlight w:val="none"/>
        </w:rPr>
        <w:t>五</w:t>
      </w:r>
      <w:bookmarkEnd w:id="117"/>
      <w:bookmarkEnd w:id="118"/>
      <w:bookmarkEnd w:id="119"/>
    </w:p>
    <w:p w14:paraId="32871735">
      <w:pPr>
        <w:pStyle w:val="12"/>
        <w:ind w:firstLine="281"/>
        <w:rPr>
          <w:rFonts w:hint="eastAsia" w:ascii="宋体" w:hAnsi="宋体" w:eastAsia="宋体" w:cs="宋体"/>
          <w:b/>
          <w:color w:val="auto"/>
          <w:sz w:val="28"/>
          <w:szCs w:val="28"/>
          <w:highlight w:val="none"/>
        </w:rPr>
      </w:pPr>
      <w:bookmarkStart w:id="120" w:name="_Toc26881"/>
      <w:bookmarkStart w:id="121" w:name="_Toc26949"/>
      <w:bookmarkStart w:id="122" w:name="_Toc10256"/>
    </w:p>
    <w:p w14:paraId="672761BF">
      <w:pPr>
        <w:pStyle w:val="12"/>
        <w:ind w:firstLine="2891" w:firstLineChars="1200"/>
        <w:rPr>
          <w:rFonts w:hint="eastAsia" w:ascii="宋体" w:hAnsi="宋体" w:eastAsia="宋体" w:cs="宋体"/>
          <w:b/>
          <w:color w:val="auto"/>
          <w:szCs w:val="24"/>
          <w:highlight w:val="none"/>
          <w:lang w:val="zh-CN"/>
        </w:rPr>
      </w:pPr>
      <w:bookmarkStart w:id="123" w:name="_Hlk77793942"/>
      <w:r>
        <w:rPr>
          <w:rFonts w:hint="eastAsia" w:ascii="宋体" w:hAnsi="宋体" w:eastAsia="宋体" w:cs="宋体"/>
          <w:b/>
          <w:color w:val="auto"/>
          <w:szCs w:val="24"/>
          <w:highlight w:val="none"/>
          <w:lang w:val="zh-CN"/>
        </w:rPr>
        <w:t>无重大违法记录声明函</w:t>
      </w:r>
    </w:p>
    <w:p w14:paraId="6434161B">
      <w:pPr>
        <w:pStyle w:val="12"/>
        <w:ind w:firstLine="480" w:firstLineChars="200"/>
        <w:rPr>
          <w:rFonts w:hint="eastAsia" w:ascii="宋体" w:hAnsi="宋体" w:eastAsia="宋体" w:cs="宋体"/>
          <w:color w:val="auto"/>
          <w:szCs w:val="24"/>
          <w:highlight w:val="none"/>
        </w:rPr>
      </w:pPr>
      <w:bookmarkStart w:id="124" w:name="_Hlk77793969"/>
      <w:r>
        <w:rPr>
          <w:rFonts w:hint="eastAsia" w:ascii="宋体" w:hAnsi="宋体" w:eastAsia="宋体" w:cs="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61BBF1A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17BA47F4">
      <w:pPr>
        <w:spacing w:line="360" w:lineRule="auto"/>
        <w:ind w:firstLine="435"/>
        <w:rPr>
          <w:rFonts w:hint="eastAsia" w:ascii="宋体" w:hAnsi="宋体" w:eastAsia="宋体" w:cs="宋体"/>
          <w:color w:val="auto"/>
          <w:sz w:val="24"/>
          <w:szCs w:val="24"/>
          <w:highlight w:val="none"/>
        </w:rPr>
      </w:pPr>
    </w:p>
    <w:p w14:paraId="1F7827D4">
      <w:pPr>
        <w:spacing w:line="360" w:lineRule="auto"/>
        <w:ind w:firstLine="5428" w:firstLineChars="226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供应商公章：</w:t>
      </w:r>
    </w:p>
    <w:p w14:paraId="3CF0B073">
      <w:pPr>
        <w:tabs>
          <w:tab w:val="left" w:pos="630"/>
        </w:tabs>
        <w:spacing w:line="360" w:lineRule="auto"/>
        <w:ind w:firstLine="5428" w:firstLineChars="2262"/>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日期：</w:t>
      </w:r>
    </w:p>
    <w:bookmarkEnd w:id="124"/>
    <w:p w14:paraId="40260B63">
      <w:pPr>
        <w:pStyle w:val="12"/>
        <w:ind w:firstLine="210"/>
        <w:rPr>
          <w:rFonts w:hint="eastAsia" w:ascii="宋体" w:hAnsi="宋体" w:eastAsia="宋体" w:cs="宋体"/>
          <w:color w:val="auto"/>
          <w:highlight w:val="none"/>
        </w:rPr>
      </w:pPr>
    </w:p>
    <w:p w14:paraId="7F8C737E">
      <w:pPr>
        <w:pStyle w:val="12"/>
        <w:ind w:firstLine="210"/>
        <w:rPr>
          <w:rFonts w:hint="eastAsia" w:ascii="宋体" w:hAnsi="宋体" w:eastAsia="宋体" w:cs="宋体"/>
          <w:color w:val="auto"/>
          <w:highlight w:val="none"/>
        </w:rPr>
      </w:pPr>
    </w:p>
    <w:p w14:paraId="730341B1">
      <w:pPr>
        <w:tabs>
          <w:tab w:val="left" w:pos="630"/>
        </w:tabs>
        <w:spacing w:after="156" w:afterLines="50" w:line="360" w:lineRule="auto"/>
        <w:ind w:firstLine="3188" w:firstLineChars="132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无不良信用记录承诺函</w:t>
      </w:r>
    </w:p>
    <w:p w14:paraId="31841EDA">
      <w:pPr>
        <w:spacing w:line="360" w:lineRule="auto"/>
        <w:ind w:firstLine="435"/>
        <w:rPr>
          <w:rFonts w:hint="eastAsia" w:ascii="宋体" w:hAnsi="宋体" w:eastAsia="宋体" w:cs="宋体"/>
          <w:color w:val="auto"/>
          <w:sz w:val="24"/>
          <w:szCs w:val="24"/>
          <w:highlight w:val="none"/>
        </w:rPr>
      </w:pPr>
      <w:bookmarkStart w:id="125" w:name="_Hlk77794010"/>
      <w:r>
        <w:rPr>
          <w:rFonts w:hint="eastAsia" w:ascii="宋体" w:hAnsi="宋体" w:eastAsia="宋体" w:cs="宋体"/>
          <w:color w:val="auto"/>
          <w:sz w:val="24"/>
          <w:szCs w:val="24"/>
          <w:highlight w:val="none"/>
        </w:rPr>
        <w:t>本公司郑重承诺，我公司无以下不良信用记录情形：</w:t>
      </w:r>
    </w:p>
    <w:p w14:paraId="664E2E9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1、公司被人民法院列入失信被执行人；</w:t>
      </w:r>
    </w:p>
    <w:p w14:paraId="11CC9AF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公司被市场监督管理部门列入严重违法失信企业名录；</w:t>
      </w:r>
    </w:p>
    <w:p w14:paraId="651F3B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3、公司被税务部门列入重大税收违法案件当事人名单的；</w:t>
      </w:r>
    </w:p>
    <w:p w14:paraId="69C0FF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4、公司被政府采购监管部门列入政府采购严重违法失信行为记录名单。</w:t>
      </w:r>
    </w:p>
    <w:p w14:paraId="5737E35F">
      <w:pPr>
        <w:spacing w:line="360" w:lineRule="auto"/>
        <w:ind w:firstLine="435"/>
        <w:rPr>
          <w:rFonts w:hint="eastAsia" w:ascii="宋体" w:hAnsi="宋体" w:eastAsia="宋体" w:cs="宋体"/>
          <w:color w:val="auto"/>
          <w:kern w:val="0"/>
          <w:sz w:val="32"/>
          <w:szCs w:val="32"/>
          <w:highlight w:val="none"/>
        </w:rPr>
      </w:pPr>
      <w:r>
        <w:rPr>
          <w:rFonts w:hint="eastAsia" w:ascii="宋体" w:hAnsi="宋体" w:eastAsia="宋体" w:cs="宋体"/>
          <w:color w:val="auto"/>
          <w:sz w:val="24"/>
          <w:szCs w:val="24"/>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1B43D3AB">
      <w:pPr>
        <w:tabs>
          <w:tab w:val="left" w:pos="630"/>
        </w:tabs>
        <w:spacing w:line="360" w:lineRule="auto"/>
        <w:ind w:firstLine="630"/>
        <w:rPr>
          <w:rFonts w:hint="eastAsia" w:ascii="宋体" w:hAnsi="宋体" w:eastAsia="宋体" w:cs="宋体"/>
          <w:color w:val="auto"/>
          <w:sz w:val="24"/>
          <w:szCs w:val="24"/>
          <w:highlight w:val="none"/>
        </w:rPr>
      </w:pPr>
    </w:p>
    <w:p w14:paraId="4F8A3D5F">
      <w:pPr>
        <w:spacing w:line="360" w:lineRule="auto"/>
        <w:ind w:firstLine="5428" w:firstLineChars="226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供应商公章：</w:t>
      </w:r>
    </w:p>
    <w:p w14:paraId="2AB79802">
      <w:pPr>
        <w:tabs>
          <w:tab w:val="left" w:pos="630"/>
        </w:tabs>
        <w:spacing w:line="360" w:lineRule="auto"/>
        <w:ind w:firstLine="5428" w:firstLineChars="226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日期：</w:t>
      </w:r>
      <w:bookmarkEnd w:id="120"/>
      <w:bookmarkEnd w:id="121"/>
      <w:bookmarkEnd w:id="122"/>
      <w:bookmarkEnd w:id="123"/>
      <w:bookmarkEnd w:id="125"/>
      <w:bookmarkStart w:id="126" w:name="_Toc363199274"/>
      <w:r>
        <w:rPr>
          <w:rFonts w:hint="eastAsia" w:ascii="宋体" w:hAnsi="宋体" w:eastAsia="宋体" w:cs="宋体"/>
          <w:color w:val="auto"/>
          <w:sz w:val="24"/>
          <w:szCs w:val="24"/>
          <w:highlight w:val="none"/>
        </w:rPr>
        <w:br w:type="page"/>
      </w:r>
      <w:bookmarkStart w:id="127" w:name="_Toc17797"/>
      <w:bookmarkStart w:id="128" w:name="_Toc20743"/>
      <w:bookmarkStart w:id="129" w:name="_Toc18709"/>
      <w:r>
        <w:rPr>
          <w:rFonts w:hint="eastAsia" w:ascii="宋体" w:hAnsi="宋体" w:eastAsia="宋体" w:cs="宋体"/>
          <w:b/>
          <w:color w:val="auto"/>
          <w:sz w:val="24"/>
          <w:szCs w:val="24"/>
          <w:highlight w:val="none"/>
        </w:rPr>
        <w:t>附件</w:t>
      </w:r>
      <w:bookmarkEnd w:id="126"/>
      <w:r>
        <w:rPr>
          <w:rFonts w:hint="eastAsia" w:ascii="宋体" w:hAnsi="宋体" w:eastAsia="宋体" w:cs="宋体"/>
          <w:b/>
          <w:color w:val="auto"/>
          <w:sz w:val="24"/>
          <w:szCs w:val="24"/>
          <w:highlight w:val="none"/>
        </w:rPr>
        <w:t>六</w:t>
      </w:r>
      <w:bookmarkEnd w:id="127"/>
      <w:bookmarkEnd w:id="128"/>
      <w:bookmarkEnd w:id="129"/>
    </w:p>
    <w:p w14:paraId="6F553C8C">
      <w:pPr>
        <w:pStyle w:val="5"/>
        <w:spacing w:before="0" w:after="0" w:line="560" w:lineRule="exact"/>
        <w:jc w:val="center"/>
        <w:rPr>
          <w:rFonts w:hint="eastAsia" w:ascii="宋体" w:hAnsi="宋体" w:eastAsia="宋体" w:cs="宋体"/>
          <w:color w:val="auto"/>
          <w:sz w:val="24"/>
          <w:szCs w:val="24"/>
          <w:highlight w:val="none"/>
          <w:lang w:val="zh-CN"/>
        </w:rPr>
      </w:pPr>
      <w:bookmarkStart w:id="130" w:name="_Toc18402"/>
      <w:bookmarkStart w:id="131" w:name="_Toc25238"/>
      <w:bookmarkStart w:id="132" w:name="_Toc30075"/>
      <w:r>
        <w:rPr>
          <w:rFonts w:hint="eastAsia" w:ascii="宋体" w:hAnsi="宋体" w:eastAsia="宋体" w:cs="宋体"/>
          <w:color w:val="auto"/>
          <w:sz w:val="24"/>
          <w:szCs w:val="24"/>
          <w:highlight w:val="none"/>
          <w:lang w:val="zh-CN"/>
        </w:rPr>
        <w:t>响应情况表</w:t>
      </w:r>
      <w:bookmarkEnd w:id="130"/>
      <w:bookmarkEnd w:id="131"/>
      <w:bookmarkEnd w:id="132"/>
    </w:p>
    <w:p w14:paraId="7CF29287">
      <w:pPr>
        <w:jc w:val="center"/>
        <w:rPr>
          <w:rFonts w:hint="eastAsia" w:ascii="宋体" w:hAnsi="宋体" w:eastAsia="宋体" w:cs="宋体"/>
          <w:bCs/>
          <w:color w:val="auto"/>
          <w:sz w:val="24"/>
          <w:szCs w:val="24"/>
          <w:highlight w:val="none"/>
          <w:lang w:val="zh-CN"/>
        </w:rPr>
      </w:pPr>
    </w:p>
    <w:tbl>
      <w:tblPr>
        <w:tblStyle w:val="13"/>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39"/>
        <w:gridCol w:w="1791"/>
        <w:gridCol w:w="2193"/>
        <w:gridCol w:w="2219"/>
        <w:gridCol w:w="1975"/>
      </w:tblGrid>
      <w:tr w14:paraId="2136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29" w:hRule="atLeast"/>
          <w:jc w:val="center"/>
        </w:trPr>
        <w:tc>
          <w:tcPr>
            <w:tcW w:w="4822" w:type="dxa"/>
            <w:gridSpan w:val="3"/>
            <w:vAlign w:val="center"/>
          </w:tcPr>
          <w:p w14:paraId="4CA27573">
            <w:pPr>
              <w:jc w:val="center"/>
              <w:rPr>
                <w:rFonts w:hint="eastAsia" w:ascii="宋体" w:hAnsi="宋体" w:eastAsia="宋体" w:cs="宋体"/>
                <w:b/>
                <w:color w:val="auto"/>
                <w:sz w:val="24"/>
                <w:szCs w:val="21"/>
                <w:highlight w:val="none"/>
              </w:rPr>
            </w:pPr>
            <w:bookmarkStart w:id="133" w:name="_Toc471299110"/>
            <w:r>
              <w:rPr>
                <w:rFonts w:hint="eastAsia" w:ascii="宋体" w:hAnsi="宋体" w:eastAsia="宋体" w:cs="宋体"/>
                <w:b/>
                <w:color w:val="auto"/>
                <w:sz w:val="24"/>
                <w:szCs w:val="21"/>
                <w:highlight w:val="none"/>
              </w:rPr>
              <w:t>按磋商文件规定填写</w:t>
            </w:r>
          </w:p>
        </w:tc>
        <w:tc>
          <w:tcPr>
            <w:tcW w:w="4193" w:type="dxa"/>
            <w:gridSpan w:val="2"/>
            <w:vAlign w:val="center"/>
          </w:tcPr>
          <w:p w14:paraId="67EBD067">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按供应商所投内容填写</w:t>
            </w:r>
          </w:p>
        </w:tc>
      </w:tr>
      <w:tr w14:paraId="5959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4" w:hRule="atLeast"/>
          <w:jc w:val="center"/>
        </w:trPr>
        <w:tc>
          <w:tcPr>
            <w:tcW w:w="839" w:type="dxa"/>
            <w:vAlign w:val="center"/>
          </w:tcPr>
          <w:p w14:paraId="7EDC549F">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序号</w:t>
            </w:r>
          </w:p>
        </w:tc>
        <w:tc>
          <w:tcPr>
            <w:tcW w:w="1791" w:type="dxa"/>
            <w:vAlign w:val="center"/>
          </w:tcPr>
          <w:p w14:paraId="3AA25D36">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内容</w:t>
            </w:r>
          </w:p>
        </w:tc>
        <w:tc>
          <w:tcPr>
            <w:tcW w:w="2193" w:type="dxa"/>
            <w:vAlign w:val="center"/>
          </w:tcPr>
          <w:p w14:paraId="1CE9D446">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磋商文件要求</w:t>
            </w:r>
          </w:p>
        </w:tc>
        <w:tc>
          <w:tcPr>
            <w:tcW w:w="2219" w:type="dxa"/>
            <w:vAlign w:val="center"/>
          </w:tcPr>
          <w:p w14:paraId="652C0F2F">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响应承诺</w:t>
            </w:r>
          </w:p>
        </w:tc>
        <w:tc>
          <w:tcPr>
            <w:tcW w:w="1975" w:type="dxa"/>
            <w:vAlign w:val="center"/>
          </w:tcPr>
          <w:p w14:paraId="0FA5DFAD">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偏离说明</w:t>
            </w:r>
          </w:p>
        </w:tc>
      </w:tr>
      <w:tr w14:paraId="3F54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529959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1" w:type="dxa"/>
            <w:vAlign w:val="center"/>
          </w:tcPr>
          <w:p w14:paraId="5DB767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付款响应</w:t>
            </w:r>
          </w:p>
        </w:tc>
        <w:tc>
          <w:tcPr>
            <w:tcW w:w="2193" w:type="dxa"/>
            <w:vAlign w:val="center"/>
          </w:tcPr>
          <w:p w14:paraId="7ABF43C6">
            <w:pPr>
              <w:rPr>
                <w:rFonts w:hint="eastAsia" w:ascii="宋体" w:hAnsi="宋体" w:eastAsia="宋体" w:cs="宋体"/>
                <w:color w:val="auto"/>
                <w:sz w:val="24"/>
                <w:szCs w:val="24"/>
                <w:highlight w:val="none"/>
              </w:rPr>
            </w:pPr>
          </w:p>
        </w:tc>
        <w:tc>
          <w:tcPr>
            <w:tcW w:w="2219" w:type="dxa"/>
            <w:vAlign w:val="center"/>
          </w:tcPr>
          <w:p w14:paraId="214D5584">
            <w:pPr>
              <w:rPr>
                <w:rFonts w:hint="eastAsia" w:ascii="宋体" w:hAnsi="宋体" w:eastAsia="宋体" w:cs="宋体"/>
                <w:color w:val="auto"/>
                <w:sz w:val="24"/>
                <w:szCs w:val="24"/>
                <w:highlight w:val="none"/>
              </w:rPr>
            </w:pPr>
          </w:p>
        </w:tc>
        <w:tc>
          <w:tcPr>
            <w:tcW w:w="1975" w:type="dxa"/>
            <w:vAlign w:val="center"/>
          </w:tcPr>
          <w:p w14:paraId="1D895B24">
            <w:pPr>
              <w:rPr>
                <w:rFonts w:hint="eastAsia" w:ascii="宋体" w:hAnsi="宋体" w:eastAsia="宋体" w:cs="宋体"/>
                <w:color w:val="auto"/>
                <w:sz w:val="24"/>
                <w:szCs w:val="24"/>
                <w:highlight w:val="none"/>
              </w:rPr>
            </w:pPr>
          </w:p>
        </w:tc>
      </w:tr>
      <w:tr w14:paraId="0C0A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5A6A32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91" w:type="dxa"/>
            <w:vAlign w:val="center"/>
          </w:tcPr>
          <w:p w14:paraId="64EE1F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服务期响应</w:t>
            </w:r>
          </w:p>
        </w:tc>
        <w:tc>
          <w:tcPr>
            <w:tcW w:w="2193" w:type="dxa"/>
            <w:vAlign w:val="center"/>
          </w:tcPr>
          <w:p w14:paraId="422CD489">
            <w:pPr>
              <w:rPr>
                <w:rFonts w:hint="eastAsia" w:ascii="宋体" w:hAnsi="宋体" w:eastAsia="宋体" w:cs="宋体"/>
                <w:color w:val="auto"/>
                <w:sz w:val="24"/>
                <w:szCs w:val="24"/>
                <w:highlight w:val="none"/>
              </w:rPr>
            </w:pPr>
          </w:p>
        </w:tc>
        <w:tc>
          <w:tcPr>
            <w:tcW w:w="2219" w:type="dxa"/>
            <w:vAlign w:val="center"/>
          </w:tcPr>
          <w:p w14:paraId="5008D014">
            <w:pPr>
              <w:rPr>
                <w:rFonts w:hint="eastAsia" w:ascii="宋体" w:hAnsi="宋体" w:eastAsia="宋体" w:cs="宋体"/>
                <w:color w:val="auto"/>
                <w:sz w:val="24"/>
                <w:szCs w:val="24"/>
                <w:highlight w:val="none"/>
              </w:rPr>
            </w:pPr>
          </w:p>
        </w:tc>
        <w:tc>
          <w:tcPr>
            <w:tcW w:w="1975" w:type="dxa"/>
            <w:vAlign w:val="center"/>
          </w:tcPr>
          <w:p w14:paraId="3877CD78">
            <w:pPr>
              <w:rPr>
                <w:rFonts w:hint="eastAsia" w:ascii="宋体" w:hAnsi="宋体" w:eastAsia="宋体" w:cs="宋体"/>
                <w:color w:val="auto"/>
                <w:sz w:val="24"/>
                <w:szCs w:val="24"/>
                <w:highlight w:val="none"/>
              </w:rPr>
            </w:pPr>
          </w:p>
        </w:tc>
      </w:tr>
      <w:tr w14:paraId="0CA9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71EC57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91" w:type="dxa"/>
            <w:vAlign w:val="center"/>
          </w:tcPr>
          <w:p w14:paraId="410F84D8">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资质响应</w:t>
            </w:r>
          </w:p>
        </w:tc>
        <w:tc>
          <w:tcPr>
            <w:tcW w:w="2193" w:type="dxa"/>
            <w:vAlign w:val="center"/>
          </w:tcPr>
          <w:p w14:paraId="2AB3C033">
            <w:pPr>
              <w:rPr>
                <w:rFonts w:hint="eastAsia" w:ascii="宋体" w:hAnsi="宋体" w:eastAsia="宋体" w:cs="宋体"/>
                <w:color w:val="auto"/>
                <w:sz w:val="24"/>
                <w:szCs w:val="24"/>
                <w:highlight w:val="none"/>
              </w:rPr>
            </w:pPr>
          </w:p>
        </w:tc>
        <w:tc>
          <w:tcPr>
            <w:tcW w:w="2219" w:type="dxa"/>
            <w:vAlign w:val="center"/>
          </w:tcPr>
          <w:p w14:paraId="4ABEBC68">
            <w:pPr>
              <w:rPr>
                <w:rFonts w:hint="eastAsia" w:ascii="宋体" w:hAnsi="宋体" w:eastAsia="宋体" w:cs="宋体"/>
                <w:color w:val="auto"/>
                <w:sz w:val="24"/>
                <w:szCs w:val="24"/>
                <w:highlight w:val="none"/>
              </w:rPr>
            </w:pPr>
          </w:p>
        </w:tc>
        <w:tc>
          <w:tcPr>
            <w:tcW w:w="1975" w:type="dxa"/>
            <w:vAlign w:val="center"/>
          </w:tcPr>
          <w:p w14:paraId="2EB8326B">
            <w:pPr>
              <w:rPr>
                <w:rFonts w:hint="eastAsia" w:ascii="宋体" w:hAnsi="宋体" w:eastAsia="宋体" w:cs="宋体"/>
                <w:color w:val="auto"/>
                <w:sz w:val="24"/>
                <w:szCs w:val="24"/>
                <w:highlight w:val="none"/>
              </w:rPr>
            </w:pPr>
          </w:p>
        </w:tc>
      </w:tr>
      <w:tr w14:paraId="2DE1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5A530A1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791" w:type="dxa"/>
            <w:vAlign w:val="center"/>
          </w:tcPr>
          <w:p w14:paraId="416F29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193" w:type="dxa"/>
            <w:vAlign w:val="center"/>
          </w:tcPr>
          <w:p w14:paraId="5C6581B4">
            <w:pPr>
              <w:rPr>
                <w:rFonts w:hint="eastAsia" w:ascii="宋体" w:hAnsi="宋体" w:eastAsia="宋体" w:cs="宋体"/>
                <w:color w:val="auto"/>
                <w:sz w:val="24"/>
                <w:szCs w:val="24"/>
                <w:highlight w:val="none"/>
              </w:rPr>
            </w:pPr>
          </w:p>
        </w:tc>
        <w:tc>
          <w:tcPr>
            <w:tcW w:w="2219" w:type="dxa"/>
            <w:vAlign w:val="center"/>
          </w:tcPr>
          <w:p w14:paraId="2EB0A1F1">
            <w:pPr>
              <w:rPr>
                <w:rFonts w:hint="eastAsia" w:ascii="宋体" w:hAnsi="宋体" w:eastAsia="宋体" w:cs="宋体"/>
                <w:color w:val="auto"/>
                <w:sz w:val="24"/>
                <w:szCs w:val="24"/>
                <w:highlight w:val="none"/>
              </w:rPr>
            </w:pPr>
          </w:p>
        </w:tc>
        <w:tc>
          <w:tcPr>
            <w:tcW w:w="1975" w:type="dxa"/>
            <w:vAlign w:val="center"/>
          </w:tcPr>
          <w:p w14:paraId="071FF5D7">
            <w:pPr>
              <w:rPr>
                <w:rFonts w:hint="eastAsia" w:ascii="宋体" w:hAnsi="宋体" w:eastAsia="宋体" w:cs="宋体"/>
                <w:color w:val="auto"/>
                <w:sz w:val="24"/>
                <w:szCs w:val="24"/>
                <w:highlight w:val="none"/>
              </w:rPr>
            </w:pPr>
          </w:p>
        </w:tc>
      </w:tr>
    </w:tbl>
    <w:p w14:paraId="1A0C4997">
      <w:pPr>
        <w:snapToGrid w:val="0"/>
        <w:spacing w:line="360" w:lineRule="auto"/>
        <w:rPr>
          <w:rFonts w:hint="eastAsia" w:ascii="宋体" w:hAnsi="宋体" w:eastAsia="宋体" w:cs="宋体"/>
          <w:color w:val="auto"/>
          <w:sz w:val="24"/>
          <w:szCs w:val="24"/>
          <w:highlight w:val="none"/>
        </w:rPr>
      </w:pPr>
    </w:p>
    <w:p w14:paraId="63623AEE">
      <w:pPr>
        <w:snapToGrid w:val="0"/>
        <w:spacing w:line="460" w:lineRule="exact"/>
        <w:rPr>
          <w:rFonts w:hint="eastAsia" w:ascii="宋体" w:hAnsi="宋体" w:eastAsia="宋体" w:cs="宋体"/>
          <w:b/>
          <w:bCs/>
          <w:color w:val="auto"/>
          <w:sz w:val="24"/>
          <w:szCs w:val="24"/>
          <w:highlight w:val="none"/>
        </w:rPr>
      </w:pPr>
    </w:p>
    <w:p w14:paraId="2D3F45BF">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供应商公章：</w:t>
      </w:r>
    </w:p>
    <w:p w14:paraId="38C8C907">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日期：   年   月   日</w:t>
      </w:r>
    </w:p>
    <w:p w14:paraId="332688CE">
      <w:pPr>
        <w:spacing w:line="460" w:lineRule="exact"/>
        <w:rPr>
          <w:rFonts w:hint="eastAsia" w:ascii="宋体" w:hAnsi="宋体" w:eastAsia="宋体" w:cs="宋体"/>
          <w:color w:val="auto"/>
          <w:sz w:val="24"/>
          <w:szCs w:val="24"/>
          <w:highlight w:val="none"/>
        </w:rPr>
      </w:pPr>
    </w:p>
    <w:p w14:paraId="633A538E">
      <w:pPr>
        <w:pStyle w:val="5"/>
        <w:spacing w:before="120" w:after="120"/>
        <w:rPr>
          <w:rFonts w:hint="eastAsia" w:ascii="宋体" w:hAnsi="宋体" w:eastAsia="宋体" w:cs="宋体"/>
          <w:color w:val="auto"/>
          <w:sz w:val="24"/>
          <w:szCs w:val="28"/>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8"/>
          <w:highlight w:val="none"/>
        </w:rPr>
        <w:t>提供的服务满足采购需求；付款及服务期等均应响应磋商文件要求。</w:t>
      </w:r>
      <w:bookmarkEnd w:id="133"/>
    </w:p>
    <w:p w14:paraId="34C06873">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0EF3A0A1">
      <w:pPr>
        <w:pStyle w:val="5"/>
        <w:spacing w:before="120" w:after="1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p>
    <w:p w14:paraId="307428DD">
      <w:pPr>
        <w:autoSpaceDE w:val="0"/>
        <w:spacing w:line="480" w:lineRule="exact"/>
        <w:ind w:right="104"/>
        <w:jc w:val="center"/>
        <w:rPr>
          <w:rFonts w:ascii="仿宋_GB2312" w:hAnsi="仿宋_GB2312"/>
          <w:color w:val="auto"/>
          <w:sz w:val="28"/>
          <w:szCs w:val="28"/>
          <w:highlight w:val="none"/>
        </w:rPr>
      </w:pPr>
      <w:bookmarkStart w:id="134" w:name="_Toc22695"/>
      <w:r>
        <w:rPr>
          <w:rStyle w:val="35"/>
          <w:rFonts w:hint="eastAsia" w:ascii="宋体" w:hAnsi="宋体" w:eastAsia="宋体" w:cs="宋体"/>
          <w:bCs/>
          <w:color w:val="auto"/>
          <w:kern w:val="2"/>
          <w:sz w:val="24"/>
          <w:szCs w:val="24"/>
          <w:highlight w:val="none"/>
        </w:rPr>
        <w:t>中小企业声明函</w:t>
      </w:r>
      <w:bookmarkEnd w:id="134"/>
    </w:p>
    <w:p w14:paraId="26B16D4D">
      <w:pPr>
        <w:autoSpaceDE w:val="0"/>
        <w:spacing w:line="480" w:lineRule="exact"/>
        <w:rPr>
          <w:rFonts w:ascii="仿宋_GB2312" w:hAnsi="仿宋_GB2312"/>
          <w:color w:val="auto"/>
          <w:sz w:val="28"/>
          <w:szCs w:val="28"/>
          <w:highlight w:val="none"/>
        </w:rPr>
      </w:pPr>
      <w:r>
        <w:rPr>
          <w:rFonts w:ascii="仿宋_GB2312" w:hAnsi="仿宋_GB2312"/>
          <w:color w:val="auto"/>
          <w:sz w:val="28"/>
          <w:szCs w:val="28"/>
          <w:highlight w:val="none"/>
        </w:rPr>
        <w:t xml:space="preserve"> </w:t>
      </w:r>
    </w:p>
    <w:p w14:paraId="70DC958C">
      <w:pPr>
        <w:autoSpaceDE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 xml:space="preserve"> 采购活动 ，工程的施工单位全部为符合政策要求的中小企业（或者：服务全部由符合政策要求的中小企业承接）。相关企业（含联合体中的中小企业、签订分包意向协议的中小企业）的具体情况如下：</w:t>
      </w:r>
    </w:p>
    <w:p w14:paraId="1194A79F">
      <w:pPr>
        <w:autoSpaceDE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p>
    <w:p w14:paraId="5CC2DE5A">
      <w:pPr>
        <w:autoSpaceDE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p>
    <w:p w14:paraId="1B3370F6">
      <w:pPr>
        <w:autoSpaceDE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14:paraId="68EAAAB4">
      <w:pPr>
        <w:pStyle w:val="6"/>
        <w:autoSpaceDE w:val="0"/>
        <w:spacing w:after="0"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0E816E6">
      <w:pPr>
        <w:pStyle w:val="6"/>
        <w:autoSpaceDE w:val="0"/>
        <w:spacing w:after="0"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本企业对上述声明内容的真实性负责。</w:t>
      </w:r>
      <w:r>
        <w:rPr>
          <w:rFonts w:hint="eastAsia" w:ascii="宋体" w:hAnsi="宋体" w:cs="宋体"/>
          <w:bCs/>
          <w:color w:val="auto"/>
          <w:sz w:val="24"/>
          <w:highlight w:val="none"/>
        </w:rPr>
        <w:t>如有虚假，中标（成交）无效，视情节给予参加政府采购资格限制等处罚。</w:t>
      </w:r>
    </w:p>
    <w:p w14:paraId="077DE5E1">
      <w:pPr>
        <w:spacing w:line="500" w:lineRule="exact"/>
        <w:rPr>
          <w:color w:val="auto"/>
          <w:sz w:val="24"/>
          <w:highlight w:val="none"/>
        </w:rPr>
      </w:pPr>
    </w:p>
    <w:p w14:paraId="1C60E1FD">
      <w:pPr>
        <w:spacing w:line="500" w:lineRule="exact"/>
        <w:ind w:firstLine="4560" w:firstLineChars="1900"/>
        <w:rPr>
          <w:rFonts w:ascii="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olor w:val="auto"/>
          <w:sz w:val="24"/>
          <w:szCs w:val="24"/>
          <w:highlight w:val="none"/>
        </w:rPr>
        <w:t>供应商电子签章：</w:t>
      </w:r>
      <w:r>
        <w:rPr>
          <w:rFonts w:ascii="宋体" w:hAnsi="宋体"/>
          <w:color w:val="auto"/>
          <w:sz w:val="24"/>
          <w:szCs w:val="24"/>
          <w:highlight w:val="none"/>
          <w:u w:val="single"/>
        </w:rPr>
        <w:t xml:space="preserve">              </w:t>
      </w:r>
    </w:p>
    <w:p w14:paraId="191D673B">
      <w:pPr>
        <w:autoSpaceDE w:val="0"/>
        <w:spacing w:line="500" w:lineRule="exac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期：</w:t>
      </w:r>
    </w:p>
    <w:p w14:paraId="6FB16E7E">
      <w:pPr>
        <w:pStyle w:val="12"/>
        <w:rPr>
          <w:color w:val="auto"/>
          <w:highlight w:val="none"/>
        </w:rPr>
      </w:pPr>
    </w:p>
    <w:p w14:paraId="763A6F4E">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1、从业人员、营业收入、资产总额填报上一年度数据，无上一年度数据的新成立企业可不填报。</w:t>
      </w:r>
    </w:p>
    <w:p w14:paraId="588A9FA3">
      <w:pPr>
        <w:pStyle w:val="12"/>
        <w:spacing w:after="0" w:line="500" w:lineRule="exact"/>
        <w:ind w:firstLine="480" w:firstLineChars="200"/>
        <w:rPr>
          <w:rFonts w:ascii="宋体" w:hAnsi="宋体"/>
          <w:b/>
          <w:bCs/>
          <w:color w:val="auto"/>
          <w:szCs w:val="24"/>
          <w:highlight w:val="none"/>
        </w:rPr>
      </w:pPr>
      <w:r>
        <w:rPr>
          <w:rFonts w:hint="eastAsia"/>
          <w:color w:val="auto"/>
          <w:highlight w:val="none"/>
        </w:rPr>
        <w:t>2、企业划型标准按照《关于印发中小企业划型标准规定的通知》（工信部联企业〔2011〕300号）规定执行。</w:t>
      </w:r>
      <w:r>
        <w:rPr>
          <w:rFonts w:hint="eastAsia" w:ascii="宋体" w:hAnsi="宋体"/>
          <w:b/>
          <w:bCs/>
          <w:color w:val="auto"/>
          <w:szCs w:val="24"/>
          <w:highlight w:val="none"/>
        </w:rPr>
        <w:br w:type="page"/>
      </w:r>
    </w:p>
    <w:p w14:paraId="5ED084A4">
      <w:pPr>
        <w:pStyle w:val="5"/>
        <w:spacing w:before="120" w:after="120"/>
        <w:rPr>
          <w:rFonts w:hint="eastAsia" w:ascii="宋体" w:hAnsi="宋体" w:eastAsia="宋体" w:cs="宋体"/>
          <w:color w:val="auto"/>
          <w:sz w:val="24"/>
          <w:szCs w:val="24"/>
          <w:highlight w:val="none"/>
          <w:lang w:eastAsia="zh-CN"/>
        </w:rPr>
      </w:pPr>
      <w:bookmarkStart w:id="135" w:name="_Toc3796"/>
      <w:bookmarkStart w:id="136" w:name="_Toc13577"/>
      <w:bookmarkStart w:id="137" w:name="_Toc2879"/>
      <w:bookmarkStart w:id="138" w:name="_Toc3177"/>
      <w:r>
        <w:rPr>
          <w:rFonts w:hint="eastAsia" w:ascii="宋体" w:hAnsi="宋体" w:eastAsia="宋体" w:cs="宋体"/>
          <w:color w:val="auto"/>
          <w:sz w:val="24"/>
          <w:szCs w:val="24"/>
          <w:highlight w:val="none"/>
        </w:rPr>
        <w:t>附件</w:t>
      </w:r>
      <w:bookmarkEnd w:id="135"/>
      <w:bookmarkEnd w:id="136"/>
      <w:bookmarkEnd w:id="137"/>
      <w:r>
        <w:rPr>
          <w:rFonts w:hint="eastAsia" w:ascii="宋体" w:hAnsi="宋体" w:eastAsia="宋体" w:cs="宋体"/>
          <w:color w:val="auto"/>
          <w:sz w:val="24"/>
          <w:szCs w:val="24"/>
          <w:highlight w:val="none"/>
          <w:lang w:val="en-US" w:eastAsia="zh-CN"/>
        </w:rPr>
        <w:t>八</w:t>
      </w:r>
    </w:p>
    <w:bookmarkEnd w:id="138"/>
    <w:p w14:paraId="19D62573">
      <w:pPr>
        <w:spacing w:line="360" w:lineRule="auto"/>
        <w:rPr>
          <w:rFonts w:hint="eastAsia" w:ascii="宋体" w:hAnsi="宋体" w:eastAsia="宋体" w:cs="宋体"/>
          <w:bCs/>
          <w:color w:val="auto"/>
          <w:sz w:val="24"/>
          <w:szCs w:val="24"/>
          <w:highlight w:val="none"/>
        </w:rPr>
      </w:pPr>
      <w:bookmarkStart w:id="139" w:name="_Toc28850"/>
    </w:p>
    <w:p w14:paraId="20C1DC9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磋商文件要求和供应商认为需要提供的其它说明和资料</w:t>
      </w:r>
      <w:bookmarkEnd w:id="139"/>
    </w:p>
    <w:p w14:paraId="4744E548">
      <w:pPr>
        <w:rPr>
          <w:rFonts w:hint="eastAsia" w:ascii="宋体" w:hAnsi="宋体" w:eastAsia="宋体" w:cs="宋体"/>
          <w:bCs/>
          <w:color w:val="auto"/>
          <w:sz w:val="24"/>
          <w:szCs w:val="24"/>
          <w:highlight w:val="none"/>
        </w:rPr>
      </w:pPr>
    </w:p>
    <w:p w14:paraId="18AAEE37">
      <w:pPr>
        <w:pStyle w:val="12"/>
        <w:rPr>
          <w:rFonts w:hint="eastAsia" w:ascii="宋体" w:hAnsi="宋体" w:eastAsia="宋体" w:cs="宋体"/>
          <w:color w:val="auto"/>
          <w:highlight w:val="none"/>
        </w:rPr>
      </w:pPr>
    </w:p>
    <w:p w14:paraId="25949F14">
      <w:pPr>
        <w:pStyle w:val="12"/>
        <w:ind w:firstLine="0"/>
        <w:rPr>
          <w:rFonts w:hint="eastAsia" w:ascii="宋体" w:hAnsi="宋体" w:eastAsia="宋体" w:cs="宋体"/>
          <w:color w:val="auto"/>
          <w:highlight w:val="none"/>
        </w:rPr>
      </w:pPr>
    </w:p>
    <w:p w14:paraId="5E97247D">
      <w:pPr>
        <w:pStyle w:val="12"/>
        <w:ind w:firstLine="0"/>
        <w:rPr>
          <w:rFonts w:hint="eastAsia" w:ascii="宋体" w:hAnsi="宋体" w:eastAsia="宋体" w:cs="宋体"/>
          <w:color w:val="auto"/>
          <w:highlight w:val="none"/>
        </w:rPr>
      </w:pPr>
    </w:p>
    <w:p w14:paraId="0C29ABB1">
      <w:pPr>
        <w:pStyle w:val="12"/>
        <w:ind w:firstLine="0"/>
        <w:rPr>
          <w:rFonts w:hint="eastAsia" w:ascii="宋体" w:hAnsi="宋体" w:eastAsia="宋体" w:cs="宋体"/>
          <w:color w:val="auto"/>
          <w:highlight w:val="none"/>
        </w:rPr>
      </w:pPr>
    </w:p>
    <w:p w14:paraId="05690E58">
      <w:pPr>
        <w:pStyle w:val="12"/>
        <w:ind w:firstLine="0"/>
        <w:rPr>
          <w:rFonts w:hint="eastAsia" w:ascii="宋体" w:hAnsi="宋体" w:eastAsia="宋体" w:cs="宋体"/>
          <w:color w:val="auto"/>
          <w:highlight w:val="none"/>
        </w:rPr>
      </w:pPr>
    </w:p>
    <w:p w14:paraId="54544806">
      <w:pPr>
        <w:pStyle w:val="12"/>
        <w:ind w:firstLine="0"/>
        <w:rPr>
          <w:rFonts w:hint="eastAsia" w:ascii="宋体" w:hAnsi="宋体" w:eastAsia="宋体" w:cs="宋体"/>
          <w:color w:val="auto"/>
          <w:highlight w:val="none"/>
        </w:rPr>
      </w:pPr>
    </w:p>
    <w:p w14:paraId="0C4F61D2">
      <w:pPr>
        <w:pStyle w:val="12"/>
        <w:ind w:firstLine="0"/>
        <w:rPr>
          <w:rFonts w:hint="eastAsia" w:ascii="宋体" w:hAnsi="宋体" w:eastAsia="宋体" w:cs="宋体"/>
          <w:color w:val="auto"/>
          <w:highlight w:val="none"/>
        </w:rPr>
      </w:pPr>
    </w:p>
    <w:p w14:paraId="1DBB0865">
      <w:pPr>
        <w:pStyle w:val="12"/>
        <w:ind w:firstLine="0"/>
        <w:rPr>
          <w:rFonts w:hint="eastAsia" w:ascii="宋体" w:hAnsi="宋体" w:eastAsia="宋体" w:cs="宋体"/>
          <w:color w:val="auto"/>
          <w:highlight w:val="none"/>
        </w:rPr>
      </w:pPr>
    </w:p>
    <w:p w14:paraId="6B54E1E8">
      <w:pPr>
        <w:pStyle w:val="12"/>
        <w:ind w:firstLine="0"/>
        <w:rPr>
          <w:rFonts w:hint="eastAsia" w:ascii="宋体" w:hAnsi="宋体" w:eastAsia="宋体" w:cs="宋体"/>
          <w:color w:val="auto"/>
          <w:highlight w:val="none"/>
        </w:rPr>
      </w:pPr>
    </w:p>
    <w:p w14:paraId="1C73E10E">
      <w:pPr>
        <w:pStyle w:val="12"/>
        <w:ind w:firstLine="0"/>
        <w:rPr>
          <w:rFonts w:hint="eastAsia" w:ascii="宋体" w:hAnsi="宋体" w:eastAsia="宋体" w:cs="宋体"/>
          <w:color w:val="auto"/>
          <w:highlight w:val="none"/>
        </w:rPr>
      </w:pPr>
    </w:p>
    <w:p w14:paraId="40CB0053">
      <w:pPr>
        <w:pStyle w:val="12"/>
        <w:ind w:firstLine="0"/>
        <w:rPr>
          <w:rFonts w:hint="eastAsia" w:ascii="宋体" w:hAnsi="宋体" w:eastAsia="宋体" w:cs="宋体"/>
          <w:color w:val="auto"/>
          <w:highlight w:val="none"/>
        </w:rPr>
      </w:pPr>
    </w:p>
    <w:p w14:paraId="57893C3B">
      <w:pPr>
        <w:pStyle w:val="12"/>
        <w:ind w:firstLine="0"/>
        <w:rPr>
          <w:rFonts w:hint="eastAsia" w:ascii="宋体" w:hAnsi="宋体" w:eastAsia="宋体" w:cs="宋体"/>
          <w:color w:val="auto"/>
          <w:highlight w:val="none"/>
        </w:rPr>
      </w:pPr>
    </w:p>
    <w:p w14:paraId="0349EBD0">
      <w:pPr>
        <w:pStyle w:val="12"/>
        <w:ind w:firstLine="0"/>
        <w:rPr>
          <w:rFonts w:hint="eastAsia" w:ascii="宋体" w:hAnsi="宋体" w:eastAsia="宋体" w:cs="宋体"/>
          <w:color w:val="auto"/>
          <w:highlight w:val="none"/>
        </w:rPr>
      </w:pPr>
    </w:p>
    <w:p w14:paraId="5D61771D">
      <w:pPr>
        <w:pStyle w:val="12"/>
        <w:ind w:firstLine="0"/>
        <w:rPr>
          <w:rFonts w:hint="eastAsia" w:ascii="宋体" w:hAnsi="宋体" w:eastAsia="宋体" w:cs="宋体"/>
          <w:color w:val="auto"/>
          <w:highlight w:val="none"/>
        </w:rPr>
      </w:pPr>
    </w:p>
    <w:p w14:paraId="67F248CE">
      <w:pPr>
        <w:pStyle w:val="12"/>
        <w:ind w:firstLine="0"/>
        <w:rPr>
          <w:rFonts w:hint="eastAsia" w:ascii="宋体" w:hAnsi="宋体" w:eastAsia="宋体" w:cs="宋体"/>
          <w:color w:val="auto"/>
          <w:highlight w:val="none"/>
        </w:rPr>
      </w:pPr>
    </w:p>
    <w:p w14:paraId="56A8B81A">
      <w:pPr>
        <w:pStyle w:val="12"/>
        <w:ind w:firstLine="0"/>
        <w:rPr>
          <w:rFonts w:hint="eastAsia" w:ascii="宋体" w:hAnsi="宋体" w:eastAsia="宋体" w:cs="宋体"/>
          <w:color w:val="auto"/>
          <w:highlight w:val="none"/>
        </w:rPr>
      </w:pPr>
    </w:p>
    <w:p w14:paraId="4E795E5C">
      <w:pPr>
        <w:pStyle w:val="12"/>
        <w:ind w:firstLine="0"/>
        <w:rPr>
          <w:rFonts w:hint="eastAsia" w:ascii="宋体" w:hAnsi="宋体" w:eastAsia="宋体" w:cs="宋体"/>
          <w:color w:val="auto"/>
          <w:highlight w:val="none"/>
        </w:rPr>
      </w:pPr>
    </w:p>
    <w:p w14:paraId="754D1169">
      <w:pPr>
        <w:pStyle w:val="12"/>
        <w:ind w:firstLine="0"/>
        <w:rPr>
          <w:rFonts w:hint="eastAsia" w:ascii="宋体" w:hAnsi="宋体" w:eastAsia="宋体" w:cs="宋体"/>
          <w:color w:val="auto"/>
          <w:highlight w:val="none"/>
        </w:rPr>
      </w:pPr>
    </w:p>
    <w:p w14:paraId="019D1DA8">
      <w:pPr>
        <w:pStyle w:val="12"/>
        <w:ind w:firstLine="0"/>
        <w:rPr>
          <w:rFonts w:hint="eastAsia" w:ascii="宋体" w:hAnsi="宋体" w:eastAsia="宋体" w:cs="宋体"/>
          <w:color w:val="auto"/>
          <w:highlight w:val="none"/>
        </w:rPr>
      </w:pPr>
    </w:p>
    <w:p w14:paraId="65BD131E">
      <w:pPr>
        <w:pStyle w:val="12"/>
        <w:ind w:firstLine="0"/>
        <w:rPr>
          <w:rFonts w:hint="eastAsia" w:ascii="宋体" w:hAnsi="宋体" w:eastAsia="宋体" w:cs="宋体"/>
          <w:color w:val="auto"/>
          <w:highlight w:val="none"/>
        </w:rPr>
      </w:pPr>
    </w:p>
    <w:p w14:paraId="79A75677">
      <w:pPr>
        <w:pStyle w:val="12"/>
        <w:ind w:firstLine="0"/>
        <w:rPr>
          <w:rFonts w:hint="eastAsia" w:ascii="宋体" w:hAnsi="宋体" w:eastAsia="宋体" w:cs="宋体"/>
          <w:color w:val="auto"/>
          <w:highlight w:val="none"/>
        </w:rPr>
      </w:pPr>
    </w:p>
    <w:p w14:paraId="1F8D10A0">
      <w:pPr>
        <w:pStyle w:val="12"/>
        <w:rPr>
          <w:rFonts w:hint="eastAsia" w:ascii="宋体" w:hAnsi="宋体" w:eastAsia="宋体" w:cs="宋体"/>
          <w:color w:val="auto"/>
          <w:highlight w:val="none"/>
        </w:rPr>
      </w:pPr>
    </w:p>
    <w:p w14:paraId="482506CC">
      <w:pPr>
        <w:pStyle w:val="12"/>
        <w:rPr>
          <w:rFonts w:hint="eastAsia" w:ascii="宋体" w:hAnsi="宋体" w:eastAsia="宋体" w:cs="宋体"/>
          <w:color w:val="auto"/>
          <w:highlight w:val="none"/>
        </w:rPr>
      </w:pPr>
    </w:p>
    <w:p w14:paraId="2DE943B8">
      <w:pPr>
        <w:jc w:val="left"/>
        <w:rPr>
          <w:rFonts w:hint="eastAsia" w:ascii="宋体" w:hAnsi="宋体" w:eastAsia="宋体" w:cs="宋体"/>
          <w:b/>
          <w:color w:val="auto"/>
          <w:sz w:val="30"/>
          <w:szCs w:val="30"/>
          <w:highlight w:val="none"/>
        </w:rPr>
      </w:pPr>
      <w:bookmarkStart w:id="140" w:name="_Toc484452030"/>
      <w:r>
        <w:rPr>
          <w:rFonts w:hint="eastAsia" w:ascii="宋体" w:hAnsi="宋体" w:eastAsia="宋体" w:cs="宋体"/>
          <w:b/>
          <w:color w:val="auto"/>
          <w:sz w:val="30"/>
          <w:szCs w:val="30"/>
          <w:highlight w:val="none"/>
        </w:rPr>
        <w:t>另附</w:t>
      </w:r>
      <w:bookmarkEnd w:id="140"/>
    </w:p>
    <w:p w14:paraId="35210079">
      <w:pPr>
        <w:tabs>
          <w:tab w:val="left" w:pos="2410"/>
        </w:tabs>
        <w:autoSpaceDE w:val="0"/>
        <w:autoSpaceDN w:val="0"/>
        <w:adjustRightInd w:val="0"/>
        <w:snapToGrid w:val="0"/>
        <w:spacing w:line="600" w:lineRule="exact"/>
        <w:ind w:firstLine="321" w:firstLineChars="100"/>
        <w:jc w:val="center"/>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lang w:eastAsia="zh-CN"/>
        </w:rPr>
        <w:t>杭埠河治理工程补充设计项目档案整编</w:t>
      </w:r>
      <w:r>
        <w:rPr>
          <w:rFonts w:hint="eastAsia" w:ascii="宋体" w:hAnsi="宋体" w:eastAsia="宋体" w:cs="宋体"/>
          <w:b/>
          <w:color w:val="auto"/>
          <w:sz w:val="32"/>
          <w:szCs w:val="30"/>
          <w:highlight w:val="none"/>
        </w:rPr>
        <w:t>竞争性</w:t>
      </w:r>
      <w:bookmarkStart w:id="141" w:name="_Toc484452031"/>
      <w:r>
        <w:rPr>
          <w:rFonts w:hint="eastAsia" w:ascii="宋体" w:hAnsi="宋体" w:eastAsia="宋体" w:cs="宋体"/>
          <w:b/>
          <w:color w:val="auto"/>
          <w:sz w:val="32"/>
          <w:szCs w:val="30"/>
          <w:highlight w:val="none"/>
        </w:rPr>
        <w:t>磋商</w:t>
      </w:r>
    </w:p>
    <w:p w14:paraId="6881421B">
      <w:pPr>
        <w:tabs>
          <w:tab w:val="left" w:pos="2410"/>
        </w:tabs>
        <w:autoSpaceDE w:val="0"/>
        <w:autoSpaceDN w:val="0"/>
        <w:adjustRightInd w:val="0"/>
        <w:snapToGrid w:val="0"/>
        <w:spacing w:line="600" w:lineRule="exact"/>
        <w:ind w:firstLine="321" w:firstLineChars="100"/>
        <w:jc w:val="center"/>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二轮报价表</w:t>
      </w:r>
      <w:bookmarkEnd w:id="141"/>
    </w:p>
    <w:p w14:paraId="202F6607">
      <w:pPr>
        <w:ind w:firstLine="480" w:firstLineChars="200"/>
        <w:rPr>
          <w:rFonts w:hint="eastAsia" w:ascii="宋体" w:hAnsi="宋体" w:eastAsia="宋体" w:cs="宋体"/>
          <w:color w:val="auto"/>
          <w:sz w:val="24"/>
          <w:highlight w:val="none"/>
        </w:rPr>
      </w:pPr>
    </w:p>
    <w:p w14:paraId="4CB23166">
      <w:pPr>
        <w:pStyle w:val="12"/>
        <w:rPr>
          <w:rFonts w:hint="eastAsia" w:ascii="宋体" w:hAnsi="宋体" w:eastAsia="宋体" w:cs="宋体"/>
          <w:color w:val="auto"/>
          <w:highlight w:val="none"/>
        </w:rPr>
      </w:pPr>
    </w:p>
    <w:p w14:paraId="71A4C121">
      <w:pPr>
        <w:spacing w:line="6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采购人)</w:t>
      </w:r>
    </w:p>
    <w:p w14:paraId="186A3FE2">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w:t>
      </w:r>
      <w:r>
        <w:rPr>
          <w:rFonts w:hint="eastAsia" w:ascii="宋体" w:hAnsi="宋体" w:eastAsia="宋体" w:cs="宋体"/>
          <w:color w:val="auto"/>
          <w:sz w:val="28"/>
          <w:szCs w:val="28"/>
          <w:highlight w:val="none"/>
          <w:lang w:val="en-US" w:eastAsia="zh-CN"/>
        </w:rPr>
        <w:t>最终报价</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元。如果我方有幸成为成交供应商，服务费用为所委托服务项目范围内全部服务工作，该费用不再调整。</w:t>
      </w:r>
    </w:p>
    <w:p w14:paraId="019CF609">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2、其他部分与响应文件内容一致。</w:t>
      </w:r>
    </w:p>
    <w:p w14:paraId="7B7B0D15">
      <w:pPr>
        <w:rPr>
          <w:rFonts w:hint="eastAsia" w:ascii="宋体" w:hAnsi="宋体" w:eastAsia="宋体" w:cs="宋体"/>
          <w:color w:val="auto"/>
          <w:sz w:val="28"/>
          <w:szCs w:val="28"/>
          <w:highlight w:val="none"/>
        </w:rPr>
      </w:pPr>
    </w:p>
    <w:p w14:paraId="3BF9CC3A">
      <w:pPr>
        <w:ind w:left="5324" w:leftChars="1402" w:hanging="2380" w:hangingChars="8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 </w:t>
      </w:r>
      <w:r>
        <w:rPr>
          <w:rFonts w:hint="eastAsia" w:ascii="宋体" w:hAnsi="宋体" w:eastAsia="宋体" w:cs="宋体"/>
          <w:color w:val="auto"/>
          <w:sz w:val="28"/>
          <w:szCs w:val="28"/>
          <w:highlight w:val="none"/>
          <w:u w:val="single"/>
        </w:rPr>
        <w:t xml:space="preserve">                （盖章）</w:t>
      </w:r>
    </w:p>
    <w:p w14:paraId="450A6CCE">
      <w:pPr>
        <w:ind w:firstLine="2660" w:firstLineChars="950"/>
        <w:rPr>
          <w:rFonts w:hint="eastAsia" w:ascii="宋体" w:hAnsi="宋体" w:eastAsia="宋体" w:cs="宋体"/>
          <w:color w:val="auto"/>
          <w:sz w:val="28"/>
          <w:szCs w:val="28"/>
          <w:highlight w:val="none"/>
        </w:rPr>
      </w:pPr>
    </w:p>
    <w:p w14:paraId="6E53E882">
      <w:pPr>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u w:val="single"/>
        </w:rPr>
        <w:t xml:space="preserve">         （签字或盖章）</w:t>
      </w:r>
    </w:p>
    <w:p w14:paraId="682E29C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E953093">
      <w:pPr>
        <w:wordWrap w:val="0"/>
        <w:spacing w:line="640" w:lineRule="exact"/>
        <w:ind w:right="6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42F36E7">
      <w:pPr>
        <w:rPr>
          <w:rFonts w:hint="eastAsia" w:ascii="宋体" w:hAnsi="宋体" w:eastAsia="宋体" w:cs="宋体"/>
          <w:b/>
          <w:color w:val="auto"/>
          <w:sz w:val="28"/>
          <w:szCs w:val="28"/>
          <w:highlight w:val="none"/>
          <w:u w:val="double"/>
        </w:rPr>
      </w:pPr>
    </w:p>
    <w:p w14:paraId="4DB4DB62">
      <w:pPr>
        <w:rPr>
          <w:rFonts w:hint="eastAsia" w:ascii="宋体" w:hAnsi="宋体" w:eastAsia="宋体" w:cs="宋体"/>
          <w:b/>
          <w:color w:val="auto"/>
          <w:sz w:val="28"/>
          <w:szCs w:val="28"/>
          <w:highlight w:val="none"/>
          <w:u w:val="double"/>
        </w:rPr>
      </w:pPr>
    </w:p>
    <w:p w14:paraId="2B9EB765">
      <w:pPr>
        <w:pStyle w:val="12"/>
        <w:tabs>
          <w:tab w:val="left" w:pos="1234"/>
        </w:tabs>
        <w:rPr>
          <w:rFonts w:hint="eastAsia" w:ascii="宋体" w:hAnsi="宋体" w:eastAsia="宋体" w:cs="宋体"/>
          <w:color w:val="auto"/>
          <w:highlight w:val="none"/>
          <w:u w:val="none"/>
        </w:rPr>
      </w:pPr>
      <w:r>
        <w:rPr>
          <w:rFonts w:hint="eastAsia" w:ascii="宋体" w:hAnsi="宋体" w:eastAsia="宋体" w:cs="宋体"/>
          <w:b/>
          <w:color w:val="auto"/>
          <w:sz w:val="28"/>
          <w:szCs w:val="28"/>
          <w:highlight w:val="none"/>
          <w:u w:val="none"/>
        </w:rPr>
        <w:t>（注：本表无需附在响应文件中，二轮报价只报总价，结算时按一、二轮报价下降比例同比例调整各分项单价</w:t>
      </w:r>
      <w:r>
        <w:rPr>
          <w:rFonts w:hint="eastAsia" w:ascii="宋体" w:hAnsi="宋体" w:eastAsia="宋体" w:cs="宋体"/>
          <w:b/>
          <w:color w:val="auto"/>
          <w:sz w:val="28"/>
          <w:szCs w:val="28"/>
          <w:highlight w:val="none"/>
          <w:u w:val="none"/>
          <w:lang w:eastAsia="zh-CN"/>
        </w:rPr>
        <w:t>（</w:t>
      </w:r>
      <w:r>
        <w:rPr>
          <w:rFonts w:hint="eastAsia" w:ascii="宋体" w:hAnsi="宋体" w:eastAsia="宋体" w:cs="宋体"/>
          <w:b/>
          <w:color w:val="auto"/>
          <w:sz w:val="28"/>
          <w:szCs w:val="28"/>
          <w:highlight w:val="none"/>
          <w:u w:val="none"/>
          <w:lang w:val="en-US" w:eastAsia="zh-CN"/>
        </w:rPr>
        <w:t>如有）</w:t>
      </w:r>
      <w:r>
        <w:rPr>
          <w:rFonts w:hint="eastAsia" w:ascii="宋体" w:hAnsi="宋体" w:eastAsia="宋体" w:cs="宋体"/>
          <w:b/>
          <w:color w:val="auto"/>
          <w:sz w:val="28"/>
          <w:szCs w:val="28"/>
          <w:highlight w:val="none"/>
          <w:u w:val="none"/>
        </w:rPr>
        <w:t>，二轮报价表提前填好加盖公章并单独密封）。</w:t>
      </w: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973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2C7A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C2C7A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0F0E617">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F7CE">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5C3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3B5C3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F83C">
    <w:pPr>
      <w:spacing w:line="174" w:lineRule="auto"/>
      <w:ind w:left="4449"/>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DC85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6DC85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3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065F">
    <w:pPr>
      <w:pStyle w:val="6"/>
      <w:tabs>
        <w:tab w:val="left" w:pos="3017"/>
      </w:tabs>
      <w:spacing w:line="174"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9C773"/>
    <w:multiLevelType w:val="singleLevel"/>
    <w:tmpl w:val="BCB9C773"/>
    <w:lvl w:ilvl="0" w:tentative="0">
      <w:start w:val="3"/>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YxMzlhZGQwNmZkNWVhNDQ4YjYwNjUwY2QxYWIifQ=="/>
    <w:docVar w:name="KSO_WPS_MARK_KEY" w:val="b775fdd8-7812-484c-8107-97b6cdbe1de1"/>
  </w:docVars>
  <w:rsids>
    <w:rsidRoot w:val="00000000"/>
    <w:rsid w:val="01CD7566"/>
    <w:rsid w:val="027D2D3A"/>
    <w:rsid w:val="02CC252C"/>
    <w:rsid w:val="04FD0162"/>
    <w:rsid w:val="06CE3597"/>
    <w:rsid w:val="084542FA"/>
    <w:rsid w:val="090D306A"/>
    <w:rsid w:val="0E0A5214"/>
    <w:rsid w:val="0EFF1C57"/>
    <w:rsid w:val="1191235E"/>
    <w:rsid w:val="13547AE7"/>
    <w:rsid w:val="145E6307"/>
    <w:rsid w:val="18CC3693"/>
    <w:rsid w:val="19412DDD"/>
    <w:rsid w:val="1ADF413A"/>
    <w:rsid w:val="1B515D4A"/>
    <w:rsid w:val="1BB50BB3"/>
    <w:rsid w:val="1C9D286A"/>
    <w:rsid w:val="1DB624A5"/>
    <w:rsid w:val="1E0565AE"/>
    <w:rsid w:val="1FBE23C2"/>
    <w:rsid w:val="20D3029D"/>
    <w:rsid w:val="214A41F2"/>
    <w:rsid w:val="22FE4F4C"/>
    <w:rsid w:val="23ED32AA"/>
    <w:rsid w:val="24952391"/>
    <w:rsid w:val="2C5A3F68"/>
    <w:rsid w:val="2D0363AE"/>
    <w:rsid w:val="2D513C94"/>
    <w:rsid w:val="2D5E5392"/>
    <w:rsid w:val="2D870D8D"/>
    <w:rsid w:val="2DFC3BFB"/>
    <w:rsid w:val="2F265668"/>
    <w:rsid w:val="339733AC"/>
    <w:rsid w:val="33C30F90"/>
    <w:rsid w:val="34E268A9"/>
    <w:rsid w:val="36B424C7"/>
    <w:rsid w:val="3749214E"/>
    <w:rsid w:val="37BB00B9"/>
    <w:rsid w:val="389069FC"/>
    <w:rsid w:val="3CAB7EC8"/>
    <w:rsid w:val="3E1722F3"/>
    <w:rsid w:val="3E271089"/>
    <w:rsid w:val="416A2100"/>
    <w:rsid w:val="41C86D19"/>
    <w:rsid w:val="444035EC"/>
    <w:rsid w:val="44A165CE"/>
    <w:rsid w:val="46220FE0"/>
    <w:rsid w:val="466028FC"/>
    <w:rsid w:val="4847319B"/>
    <w:rsid w:val="4C6F4A6E"/>
    <w:rsid w:val="4C7E070F"/>
    <w:rsid w:val="4F0B2954"/>
    <w:rsid w:val="4F4949CF"/>
    <w:rsid w:val="54414F42"/>
    <w:rsid w:val="56F664B8"/>
    <w:rsid w:val="5888314F"/>
    <w:rsid w:val="58BA52C3"/>
    <w:rsid w:val="59CF2FF0"/>
    <w:rsid w:val="5B0311A3"/>
    <w:rsid w:val="5E8545C5"/>
    <w:rsid w:val="5F73441E"/>
    <w:rsid w:val="5F835B76"/>
    <w:rsid w:val="5FDA10CF"/>
    <w:rsid w:val="63051831"/>
    <w:rsid w:val="64BE438D"/>
    <w:rsid w:val="65A23EC4"/>
    <w:rsid w:val="683C7AA3"/>
    <w:rsid w:val="697749B7"/>
    <w:rsid w:val="729055BB"/>
    <w:rsid w:val="72CA3BE3"/>
    <w:rsid w:val="74A472C5"/>
    <w:rsid w:val="76B255A9"/>
    <w:rsid w:val="77FB15CA"/>
    <w:rsid w:val="78591FAB"/>
    <w:rsid w:val="7A716556"/>
    <w:rsid w:val="7AE244DA"/>
    <w:rsid w:val="7DC139EB"/>
    <w:rsid w:val="7EDA559E"/>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link w:val="35"/>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szCs w:val="20"/>
    </w:rPr>
  </w:style>
  <w:style w:type="paragraph" w:styleId="3">
    <w:name w:val="Body Text Indent"/>
    <w:basedOn w:val="1"/>
    <w:next w:val="4"/>
    <w:qFormat/>
    <w:uiPriority w:val="0"/>
    <w:pPr>
      <w:spacing w:after="120" w:afterAutospacing="0"/>
      <w:ind w:left="200" w:leftChars="200"/>
    </w:pPr>
  </w:style>
  <w:style w:type="paragraph" w:styleId="4">
    <w:name w:val="envelope return"/>
    <w:basedOn w:val="1"/>
    <w:qFormat/>
    <w:uiPriority w:val="0"/>
    <w:pPr>
      <w:snapToGrid w:val="0"/>
      <w:jc w:val="both"/>
    </w:pPr>
    <w:rPr>
      <w:rFonts w:ascii="Arial" w:hAnsi="Arial" w:eastAsia="宋体" w:cs="Arial"/>
      <w:b/>
      <w:bCs/>
      <w:color w:val="FF0000"/>
      <w:kern w:val="2"/>
      <w:sz w:val="48"/>
      <w:szCs w:val="24"/>
      <w:lang w:eastAsia="zh-CN"/>
    </w:rPr>
  </w:style>
  <w:style w:type="paragraph" w:styleId="6">
    <w:name w:val="Body Text"/>
    <w:basedOn w:val="1"/>
    <w:next w:val="7"/>
    <w:qFormat/>
    <w:uiPriority w:val="0"/>
    <w:pPr>
      <w:spacing w:after="120"/>
    </w:pPr>
    <w:rPr>
      <w:szCs w:val="24"/>
    </w:rPr>
  </w:style>
  <w:style w:type="paragraph" w:styleId="7">
    <w:name w:val="Date"/>
    <w:basedOn w:val="1"/>
    <w:next w:val="1"/>
    <w:qFormat/>
    <w:uiPriority w:val="0"/>
    <w:rPr>
      <w:rFonts w:ascii="Arial" w:hAnsi="Arial" w:eastAsia="楷体_GB2312"/>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420" w:leftChars="200"/>
    </w:pPr>
  </w:style>
  <w:style w:type="paragraph" w:styleId="11">
    <w:name w:val="Body Text 2"/>
    <w:basedOn w:val="1"/>
    <w:qFormat/>
    <w:uiPriority w:val="0"/>
    <w:pPr>
      <w:spacing w:after="120" w:line="480" w:lineRule="auto"/>
    </w:pPr>
  </w:style>
  <w:style w:type="paragraph" w:styleId="12">
    <w:name w:val="Body Text First Indent"/>
    <w:basedOn w:val="6"/>
    <w:unhideWhenUsed/>
    <w:qFormat/>
    <w:uiPriority w:val="99"/>
    <w:pPr>
      <w:spacing w:line="400" w:lineRule="atLeast"/>
      <w:ind w:firstLine="426"/>
    </w:pPr>
    <w:rPr>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color w:val="800080"/>
      <w:u w:val="none"/>
    </w:rPr>
  </w:style>
  <w:style w:type="character" w:styleId="18">
    <w:name w:val="HTML Definition"/>
    <w:basedOn w:val="15"/>
    <w:qFormat/>
    <w:uiPriority w:val="0"/>
  </w:style>
  <w:style w:type="character" w:styleId="19">
    <w:name w:val="HTML Typewriter"/>
    <w:basedOn w:val="15"/>
    <w:qFormat/>
    <w:uiPriority w:val="0"/>
    <w:rPr>
      <w:rFonts w:ascii="monospace" w:hAnsi="monospace" w:eastAsia="monospace" w:cs="monospace"/>
      <w:sz w:val="20"/>
    </w:rPr>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0000FF"/>
      <w:u w:val="none"/>
    </w:rPr>
  </w:style>
  <w:style w:type="character" w:styleId="23">
    <w:name w:val="HTML Code"/>
    <w:basedOn w:val="15"/>
    <w:qFormat/>
    <w:uiPriority w:val="0"/>
    <w:rPr>
      <w:rFonts w:hint="default" w:ascii="monospace" w:hAnsi="monospace" w:eastAsia="monospace" w:cs="monospace"/>
      <w:sz w:val="20"/>
    </w:rPr>
  </w:style>
  <w:style w:type="character" w:styleId="24">
    <w:name w:val="HTML Cite"/>
    <w:basedOn w:val="15"/>
    <w:qFormat/>
    <w:uiPriority w:val="0"/>
  </w:style>
  <w:style w:type="character" w:styleId="25">
    <w:name w:val="HTML Keyboard"/>
    <w:basedOn w:val="15"/>
    <w:qFormat/>
    <w:uiPriority w:val="0"/>
    <w:rPr>
      <w:rFonts w:hint="default" w:ascii="monospace" w:hAnsi="monospace" w:eastAsia="monospace" w:cs="monospace"/>
      <w:sz w:val="20"/>
    </w:rPr>
  </w:style>
  <w:style w:type="character" w:styleId="26">
    <w:name w:val="HTML Sample"/>
    <w:basedOn w:val="15"/>
    <w:qFormat/>
    <w:uiPriority w:val="0"/>
    <w:rPr>
      <w:rFonts w:hint="default" w:ascii="monospace" w:hAnsi="monospace" w:eastAsia="monospace" w:cs="monospace"/>
    </w:rPr>
  </w:style>
  <w:style w:type="paragraph" w:customStyle="1" w:styleId="27">
    <w:name w:val="No Spacing1"/>
    <w:basedOn w:val="1"/>
    <w:qFormat/>
    <w:uiPriority w:val="99"/>
    <w:pPr>
      <w:spacing w:line="400" w:lineRule="exact"/>
    </w:pPr>
    <w:rPr>
      <w:sz w:val="24"/>
    </w:rPr>
  </w:style>
  <w:style w:type="paragraph" w:customStyle="1" w:styleId="2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9">
    <w:name w:val="D&amp;L"/>
    <w:basedOn w:val="9"/>
    <w:qFormat/>
    <w:uiPriority w:val="99"/>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table" w:customStyle="1" w:styleId="31">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32">
    <w:name w:val="Char Char Char Char Char Char Char1 Char"/>
    <w:basedOn w:val="1"/>
    <w:qFormat/>
    <w:uiPriority w:val="0"/>
    <w:rPr>
      <w:rFonts w:ascii="Tahoma" w:hAnsi="Tahoma"/>
      <w:sz w:val="24"/>
    </w:rPr>
  </w:style>
  <w:style w:type="paragraph" w:customStyle="1" w:styleId="33">
    <w:name w:val="Table Paragraph"/>
    <w:basedOn w:val="1"/>
    <w:qFormat/>
    <w:uiPriority w:val="99"/>
    <w:pPr>
      <w:jc w:val="left"/>
    </w:pPr>
    <w:rPr>
      <w:rFonts w:ascii="宋体" w:hAnsi="宋体" w:cs="宋体"/>
      <w:kern w:val="0"/>
      <w:sz w:val="22"/>
      <w:szCs w:val="22"/>
      <w:lang w:eastAsia="en-US"/>
    </w:rPr>
  </w:style>
  <w:style w:type="character" w:customStyle="1" w:styleId="34">
    <w:name w:val="NormalCharacter"/>
    <w:qFormat/>
    <w:uiPriority w:val="0"/>
  </w:style>
  <w:style w:type="character" w:customStyle="1" w:styleId="35">
    <w:name w:val="标题 2 Char"/>
    <w:basedOn w:val="15"/>
    <w:link w:val="5"/>
    <w:qFormat/>
    <w:uiPriority w:val="0"/>
    <w:rPr>
      <w:rFonts w:ascii="Arial" w:hAnsi="Arial" w:eastAsia="黑体"/>
      <w:b/>
      <w:kern w:val="0"/>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13070</Words>
  <Characters>13871</Characters>
  <Lines>0</Lines>
  <Paragraphs>0</Paragraphs>
  <TotalTime>5</TotalTime>
  <ScaleCrop>false</ScaleCrop>
  <LinksUpToDate>false</LinksUpToDate>
  <CharactersWithSpaces>14790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2024-05-28T08:17:00Z</dcterms:created>
  <dc:creator>Administrator</dc:creator>
  <cp:lastModifiedBy>Ж六安军团Ж</cp:lastModifiedBy>
  <dcterms:modified xsi:type="dcterms:W3CDTF">2024-10-30T02:44:27Z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38281470AF3644BB95B3CB1E7D9361F0_13</vt:lpwstr>
  </property>
</Properties>
</file>